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6A828">
      <w:pPr>
        <w:spacing w:line="360" w:lineRule="auto"/>
        <w:jc w:val="center"/>
        <w:rPr>
          <w:rFonts w:ascii="宋体" w:hAnsi="宋体"/>
          <w:b/>
          <w:bCs/>
          <w:color w:val="auto"/>
          <w:sz w:val="32"/>
          <w:szCs w:val="32"/>
          <w:highlight w:val="none"/>
          <w:u w:val="single"/>
        </w:rPr>
      </w:pPr>
    </w:p>
    <w:p w14:paraId="107AB327">
      <w:pPr>
        <w:spacing w:line="360" w:lineRule="auto"/>
        <w:jc w:val="center"/>
        <w:rPr>
          <w:rFonts w:ascii="宋体" w:hAnsi="宋体"/>
          <w:b/>
          <w:bCs/>
          <w:color w:val="auto"/>
          <w:sz w:val="32"/>
          <w:szCs w:val="32"/>
          <w:highlight w:val="none"/>
          <w:u w:val="single"/>
        </w:rPr>
      </w:pPr>
    </w:p>
    <w:p w14:paraId="0E1F8C9D">
      <w:pPr>
        <w:pStyle w:val="11"/>
        <w:jc w:val="center"/>
        <w:rPr>
          <w:rFonts w:hint="eastAsia" w:cs="Times New Roman"/>
          <w:b/>
          <w:color w:val="auto"/>
          <w:kern w:val="2"/>
          <w:sz w:val="48"/>
          <w:szCs w:val="48"/>
          <w:highlight w:val="none"/>
          <w:lang w:val="en-US" w:eastAsia="zh-CN" w:bidi="ar-SA"/>
        </w:rPr>
      </w:pPr>
      <w:r>
        <w:rPr>
          <w:rFonts w:hint="eastAsia" w:cs="Times New Roman"/>
          <w:b/>
          <w:color w:val="auto"/>
          <w:kern w:val="2"/>
          <w:sz w:val="48"/>
          <w:szCs w:val="48"/>
          <w:highlight w:val="none"/>
          <w:lang w:val="en-US" w:eastAsia="zh-CN" w:bidi="ar-SA"/>
        </w:rPr>
        <w:t xml:space="preserve">界首市综合能源一体化项目可行性研究报告编制服务项目 </w:t>
      </w:r>
    </w:p>
    <w:p w14:paraId="0C37176E">
      <w:pPr>
        <w:pStyle w:val="11"/>
        <w:jc w:val="center"/>
        <w:rPr>
          <w:rFonts w:hint="eastAsia" w:cs="Times New Roman"/>
          <w:b/>
          <w:color w:val="auto"/>
          <w:kern w:val="2"/>
          <w:sz w:val="52"/>
          <w:szCs w:val="52"/>
          <w:highlight w:val="none"/>
          <w:lang w:val="en-US" w:eastAsia="zh-CN" w:bidi="ar-SA"/>
        </w:rPr>
      </w:pPr>
    </w:p>
    <w:p w14:paraId="299733A1">
      <w:pPr>
        <w:pStyle w:val="2"/>
        <w:rPr>
          <w:rFonts w:hint="eastAsia" w:ascii="宋体" w:hAnsi="宋体"/>
          <w:b/>
          <w:bCs/>
          <w:color w:val="auto"/>
          <w:sz w:val="32"/>
          <w:szCs w:val="32"/>
          <w:highlight w:val="none"/>
          <w:u w:val="single"/>
          <w:lang w:eastAsia="zh-CN"/>
        </w:rPr>
      </w:pPr>
    </w:p>
    <w:p w14:paraId="4A4D1A7D">
      <w:pPr>
        <w:rPr>
          <w:rFonts w:hint="eastAsia"/>
          <w:color w:val="auto"/>
          <w:highlight w:val="none"/>
          <w:lang w:eastAsia="zh-CN"/>
        </w:rPr>
      </w:pPr>
    </w:p>
    <w:p w14:paraId="1C22175F">
      <w:pPr>
        <w:jc w:val="center"/>
        <w:rPr>
          <w:rFonts w:ascii="宋体" w:hAnsi="宋体"/>
          <w:color w:val="auto"/>
          <w:sz w:val="32"/>
          <w:szCs w:val="32"/>
          <w:highlight w:val="none"/>
        </w:rPr>
      </w:pPr>
      <w:r>
        <w:rPr>
          <w:rFonts w:hint="eastAsia" w:ascii="宋体" w:hAnsi="宋体"/>
          <w:b/>
          <w:bCs/>
          <w:color w:val="auto"/>
          <w:sz w:val="72"/>
          <w:szCs w:val="72"/>
          <w:highlight w:val="none"/>
        </w:rPr>
        <w:t>竞争性磋商文件</w:t>
      </w:r>
    </w:p>
    <w:p w14:paraId="2472BDD3">
      <w:pPr>
        <w:rPr>
          <w:rFonts w:ascii="宋体" w:hAnsi="宋体"/>
          <w:color w:val="auto"/>
          <w:sz w:val="32"/>
          <w:szCs w:val="32"/>
          <w:highlight w:val="none"/>
        </w:rPr>
      </w:pPr>
    </w:p>
    <w:p w14:paraId="06D7A9C5">
      <w:pPr>
        <w:rPr>
          <w:rFonts w:ascii="宋体" w:hAnsi="宋体"/>
          <w:color w:val="auto"/>
          <w:sz w:val="32"/>
          <w:szCs w:val="32"/>
          <w:highlight w:val="none"/>
        </w:rPr>
      </w:pPr>
    </w:p>
    <w:p w14:paraId="03047633">
      <w:pPr>
        <w:rPr>
          <w:rFonts w:ascii="宋体" w:hAnsi="宋体"/>
          <w:color w:val="auto"/>
          <w:sz w:val="32"/>
          <w:szCs w:val="32"/>
          <w:highlight w:val="none"/>
        </w:rPr>
      </w:pPr>
    </w:p>
    <w:p w14:paraId="1B16DF11">
      <w:pPr>
        <w:rPr>
          <w:rFonts w:ascii="宋体" w:hAnsi="宋体"/>
          <w:color w:val="auto"/>
          <w:sz w:val="32"/>
          <w:szCs w:val="32"/>
          <w:highlight w:val="none"/>
        </w:rPr>
      </w:pPr>
    </w:p>
    <w:p w14:paraId="44EAAFA1">
      <w:pPr>
        <w:rPr>
          <w:rFonts w:ascii="宋体" w:hAnsi="宋体"/>
          <w:color w:val="auto"/>
          <w:sz w:val="32"/>
          <w:szCs w:val="32"/>
          <w:highlight w:val="none"/>
        </w:rPr>
      </w:pPr>
    </w:p>
    <w:p w14:paraId="40AD39A8">
      <w:pPr>
        <w:rPr>
          <w:rFonts w:ascii="宋体" w:hAnsi="宋体"/>
          <w:color w:val="auto"/>
          <w:sz w:val="32"/>
          <w:szCs w:val="32"/>
          <w:highlight w:val="none"/>
        </w:rPr>
      </w:pPr>
    </w:p>
    <w:p w14:paraId="4CA78636">
      <w:pPr>
        <w:pStyle w:val="2"/>
        <w:rPr>
          <w:rFonts w:ascii="宋体" w:hAnsi="宋体"/>
          <w:color w:val="auto"/>
          <w:sz w:val="32"/>
          <w:szCs w:val="32"/>
          <w:highlight w:val="none"/>
        </w:rPr>
      </w:pPr>
    </w:p>
    <w:p w14:paraId="73404CA1">
      <w:pPr>
        <w:rPr>
          <w:rFonts w:ascii="宋体" w:hAnsi="宋体"/>
          <w:color w:val="auto"/>
          <w:sz w:val="32"/>
          <w:szCs w:val="32"/>
          <w:highlight w:val="none"/>
        </w:rPr>
      </w:pPr>
    </w:p>
    <w:p w14:paraId="6264F9EA">
      <w:pPr>
        <w:pStyle w:val="2"/>
      </w:pPr>
    </w:p>
    <w:p w14:paraId="06C18D01">
      <w:pPr>
        <w:rPr>
          <w:rFonts w:ascii="宋体" w:hAnsi="宋体"/>
          <w:color w:val="auto"/>
          <w:sz w:val="32"/>
          <w:szCs w:val="32"/>
          <w:highlight w:val="none"/>
        </w:rPr>
      </w:pPr>
    </w:p>
    <w:p w14:paraId="692A4A46">
      <w:pPr>
        <w:rPr>
          <w:rFonts w:ascii="宋体" w:hAnsi="宋体"/>
          <w:color w:val="auto"/>
          <w:sz w:val="32"/>
          <w:szCs w:val="32"/>
          <w:highlight w:val="none"/>
        </w:rPr>
      </w:pPr>
    </w:p>
    <w:p w14:paraId="5BB82DEE">
      <w:pPr>
        <w:rPr>
          <w:rFonts w:ascii="宋体" w:hAnsi="宋体"/>
          <w:color w:val="auto"/>
          <w:sz w:val="32"/>
          <w:szCs w:val="32"/>
          <w:highlight w:val="none"/>
        </w:rPr>
      </w:pPr>
    </w:p>
    <w:p w14:paraId="7712C824">
      <w:pPr>
        <w:ind w:firstLine="963" w:firstLineChars="200"/>
        <w:jc w:val="both"/>
        <w:rPr>
          <w:rFonts w:hint="eastAsia" w:ascii="宋体" w:hAnsi="宋体"/>
          <w:b/>
          <w:color w:val="auto"/>
          <w:sz w:val="32"/>
          <w:szCs w:val="32"/>
          <w:highlight w:val="none"/>
          <w:u w:val="single"/>
          <w:lang w:eastAsia="zh-CN"/>
        </w:rPr>
      </w:pPr>
      <w:r>
        <w:rPr>
          <w:rFonts w:hint="eastAsia" w:ascii="宋体" w:hAnsi="宋体"/>
          <w:b/>
          <w:color w:val="auto"/>
          <w:spacing w:val="80"/>
          <w:kern w:val="0"/>
          <w:sz w:val="32"/>
          <w:szCs w:val="32"/>
          <w:highlight w:val="none"/>
          <w:fitText w:val="1920" w:id="1099974957"/>
        </w:rPr>
        <w:t xml:space="preserve">采 购 </w:t>
      </w:r>
      <w:r>
        <w:rPr>
          <w:rFonts w:hint="eastAsia" w:ascii="宋体" w:hAnsi="宋体"/>
          <w:b/>
          <w:color w:val="auto"/>
          <w:spacing w:val="0"/>
          <w:kern w:val="0"/>
          <w:sz w:val="32"/>
          <w:szCs w:val="32"/>
          <w:highlight w:val="none"/>
          <w:fitText w:val="1920" w:id="1099974957"/>
        </w:rPr>
        <w:t>人</w:t>
      </w:r>
      <w:r>
        <w:rPr>
          <w:rFonts w:hint="eastAsia" w:ascii="宋体" w:hAnsi="宋体"/>
          <w:b/>
          <w:color w:val="auto"/>
          <w:sz w:val="32"/>
          <w:szCs w:val="32"/>
          <w:highlight w:val="none"/>
        </w:rPr>
        <w:t>：</w:t>
      </w:r>
      <w:r>
        <w:rPr>
          <w:rFonts w:hint="eastAsia" w:ascii="宋体" w:hAnsi="宋体"/>
          <w:b/>
          <w:color w:val="auto"/>
          <w:sz w:val="32"/>
          <w:szCs w:val="32"/>
          <w:highlight w:val="none"/>
          <w:u w:val="single"/>
          <w:lang w:eastAsia="zh-CN"/>
        </w:rPr>
        <w:t>安徽融兴科技有限公司</w:t>
      </w:r>
    </w:p>
    <w:p w14:paraId="20F96E18">
      <w:pPr>
        <w:pStyle w:val="2"/>
        <w:rPr>
          <w:rFonts w:hint="eastAsia"/>
          <w:color w:val="auto"/>
          <w:highlight w:val="none"/>
        </w:rPr>
      </w:pPr>
    </w:p>
    <w:p w14:paraId="1606D31F">
      <w:pPr>
        <w:ind w:firstLine="964" w:firstLineChars="300"/>
        <w:jc w:val="both"/>
        <w:rPr>
          <w:rFonts w:ascii="宋体" w:hAnsi="宋体"/>
          <w:b/>
          <w:color w:val="auto"/>
          <w:sz w:val="32"/>
          <w:szCs w:val="32"/>
          <w:highlight w:val="none"/>
        </w:rPr>
      </w:pPr>
      <w:r>
        <w:rPr>
          <w:rFonts w:hint="eastAsia" w:ascii="宋体" w:hAnsi="宋体"/>
          <w:b/>
          <w:color w:val="auto"/>
          <w:sz w:val="32"/>
          <w:szCs w:val="32"/>
          <w:highlight w:val="none"/>
        </w:rPr>
        <w:t>招标代理机构：</w:t>
      </w:r>
      <w:r>
        <w:rPr>
          <w:rFonts w:hint="eastAsia" w:ascii="宋体" w:hAnsi="宋体"/>
          <w:b/>
          <w:color w:val="auto"/>
          <w:sz w:val="32"/>
          <w:szCs w:val="32"/>
          <w:highlight w:val="none"/>
          <w:u w:val="single"/>
          <w:lang w:eastAsia="zh-CN"/>
        </w:rPr>
        <w:t>安徽巍昂工程管理咨询有限公司</w:t>
      </w:r>
    </w:p>
    <w:p w14:paraId="77B221F3">
      <w:pPr>
        <w:rPr>
          <w:rFonts w:ascii="宋体" w:hAnsi="宋体"/>
          <w:b/>
          <w:color w:val="auto"/>
          <w:sz w:val="32"/>
          <w:szCs w:val="32"/>
          <w:highlight w:val="none"/>
          <w:u w:val="single"/>
        </w:rPr>
      </w:pPr>
    </w:p>
    <w:p w14:paraId="2BBD885E">
      <w:pPr>
        <w:spacing w:line="440" w:lineRule="exact"/>
        <w:ind w:right="42" w:rightChars="20"/>
        <w:jc w:val="center"/>
        <w:rPr>
          <w:rFonts w:ascii="宋体" w:hAnsi="宋体" w:cs="Arial"/>
          <w:b/>
          <w:color w:val="auto"/>
          <w:sz w:val="32"/>
          <w:szCs w:val="32"/>
          <w:highlight w:val="none"/>
        </w:rPr>
      </w:pPr>
    </w:p>
    <w:p w14:paraId="49C10D56">
      <w:pPr>
        <w:spacing w:line="440" w:lineRule="exact"/>
        <w:ind w:right="42" w:rightChars="20"/>
        <w:jc w:val="center"/>
        <w:rPr>
          <w:rFonts w:ascii="宋体" w:hAnsi="宋体" w:cs="Arial"/>
          <w:b/>
          <w:color w:val="auto"/>
          <w:sz w:val="32"/>
          <w:szCs w:val="32"/>
          <w:highlight w:val="none"/>
        </w:rPr>
      </w:pPr>
    </w:p>
    <w:p w14:paraId="3E761BE8">
      <w:pPr>
        <w:spacing w:line="440" w:lineRule="exact"/>
        <w:ind w:right="42" w:rightChars="20"/>
        <w:jc w:val="center"/>
        <w:rPr>
          <w:rFonts w:ascii="宋体" w:hAnsi="宋体" w:cs="Arial"/>
          <w:b/>
          <w:color w:val="auto"/>
          <w:sz w:val="32"/>
          <w:szCs w:val="32"/>
          <w:highlight w:val="none"/>
        </w:rPr>
      </w:pPr>
      <w:r>
        <w:rPr>
          <w:rFonts w:ascii="宋体" w:hAnsi="宋体" w:cs="Arial"/>
          <w:b/>
          <w:color w:val="auto"/>
          <w:sz w:val="32"/>
          <w:szCs w:val="32"/>
          <w:highlight w:val="none"/>
        </w:rPr>
        <w:t>20</w:t>
      </w:r>
      <w:r>
        <w:rPr>
          <w:rFonts w:hint="eastAsia" w:ascii="宋体" w:hAnsi="宋体" w:cs="Arial"/>
          <w:b/>
          <w:color w:val="auto"/>
          <w:sz w:val="32"/>
          <w:szCs w:val="32"/>
          <w:highlight w:val="none"/>
        </w:rPr>
        <w:t>2</w:t>
      </w:r>
      <w:r>
        <w:rPr>
          <w:rFonts w:hint="eastAsia" w:ascii="宋体" w:hAnsi="宋体" w:cs="Arial"/>
          <w:b/>
          <w:color w:val="auto"/>
          <w:sz w:val="32"/>
          <w:szCs w:val="32"/>
          <w:highlight w:val="none"/>
          <w:lang w:val="en-US" w:eastAsia="zh-CN"/>
        </w:rPr>
        <w:t>6</w:t>
      </w:r>
      <w:r>
        <w:rPr>
          <w:rFonts w:hint="eastAsia" w:ascii="宋体" w:hAnsi="宋体" w:cs="Arial"/>
          <w:b/>
          <w:color w:val="auto"/>
          <w:sz w:val="32"/>
          <w:szCs w:val="32"/>
          <w:highlight w:val="none"/>
        </w:rPr>
        <w:t>年</w:t>
      </w:r>
      <w:r>
        <w:rPr>
          <w:rFonts w:hint="eastAsia" w:ascii="宋体" w:hAnsi="宋体" w:cs="Arial"/>
          <w:b/>
          <w:color w:val="auto"/>
          <w:sz w:val="32"/>
          <w:szCs w:val="32"/>
          <w:highlight w:val="none"/>
          <w:lang w:val="en-US" w:eastAsia="zh-CN"/>
        </w:rPr>
        <w:t>7</w:t>
      </w:r>
      <w:r>
        <w:rPr>
          <w:rFonts w:hint="eastAsia" w:ascii="宋体" w:hAnsi="宋体" w:cs="Arial"/>
          <w:b/>
          <w:color w:val="auto"/>
          <w:sz w:val="32"/>
          <w:szCs w:val="32"/>
          <w:highlight w:val="none"/>
        </w:rPr>
        <w:t>月</w:t>
      </w:r>
      <w:r>
        <w:rPr>
          <w:rFonts w:ascii="宋体" w:hAnsi="宋体" w:cs="Arial"/>
          <w:b/>
          <w:color w:val="auto"/>
          <w:sz w:val="32"/>
          <w:szCs w:val="32"/>
          <w:highlight w:val="none"/>
        </w:rPr>
        <w:t xml:space="preserve"> </w:t>
      </w:r>
    </w:p>
    <w:p w14:paraId="0C767EE9">
      <w:pPr>
        <w:widowControl/>
        <w:jc w:val="left"/>
        <w:rPr>
          <w:rFonts w:ascii="宋体" w:hAnsi="宋体"/>
          <w:color w:val="auto"/>
          <w:sz w:val="32"/>
          <w:szCs w:val="32"/>
          <w:highlight w:val="none"/>
        </w:rPr>
      </w:pPr>
      <w:r>
        <w:rPr>
          <w:rFonts w:ascii="宋体" w:hAnsi="宋体"/>
          <w:color w:val="auto"/>
          <w:sz w:val="32"/>
          <w:szCs w:val="32"/>
          <w:highlight w:val="none"/>
        </w:rPr>
        <w:br w:type="page"/>
      </w:r>
    </w:p>
    <w:p w14:paraId="56FBB7C7">
      <w:pPr>
        <w:tabs>
          <w:tab w:val="left" w:pos="563"/>
        </w:tabs>
        <w:spacing w:before="54"/>
        <w:ind w:right="133"/>
        <w:jc w:val="center"/>
        <w:rPr>
          <w:rFonts w:ascii="宋体" w:hAnsi="宋体"/>
          <w:b/>
          <w:color w:val="auto"/>
          <w:sz w:val="32"/>
          <w:highlight w:val="none"/>
        </w:rPr>
      </w:pPr>
      <w:r>
        <w:rPr>
          <w:rFonts w:ascii="宋体" w:hAnsi="宋体"/>
          <w:b/>
          <w:color w:val="auto"/>
          <w:sz w:val="32"/>
          <w:highlight w:val="none"/>
        </w:rPr>
        <w:t>目</w:t>
      </w:r>
      <w:r>
        <w:rPr>
          <w:rFonts w:ascii="宋体" w:hAnsi="宋体"/>
          <w:b/>
          <w:color w:val="auto"/>
          <w:sz w:val="32"/>
          <w:highlight w:val="none"/>
        </w:rPr>
        <w:tab/>
      </w:r>
      <w:r>
        <w:rPr>
          <w:rFonts w:ascii="宋体" w:hAnsi="宋体"/>
          <w:b/>
          <w:color w:val="auto"/>
          <w:sz w:val="32"/>
          <w:highlight w:val="none"/>
        </w:rPr>
        <w:t>录</w:t>
      </w:r>
    </w:p>
    <w:p w14:paraId="705848B8">
      <w:pPr>
        <w:pStyle w:val="32"/>
        <w:rPr>
          <w:rFonts w:ascii="宋体" w:hAnsi="宋体"/>
          <w:b/>
          <w:color w:val="auto"/>
          <w:sz w:val="32"/>
          <w:highlight w:val="none"/>
        </w:rPr>
      </w:pPr>
    </w:p>
    <w:p w14:paraId="06D08F93">
      <w:pPr>
        <w:pStyle w:val="32"/>
        <w:rPr>
          <w:rFonts w:ascii="宋体" w:hAnsi="宋体"/>
          <w:b/>
          <w:color w:val="auto"/>
          <w:sz w:val="32"/>
          <w:highlight w:val="none"/>
        </w:rPr>
      </w:pPr>
    </w:p>
    <w:p w14:paraId="0143E94C">
      <w:pPr>
        <w:pStyle w:val="14"/>
        <w:tabs>
          <w:tab w:val="right" w:leader="dot" w:pos="8890"/>
        </w:tabs>
        <w:spacing w:line="480" w:lineRule="auto"/>
        <w:rPr>
          <w:b/>
          <w:bCs/>
          <w:color w:val="auto"/>
          <w:sz w:val="24"/>
          <w:szCs w:val="24"/>
          <w:highlight w:val="none"/>
        </w:rPr>
      </w:pPr>
      <w:r>
        <w:rPr>
          <w:b/>
          <w:bCs/>
          <w:color w:val="auto"/>
          <w:highlight w:val="none"/>
        </w:rPr>
        <w:fldChar w:fldCharType="begin"/>
      </w:r>
      <w:r>
        <w:rPr>
          <w:b/>
          <w:bCs/>
          <w:color w:val="auto"/>
          <w:highlight w:val="none"/>
        </w:rPr>
        <w:instrText xml:space="preserve">TOC \o "1-1" \h \u </w:instrText>
      </w:r>
      <w:r>
        <w:rPr>
          <w:b/>
          <w:bCs/>
          <w:color w:val="auto"/>
          <w:highlight w:val="none"/>
        </w:rPr>
        <w:fldChar w:fldCharType="separate"/>
      </w:r>
      <w:r>
        <w:rPr>
          <w:b/>
          <w:bCs/>
          <w:color w:val="auto"/>
          <w:sz w:val="24"/>
          <w:szCs w:val="24"/>
          <w:highlight w:val="none"/>
        </w:rPr>
        <w:fldChar w:fldCharType="begin"/>
      </w:r>
      <w:r>
        <w:rPr>
          <w:b/>
          <w:bCs/>
          <w:color w:val="auto"/>
          <w:sz w:val="24"/>
          <w:szCs w:val="24"/>
          <w:highlight w:val="none"/>
        </w:rPr>
        <w:instrText xml:space="preserve"> HYPERLINK \l _Toc24189 </w:instrText>
      </w:r>
      <w:r>
        <w:rPr>
          <w:b/>
          <w:bCs/>
          <w:color w:val="auto"/>
          <w:sz w:val="24"/>
          <w:szCs w:val="24"/>
          <w:highlight w:val="none"/>
        </w:rPr>
        <w:fldChar w:fldCharType="separate"/>
      </w:r>
      <w:r>
        <w:rPr>
          <w:rFonts w:hint="eastAsia" w:ascii="宋体" w:hAnsi="宋体"/>
          <w:b/>
          <w:bCs/>
          <w:color w:val="auto"/>
          <w:sz w:val="24"/>
          <w:szCs w:val="40"/>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_Toc24189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14:paraId="5D9AC3AD">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_Toc24537 </w:instrText>
      </w:r>
      <w:r>
        <w:rPr>
          <w:b/>
          <w:bCs/>
          <w:color w:val="auto"/>
          <w:sz w:val="24"/>
          <w:szCs w:val="24"/>
          <w:highlight w:val="none"/>
        </w:rPr>
        <w:fldChar w:fldCharType="separate"/>
      </w:r>
      <w:r>
        <w:rPr>
          <w:rFonts w:hint="eastAsia" w:ascii="宋体" w:hAnsi="宋体"/>
          <w:b/>
          <w:bCs/>
          <w:color w:val="auto"/>
          <w:sz w:val="24"/>
          <w:szCs w:val="40"/>
          <w:highlight w:val="none"/>
        </w:rPr>
        <w:t>第二章 供应商须知</w:t>
      </w:r>
      <w:r>
        <w:rPr>
          <w:b/>
          <w:bCs/>
          <w:color w:val="auto"/>
          <w:sz w:val="24"/>
          <w:szCs w:val="24"/>
          <w:highlight w:val="none"/>
        </w:rPr>
        <w:tab/>
      </w:r>
      <w:r>
        <w:rPr>
          <w:rFonts w:hint="eastAsia"/>
          <w:b/>
          <w:bCs/>
          <w:color w:val="auto"/>
          <w:sz w:val="24"/>
          <w:szCs w:val="24"/>
          <w:highlight w:val="none"/>
          <w:lang w:val="en-US" w:eastAsia="zh-CN"/>
        </w:rPr>
        <w:t>3</w:t>
      </w:r>
      <w:r>
        <w:rPr>
          <w:b/>
          <w:bCs/>
          <w:color w:val="auto"/>
          <w:sz w:val="24"/>
          <w:szCs w:val="24"/>
          <w:highlight w:val="none"/>
        </w:rPr>
        <w:fldChar w:fldCharType="end"/>
      </w:r>
    </w:p>
    <w:p w14:paraId="15C4BD6A">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_Toc24417 </w:instrText>
      </w:r>
      <w:r>
        <w:rPr>
          <w:b/>
          <w:bCs/>
          <w:color w:val="auto"/>
          <w:sz w:val="24"/>
          <w:szCs w:val="24"/>
          <w:highlight w:val="none"/>
        </w:rPr>
        <w:fldChar w:fldCharType="separate"/>
      </w:r>
      <w:r>
        <w:rPr>
          <w:rFonts w:hint="eastAsia" w:ascii="宋体" w:hAnsi="宋体"/>
          <w:b/>
          <w:bCs/>
          <w:color w:val="auto"/>
          <w:sz w:val="24"/>
          <w:szCs w:val="40"/>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_Toc24417 \h </w:instrText>
      </w:r>
      <w:r>
        <w:rPr>
          <w:b/>
          <w:bCs/>
          <w:color w:val="auto"/>
          <w:sz w:val="24"/>
          <w:szCs w:val="24"/>
          <w:highlight w:val="none"/>
        </w:rPr>
        <w:fldChar w:fldCharType="separate"/>
      </w:r>
      <w:r>
        <w:rPr>
          <w:b/>
          <w:bCs/>
          <w:color w:val="auto"/>
          <w:sz w:val="24"/>
          <w:szCs w:val="24"/>
          <w:highlight w:val="none"/>
        </w:rPr>
        <w:t>1</w:t>
      </w:r>
      <w:r>
        <w:rPr>
          <w:rFonts w:hint="eastAsia"/>
          <w:b/>
          <w:bCs/>
          <w:color w:val="auto"/>
          <w:sz w:val="24"/>
          <w:szCs w:val="24"/>
          <w:highlight w:val="none"/>
          <w:lang w:val="en-US" w:eastAsia="zh-CN"/>
        </w:rPr>
        <w:t>7</w:t>
      </w:r>
      <w:r>
        <w:rPr>
          <w:b/>
          <w:bCs/>
          <w:color w:val="auto"/>
          <w:sz w:val="24"/>
          <w:szCs w:val="24"/>
          <w:highlight w:val="none"/>
        </w:rPr>
        <w:fldChar w:fldCharType="end"/>
      </w:r>
      <w:r>
        <w:rPr>
          <w:b/>
          <w:bCs/>
          <w:color w:val="auto"/>
          <w:sz w:val="24"/>
          <w:szCs w:val="24"/>
          <w:highlight w:val="none"/>
        </w:rPr>
        <w:fldChar w:fldCharType="end"/>
      </w:r>
    </w:p>
    <w:p w14:paraId="30F225D8">
      <w:pPr>
        <w:pStyle w:val="14"/>
        <w:tabs>
          <w:tab w:val="right" w:leader="dot" w:pos="8890"/>
        </w:tabs>
        <w:spacing w:line="480" w:lineRule="auto"/>
        <w:rPr>
          <w:rFonts w:hint="eastAsia" w:eastAsia="宋体"/>
          <w:b/>
          <w:bCs/>
          <w:color w:val="auto"/>
          <w:sz w:val="24"/>
          <w:szCs w:val="24"/>
          <w:highlight w:val="none"/>
          <w:lang w:val="en-US" w:eastAsia="zh-CN"/>
        </w:rPr>
      </w:pPr>
      <w:r>
        <w:rPr>
          <w:b/>
          <w:bCs/>
          <w:color w:val="auto"/>
          <w:sz w:val="24"/>
          <w:szCs w:val="24"/>
          <w:highlight w:val="none"/>
        </w:rPr>
        <w:fldChar w:fldCharType="begin"/>
      </w:r>
      <w:r>
        <w:rPr>
          <w:b/>
          <w:bCs/>
          <w:color w:val="auto"/>
          <w:sz w:val="24"/>
          <w:szCs w:val="24"/>
          <w:highlight w:val="none"/>
        </w:rPr>
        <w:instrText xml:space="preserve"> HYPERLINK \l _Toc14564 </w:instrText>
      </w:r>
      <w:r>
        <w:rPr>
          <w:b/>
          <w:bCs/>
          <w:color w:val="auto"/>
          <w:sz w:val="24"/>
          <w:szCs w:val="24"/>
          <w:highlight w:val="none"/>
        </w:rPr>
        <w:fldChar w:fldCharType="separate"/>
      </w:r>
      <w:r>
        <w:rPr>
          <w:rFonts w:hint="eastAsia" w:ascii="宋体" w:hAnsi="宋体"/>
          <w:b/>
          <w:bCs/>
          <w:color w:val="auto"/>
          <w:sz w:val="24"/>
          <w:szCs w:val="40"/>
          <w:highlight w:val="none"/>
        </w:rPr>
        <w:t>第四章 评审方法和标准</w:t>
      </w:r>
      <w:r>
        <w:rPr>
          <w:b/>
          <w:bCs/>
          <w:color w:val="auto"/>
          <w:sz w:val="24"/>
          <w:szCs w:val="24"/>
          <w:highlight w:val="none"/>
        </w:rPr>
        <w:tab/>
      </w:r>
      <w:r>
        <w:rPr>
          <w:rFonts w:hint="eastAsia"/>
          <w:b/>
          <w:bCs/>
          <w:color w:val="auto"/>
          <w:sz w:val="24"/>
          <w:szCs w:val="24"/>
          <w:highlight w:val="none"/>
          <w:lang w:val="en-US" w:eastAsia="zh-CN"/>
        </w:rPr>
        <w:t>1</w:t>
      </w:r>
      <w:r>
        <w:rPr>
          <w:b/>
          <w:bCs/>
          <w:color w:val="auto"/>
          <w:sz w:val="24"/>
          <w:szCs w:val="24"/>
          <w:highlight w:val="none"/>
        </w:rPr>
        <w:fldChar w:fldCharType="end"/>
      </w:r>
      <w:r>
        <w:rPr>
          <w:rFonts w:hint="eastAsia"/>
          <w:b/>
          <w:bCs/>
          <w:color w:val="auto"/>
          <w:sz w:val="24"/>
          <w:szCs w:val="24"/>
          <w:highlight w:val="none"/>
          <w:lang w:val="en-US" w:eastAsia="zh-CN"/>
        </w:rPr>
        <w:t>9</w:t>
      </w:r>
    </w:p>
    <w:p w14:paraId="69ACD455">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_Toc15159 </w:instrText>
      </w:r>
      <w:r>
        <w:rPr>
          <w:b/>
          <w:bCs/>
          <w:color w:val="auto"/>
          <w:sz w:val="24"/>
          <w:szCs w:val="24"/>
          <w:highlight w:val="none"/>
        </w:rPr>
        <w:fldChar w:fldCharType="separate"/>
      </w:r>
      <w:r>
        <w:rPr>
          <w:rFonts w:hint="eastAsia" w:ascii="宋体" w:hAnsi="宋体"/>
          <w:b/>
          <w:bCs/>
          <w:color w:val="auto"/>
          <w:sz w:val="24"/>
          <w:szCs w:val="40"/>
          <w:highlight w:val="none"/>
        </w:rPr>
        <w:t>第五章 采购合同</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_Toc15159 \h </w:instrText>
      </w:r>
      <w:r>
        <w:rPr>
          <w:b/>
          <w:bCs/>
          <w:color w:val="auto"/>
          <w:sz w:val="24"/>
          <w:szCs w:val="24"/>
          <w:highlight w:val="none"/>
        </w:rPr>
        <w:fldChar w:fldCharType="separate"/>
      </w:r>
      <w:r>
        <w:rPr>
          <w:b/>
          <w:bCs/>
          <w:color w:val="auto"/>
          <w:sz w:val="24"/>
          <w:szCs w:val="24"/>
          <w:highlight w:val="none"/>
        </w:rPr>
        <w:t>2</w:t>
      </w:r>
      <w:r>
        <w:rPr>
          <w:rFonts w:hint="eastAsia"/>
          <w:b/>
          <w:bCs/>
          <w:color w:val="auto"/>
          <w:sz w:val="24"/>
          <w:szCs w:val="24"/>
          <w:highlight w:val="none"/>
          <w:lang w:val="en-US" w:eastAsia="zh-CN"/>
        </w:rPr>
        <w:t>3</w:t>
      </w:r>
      <w:r>
        <w:rPr>
          <w:b/>
          <w:bCs/>
          <w:color w:val="auto"/>
          <w:sz w:val="24"/>
          <w:szCs w:val="24"/>
          <w:highlight w:val="none"/>
        </w:rPr>
        <w:fldChar w:fldCharType="end"/>
      </w:r>
      <w:r>
        <w:rPr>
          <w:b/>
          <w:bCs/>
          <w:color w:val="auto"/>
          <w:sz w:val="24"/>
          <w:szCs w:val="24"/>
          <w:highlight w:val="none"/>
        </w:rPr>
        <w:fldChar w:fldCharType="end"/>
      </w:r>
    </w:p>
    <w:p w14:paraId="71C085FE">
      <w:pPr>
        <w:pStyle w:val="14"/>
        <w:tabs>
          <w:tab w:val="right" w:leader="dot" w:pos="8890"/>
        </w:tabs>
        <w:spacing w:line="480" w:lineRule="auto"/>
        <w:rPr>
          <w:color w:val="auto"/>
          <w:highlight w:val="none"/>
        </w:rPr>
      </w:pPr>
      <w:r>
        <w:rPr>
          <w:b/>
          <w:bCs/>
          <w:color w:val="auto"/>
          <w:sz w:val="24"/>
          <w:szCs w:val="24"/>
          <w:highlight w:val="none"/>
        </w:rPr>
        <w:fldChar w:fldCharType="begin"/>
      </w:r>
      <w:r>
        <w:rPr>
          <w:b/>
          <w:bCs/>
          <w:color w:val="auto"/>
          <w:sz w:val="24"/>
          <w:szCs w:val="24"/>
          <w:highlight w:val="none"/>
        </w:rPr>
        <w:instrText xml:space="preserve"> HYPERLINK \l _Toc538 </w:instrText>
      </w:r>
      <w:r>
        <w:rPr>
          <w:b/>
          <w:bCs/>
          <w:color w:val="auto"/>
          <w:sz w:val="24"/>
          <w:szCs w:val="24"/>
          <w:highlight w:val="none"/>
        </w:rPr>
        <w:fldChar w:fldCharType="separate"/>
      </w:r>
      <w:r>
        <w:rPr>
          <w:rFonts w:hint="eastAsia" w:ascii="宋体" w:hAnsi="宋体"/>
          <w:b/>
          <w:bCs/>
          <w:color w:val="auto"/>
          <w:sz w:val="24"/>
          <w:szCs w:val="40"/>
          <w:highlight w:val="none"/>
        </w:rPr>
        <w:t>第六章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_Toc538 \h </w:instrText>
      </w:r>
      <w:r>
        <w:rPr>
          <w:b/>
          <w:bCs/>
          <w:color w:val="auto"/>
          <w:sz w:val="24"/>
          <w:szCs w:val="24"/>
          <w:highlight w:val="none"/>
        </w:rPr>
        <w:fldChar w:fldCharType="separate"/>
      </w:r>
      <w:r>
        <w:rPr>
          <w:b/>
          <w:bCs/>
          <w:color w:val="auto"/>
          <w:sz w:val="24"/>
          <w:szCs w:val="24"/>
          <w:highlight w:val="none"/>
        </w:rPr>
        <w:t>3</w:t>
      </w:r>
      <w:r>
        <w:rPr>
          <w:rFonts w:hint="eastAsia"/>
          <w:b/>
          <w:bCs/>
          <w:color w:val="auto"/>
          <w:sz w:val="24"/>
          <w:szCs w:val="24"/>
          <w:highlight w:val="none"/>
          <w:lang w:val="en-US" w:eastAsia="zh-CN"/>
        </w:rPr>
        <w:t>2</w:t>
      </w:r>
      <w:r>
        <w:rPr>
          <w:b/>
          <w:bCs/>
          <w:color w:val="auto"/>
          <w:sz w:val="24"/>
          <w:szCs w:val="24"/>
          <w:highlight w:val="none"/>
        </w:rPr>
        <w:fldChar w:fldCharType="end"/>
      </w:r>
      <w:r>
        <w:rPr>
          <w:b/>
          <w:bCs/>
          <w:color w:val="auto"/>
          <w:sz w:val="24"/>
          <w:szCs w:val="24"/>
          <w:highlight w:val="none"/>
        </w:rPr>
        <w:fldChar w:fldCharType="end"/>
      </w:r>
    </w:p>
    <w:p w14:paraId="710FF1C9">
      <w:pPr>
        <w:spacing w:line="480" w:lineRule="auto"/>
        <w:rPr>
          <w:b/>
          <w:bCs/>
          <w:color w:val="auto"/>
          <w:highlight w:val="none"/>
        </w:rPr>
      </w:pPr>
      <w:r>
        <w:rPr>
          <w:bCs/>
          <w:color w:val="auto"/>
          <w:highlight w:val="none"/>
        </w:rPr>
        <w:fldChar w:fldCharType="end"/>
      </w:r>
    </w:p>
    <w:p w14:paraId="6A8415B0">
      <w:pPr>
        <w:widowControl/>
        <w:jc w:val="left"/>
        <w:rPr>
          <w:rFonts w:ascii="宋体" w:hAnsi="宋体"/>
          <w:color w:val="auto"/>
          <w:highlight w:val="none"/>
        </w:rPr>
        <w:sectPr>
          <w:pgSz w:w="11910" w:h="16840"/>
          <w:pgMar w:top="1380" w:right="1440" w:bottom="1500" w:left="1580" w:header="877" w:footer="1304" w:gutter="0"/>
          <w:cols w:space="720" w:num="1"/>
        </w:sectPr>
      </w:pPr>
    </w:p>
    <w:p w14:paraId="4451C70E">
      <w:pPr>
        <w:pStyle w:val="6"/>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0" w:name="_Toc24189"/>
      <w:bookmarkStart w:id="1" w:name="OLE_LINK1"/>
      <w:r>
        <w:rPr>
          <w:rFonts w:hint="eastAsia" w:ascii="宋体" w:hAnsi="宋体"/>
          <w:color w:val="auto"/>
          <w:sz w:val="32"/>
          <w:szCs w:val="32"/>
          <w:highlight w:val="none"/>
        </w:rPr>
        <w:t>竞争性磋商公告</w:t>
      </w:r>
      <w:bookmarkEnd w:id="0"/>
    </w:p>
    <w:bookmarkEnd w:id="1"/>
    <w:p w14:paraId="0AE47204">
      <w:pPr>
        <w:pStyle w:val="7"/>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bookmarkStart w:id="2" w:name="_Toc3037"/>
      <w:bookmarkStart w:id="3" w:name="_Toc28359089"/>
      <w:bookmarkStart w:id="4" w:name="_Toc35393629"/>
      <w:bookmarkStart w:id="5" w:name="_Toc28359012"/>
      <w:bookmarkStart w:id="6" w:name="_Toc35393798"/>
      <w:bookmarkStart w:id="7" w:name="_Toc3172"/>
      <w:bookmarkStart w:id="8" w:name="_Toc23481"/>
      <w:bookmarkStart w:id="9" w:name="_Toc7080"/>
      <w:r>
        <w:rPr>
          <w:rFonts w:hint="eastAsia" w:ascii="宋体" w:hAnsi="宋体" w:eastAsia="宋体"/>
          <w:b/>
          <w:i w:val="0"/>
          <w:color w:val="auto"/>
          <w:kern w:val="2"/>
          <w:sz w:val="21"/>
          <w:szCs w:val="21"/>
          <w:highlight w:val="none"/>
          <w:lang w:val="en-US" w:bidi="ar-SA"/>
        </w:rPr>
        <w:t>项目概况</w:t>
      </w:r>
      <w:bookmarkEnd w:id="2"/>
    </w:p>
    <w:p w14:paraId="2015C9F0">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0" w:name="_Toc3593"/>
      <w:r>
        <w:rPr>
          <w:rFonts w:hint="eastAsia" w:ascii="宋体" w:hAnsi="宋体" w:cs="Times New Roman"/>
          <w:color w:val="auto"/>
          <w:sz w:val="21"/>
          <w:szCs w:val="21"/>
          <w:highlight w:val="none"/>
          <w:lang w:val="en-US" w:eastAsia="zh-CN"/>
        </w:rPr>
        <w:t>安徽巍昂工程管理咨询有限公司</w:t>
      </w:r>
      <w:r>
        <w:rPr>
          <w:rFonts w:hint="eastAsia" w:ascii="宋体" w:hAnsi="宋体" w:eastAsia="宋体" w:cs="Times New Roman"/>
          <w:color w:val="auto"/>
          <w:sz w:val="21"/>
          <w:szCs w:val="21"/>
          <w:highlight w:val="none"/>
          <w:lang w:val="en-US" w:eastAsia="zh-CN"/>
        </w:rPr>
        <w:t>受</w:t>
      </w:r>
      <w:r>
        <w:rPr>
          <w:rFonts w:hint="eastAsia" w:ascii="宋体" w:hAnsi="宋体"/>
          <w:color w:val="auto"/>
          <w:sz w:val="21"/>
          <w:szCs w:val="21"/>
          <w:highlight w:val="none"/>
          <w:lang w:eastAsia="zh-CN"/>
        </w:rPr>
        <w:t>安徽融兴科技有限公司</w:t>
      </w:r>
      <w:r>
        <w:rPr>
          <w:rFonts w:hint="eastAsia" w:ascii="宋体" w:hAnsi="宋体" w:eastAsia="宋体" w:cs="Times New Roman"/>
          <w:color w:val="auto"/>
          <w:sz w:val="21"/>
          <w:szCs w:val="21"/>
          <w:highlight w:val="none"/>
          <w:lang w:val="en-US" w:eastAsia="zh-CN"/>
        </w:rPr>
        <w:t>委托，现对</w:t>
      </w:r>
      <w:r>
        <w:rPr>
          <w:rFonts w:hint="eastAsia" w:ascii="宋体" w:hAnsi="宋体" w:cs="Times New Roman"/>
          <w:color w:val="auto"/>
          <w:sz w:val="21"/>
          <w:szCs w:val="21"/>
          <w:highlight w:val="none"/>
          <w:u w:val="single"/>
          <w:lang w:val="en-US" w:eastAsia="zh-CN"/>
        </w:rPr>
        <w:t>界首市综合能源一体化项目可行性研究报告编制服务项目</w:t>
      </w:r>
      <w:r>
        <w:rPr>
          <w:rFonts w:hint="eastAsia" w:ascii="宋体" w:hAnsi="宋体" w:eastAsia="宋体" w:cs="Times New Roman"/>
          <w:color w:val="auto"/>
          <w:sz w:val="21"/>
          <w:szCs w:val="21"/>
          <w:highlight w:val="none"/>
          <w:lang w:val="en-US" w:eastAsia="zh-CN"/>
        </w:rPr>
        <w:t>进行招标,欢迎符合条件的供应商参加响应，并于</w:t>
      </w:r>
      <w:r>
        <w:rPr>
          <w:rFonts w:hint="eastAsia" w:ascii="宋体" w:hAnsi="宋体" w:eastAsia="宋体" w:cs="Times New Roman"/>
          <w:color w:val="auto"/>
          <w:sz w:val="21"/>
          <w:szCs w:val="21"/>
          <w:highlight w:val="none"/>
          <w:u w:val="single"/>
          <w:lang w:val="en-US" w:eastAsia="zh-CN"/>
        </w:rPr>
        <w:t>202</w:t>
      </w:r>
      <w:r>
        <w:rPr>
          <w:rFonts w:hint="eastAsia" w:ascii="宋体" w:hAnsi="宋体" w:cs="Times New Roman"/>
          <w:color w:val="auto"/>
          <w:sz w:val="21"/>
          <w:szCs w:val="21"/>
          <w:highlight w:val="none"/>
          <w:u w:val="single"/>
          <w:lang w:val="en-US" w:eastAsia="zh-CN"/>
        </w:rPr>
        <w:t>6</w:t>
      </w:r>
      <w:r>
        <w:rPr>
          <w:rFonts w:hint="eastAsia" w:ascii="宋体" w:hAnsi="宋体" w:eastAsia="宋体" w:cs="Times New Roman"/>
          <w:color w:val="auto"/>
          <w:sz w:val="21"/>
          <w:szCs w:val="21"/>
          <w:highlight w:val="none"/>
          <w:u w:val="single"/>
          <w:lang w:val="en-US" w:eastAsia="zh-CN"/>
        </w:rPr>
        <w:t>年</w:t>
      </w:r>
      <w:r>
        <w:rPr>
          <w:rFonts w:hint="eastAsia" w:ascii="宋体" w:hAnsi="宋体" w:cs="Times New Roman"/>
          <w:color w:val="auto"/>
          <w:sz w:val="21"/>
          <w:szCs w:val="21"/>
          <w:highlight w:val="none"/>
          <w:u w:val="single"/>
          <w:lang w:val="en-US" w:eastAsia="zh-CN"/>
        </w:rPr>
        <w:t>7</w:t>
      </w:r>
      <w:r>
        <w:rPr>
          <w:rFonts w:hint="eastAsia" w:ascii="宋体" w:hAnsi="宋体" w:eastAsia="宋体" w:cs="Times New Roman"/>
          <w:color w:val="auto"/>
          <w:sz w:val="21"/>
          <w:szCs w:val="21"/>
          <w:highlight w:val="none"/>
          <w:u w:val="single"/>
          <w:lang w:val="en-US" w:eastAsia="zh-CN"/>
        </w:rPr>
        <w:t>月</w:t>
      </w:r>
      <w:r>
        <w:rPr>
          <w:rFonts w:hint="eastAsia" w:ascii="宋体" w:hAnsi="宋体" w:cs="Times New Roman"/>
          <w:color w:val="auto"/>
          <w:sz w:val="21"/>
          <w:szCs w:val="21"/>
          <w:highlight w:val="none"/>
          <w:u w:val="single"/>
          <w:lang w:val="en-US" w:eastAsia="zh-CN"/>
        </w:rPr>
        <w:t>20</w:t>
      </w:r>
      <w:r>
        <w:rPr>
          <w:rFonts w:hint="eastAsia" w:ascii="宋体" w:hAnsi="宋体" w:eastAsia="宋体" w:cs="Times New Roman"/>
          <w:color w:val="auto"/>
          <w:sz w:val="21"/>
          <w:szCs w:val="21"/>
          <w:highlight w:val="none"/>
          <w:u w:val="single"/>
          <w:lang w:val="en-US" w:eastAsia="zh-CN"/>
        </w:rPr>
        <w:t>日</w:t>
      </w:r>
      <w:r>
        <w:rPr>
          <w:rFonts w:hint="eastAsia" w:ascii="宋体" w:hAnsi="宋体" w:cs="Times New Roman"/>
          <w:color w:val="auto"/>
          <w:sz w:val="21"/>
          <w:szCs w:val="21"/>
          <w:highlight w:val="none"/>
          <w:u w:val="single"/>
          <w:lang w:val="en-US" w:eastAsia="zh-CN"/>
        </w:rPr>
        <w:t>15</w:t>
      </w:r>
      <w:r>
        <w:rPr>
          <w:rFonts w:hint="eastAsia" w:ascii="宋体" w:hAnsi="宋体" w:eastAsia="宋体" w:cs="Times New Roman"/>
          <w:color w:val="auto"/>
          <w:sz w:val="21"/>
          <w:szCs w:val="21"/>
          <w:highlight w:val="none"/>
          <w:u w:val="single"/>
          <w:lang w:val="en-US" w:eastAsia="zh-CN"/>
        </w:rPr>
        <w:t>点</w:t>
      </w:r>
      <w:r>
        <w:rPr>
          <w:rFonts w:hint="eastAsia" w:ascii="宋体" w:hAnsi="宋体" w:cs="Times New Roman"/>
          <w:color w:val="auto"/>
          <w:sz w:val="21"/>
          <w:szCs w:val="21"/>
          <w:highlight w:val="none"/>
          <w:u w:val="single"/>
          <w:lang w:val="en-US" w:eastAsia="zh-CN"/>
        </w:rPr>
        <w:t>00</w:t>
      </w:r>
      <w:r>
        <w:rPr>
          <w:rFonts w:hint="eastAsia" w:ascii="宋体" w:hAnsi="宋体" w:eastAsia="宋体" w:cs="Times New Roman"/>
          <w:color w:val="auto"/>
          <w:sz w:val="21"/>
          <w:szCs w:val="21"/>
          <w:highlight w:val="none"/>
          <w:u w:val="single"/>
          <w:lang w:val="en-US" w:eastAsia="zh-CN"/>
        </w:rPr>
        <w:t>分</w:t>
      </w:r>
      <w:r>
        <w:rPr>
          <w:rFonts w:hint="eastAsia" w:ascii="宋体" w:hAnsi="宋体" w:eastAsia="宋体" w:cs="Times New Roman"/>
          <w:color w:val="auto"/>
          <w:sz w:val="21"/>
          <w:szCs w:val="21"/>
          <w:highlight w:val="none"/>
          <w:lang w:val="en-US" w:eastAsia="zh-CN"/>
        </w:rPr>
        <w:t>（北京时间）前递交响应文件。</w:t>
      </w:r>
    </w:p>
    <w:p w14:paraId="19A9C67B">
      <w:pPr>
        <w:pStyle w:val="7"/>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一、项目基本情况</w:t>
      </w:r>
      <w:bookmarkEnd w:id="3"/>
      <w:bookmarkEnd w:id="4"/>
      <w:bookmarkEnd w:id="5"/>
      <w:bookmarkEnd w:id="6"/>
      <w:bookmarkEnd w:id="7"/>
      <w:bookmarkEnd w:id="8"/>
      <w:bookmarkEnd w:id="9"/>
      <w:bookmarkEnd w:id="10"/>
    </w:p>
    <w:p w14:paraId="3E71B1C5">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r>
        <w:rPr>
          <w:rFonts w:hint="eastAsia" w:ascii="宋体" w:hAnsi="宋体" w:cs="Times New Roman"/>
          <w:color w:val="auto"/>
          <w:sz w:val="21"/>
          <w:szCs w:val="21"/>
          <w:highlight w:val="none"/>
          <w:lang w:val="en-US" w:eastAsia="zh-CN"/>
        </w:rPr>
        <w:t xml:space="preserve">界首市综合能源一体化项目可行性研究报告编制服务项目 </w:t>
      </w:r>
    </w:p>
    <w:p w14:paraId="068CFDE7">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采购方式：竞争性</w:t>
      </w:r>
      <w:r>
        <w:rPr>
          <w:rFonts w:hint="eastAsia" w:ascii="宋体" w:hAnsi="宋体" w:cs="Times New Roman"/>
          <w:color w:val="auto"/>
          <w:sz w:val="21"/>
          <w:szCs w:val="21"/>
          <w:highlight w:val="none"/>
          <w:lang w:val="en-US" w:eastAsia="zh-CN"/>
        </w:rPr>
        <w:t>磋商</w:t>
      </w:r>
    </w:p>
    <w:p w14:paraId="40B10DFF">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预算金额：25万元</w:t>
      </w:r>
    </w:p>
    <w:p w14:paraId="7D781616">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最高限价：</w:t>
      </w:r>
      <w:r>
        <w:rPr>
          <w:rFonts w:hint="eastAsia" w:ascii="宋体" w:hAnsi="宋体" w:cs="Times New Roman"/>
          <w:color w:val="auto"/>
          <w:sz w:val="21"/>
          <w:szCs w:val="21"/>
          <w:highlight w:val="none"/>
          <w:lang w:val="en-US" w:eastAsia="zh-CN"/>
        </w:rPr>
        <w:t>25万元</w:t>
      </w:r>
    </w:p>
    <w:p w14:paraId="3D42F735">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采购需求：全面调研周边省市</w:t>
      </w:r>
      <w:r>
        <w:rPr>
          <w:rFonts w:hint="eastAsia" w:ascii="宋体" w:hAnsi="宋体" w:cs="Times New Roman"/>
          <w:color w:val="auto"/>
          <w:sz w:val="21"/>
          <w:szCs w:val="21"/>
          <w:highlight w:val="none"/>
          <w:lang w:val="en-US" w:eastAsia="zh-CN"/>
        </w:rPr>
        <w:t>综合能源</w:t>
      </w:r>
      <w:r>
        <w:rPr>
          <w:rFonts w:hint="eastAsia" w:ascii="宋体" w:hAnsi="宋体" w:eastAsia="宋体" w:cs="Times New Roman"/>
          <w:color w:val="auto"/>
          <w:sz w:val="21"/>
          <w:szCs w:val="21"/>
          <w:highlight w:val="none"/>
          <w:lang w:val="en-US" w:eastAsia="zh-CN"/>
        </w:rPr>
        <w:t>发展情况，结合本地发展实际，编制本项目的研究性报告，为后续项目建设提供指导和支撑。</w:t>
      </w:r>
    </w:p>
    <w:p w14:paraId="0EE92EF3">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合同履行期限：</w:t>
      </w:r>
      <w:r>
        <w:rPr>
          <w:rFonts w:hint="eastAsia" w:ascii="宋体" w:hAnsi="宋体" w:cs="Times New Roman"/>
          <w:color w:val="auto"/>
          <w:sz w:val="21"/>
          <w:szCs w:val="21"/>
          <w:highlight w:val="none"/>
          <w:lang w:val="en-US" w:eastAsia="zh-CN"/>
        </w:rPr>
        <w:t>35</w:t>
      </w:r>
      <w:r>
        <w:rPr>
          <w:rFonts w:hint="eastAsia" w:ascii="宋体" w:hAnsi="宋体" w:eastAsia="宋体" w:cs="Times New Roman"/>
          <w:color w:val="auto"/>
          <w:sz w:val="21"/>
          <w:szCs w:val="21"/>
          <w:highlight w:val="none"/>
        </w:rPr>
        <w:t>日历天</w:t>
      </w:r>
      <w:r>
        <w:rPr>
          <w:rFonts w:hint="eastAsia" w:ascii="宋体" w:hAnsi="宋体" w:eastAsia="宋体" w:cs="Times New Roman"/>
          <w:color w:val="auto"/>
          <w:sz w:val="21"/>
          <w:szCs w:val="21"/>
          <w:highlight w:val="none"/>
          <w:lang w:val="en-US" w:eastAsia="zh-CN"/>
        </w:rPr>
        <w:t>。</w:t>
      </w:r>
    </w:p>
    <w:p w14:paraId="4C73D77C">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本项目是否接受联合体：否。</w:t>
      </w:r>
    </w:p>
    <w:p w14:paraId="71339DE2">
      <w:pPr>
        <w:pStyle w:val="7"/>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11" w:name="_Toc27951"/>
      <w:bookmarkStart w:id="12" w:name="_Toc28359090"/>
      <w:bookmarkStart w:id="13" w:name="_Toc35393799"/>
      <w:bookmarkStart w:id="14" w:name="_Toc35393630"/>
      <w:bookmarkStart w:id="15" w:name="_Toc3808"/>
      <w:bookmarkStart w:id="16" w:name="_Toc20475"/>
      <w:bookmarkStart w:id="17" w:name="_Toc28359013"/>
      <w:bookmarkStart w:id="18" w:name="_Toc12596"/>
      <w:r>
        <w:rPr>
          <w:rFonts w:hint="eastAsia" w:ascii="宋体" w:hAnsi="宋体" w:eastAsia="宋体"/>
          <w:b/>
          <w:i w:val="0"/>
          <w:color w:val="auto"/>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5C57A777">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9" w:name="_Toc35393631"/>
      <w:bookmarkStart w:id="20" w:name="_Toc28359091"/>
      <w:bookmarkStart w:id="21" w:name="_Toc35393800"/>
      <w:bookmarkStart w:id="22" w:name="_Toc28359014"/>
      <w:r>
        <w:rPr>
          <w:rFonts w:hint="eastAsia" w:ascii="宋体" w:hAnsi="宋体" w:eastAsia="宋体" w:cs="Times New Roman"/>
          <w:color w:val="auto"/>
          <w:sz w:val="21"/>
          <w:szCs w:val="21"/>
          <w:highlight w:val="none"/>
          <w:lang w:val="en-US" w:eastAsia="zh-CN"/>
        </w:rPr>
        <w:t>1.满足《中华人民共和国政府采购法》第二十二条规定；</w:t>
      </w:r>
    </w:p>
    <w:p w14:paraId="6EA215E4">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2.本项目的特定资格要求：具有有效的营业执照。</w:t>
      </w:r>
    </w:p>
    <w:p w14:paraId="64159F56">
      <w:pPr>
        <w:pStyle w:val="7"/>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eastAsia="zh-CN" w:bidi="ar-SA"/>
        </w:rPr>
      </w:pPr>
      <w:r>
        <w:rPr>
          <w:rFonts w:hint="eastAsia" w:ascii="宋体" w:hAnsi="宋体" w:eastAsia="宋体"/>
          <w:b/>
          <w:i w:val="0"/>
          <w:color w:val="auto"/>
          <w:kern w:val="2"/>
          <w:sz w:val="21"/>
          <w:szCs w:val="21"/>
          <w:highlight w:val="none"/>
          <w:lang w:val="en-US" w:eastAsia="zh-CN" w:bidi="ar-SA"/>
        </w:rPr>
        <w:t>三、获取采购文件</w:t>
      </w:r>
      <w:bookmarkEnd w:id="19"/>
      <w:bookmarkEnd w:id="20"/>
      <w:bookmarkEnd w:id="21"/>
      <w:bookmarkEnd w:id="22"/>
    </w:p>
    <w:p w14:paraId="4FA87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lang w:eastAsia="zh-CN"/>
        </w:rPr>
      </w:pPr>
      <w:bookmarkStart w:id="23" w:name="_Toc28359092"/>
      <w:bookmarkStart w:id="24" w:name="_Toc28359015"/>
      <w:bookmarkStart w:id="25" w:name="_Toc35393632"/>
      <w:bookmarkStart w:id="26" w:name="_Toc35393801"/>
      <w:r>
        <w:rPr>
          <w:rFonts w:hint="eastAsia" w:asciiTheme="minorEastAsia" w:hAnsiTheme="minorEastAsia" w:eastAsiaTheme="minorEastAsia" w:cstheme="minorEastAsia"/>
          <w:color w:val="auto"/>
          <w:szCs w:val="21"/>
          <w:highlight w:val="none"/>
          <w:lang w:eastAsia="zh-CN"/>
        </w:rPr>
        <w:t>1、自采购公告发布之日起，凡有意参加的供应商，可在《安徽融城高新技术产业发展集团有限公司》 https://www.ahrcgxjt.com/网站获取竞争性磋商文件。</w:t>
      </w:r>
    </w:p>
    <w:p w14:paraId="50964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eastAsia="zh-CN"/>
        </w:rPr>
        <w:t>2、竞争性磋商文件发售费用</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00元/每份，售后不退，递交响应文件时交纳。未交纳竞争性磋商文件费的，采购人将拒绝接受其响应文件。</w:t>
      </w:r>
    </w:p>
    <w:p w14:paraId="54006B41">
      <w:pPr>
        <w:pStyle w:val="7"/>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四、响应文件提交</w:t>
      </w:r>
      <w:bookmarkEnd w:id="23"/>
      <w:bookmarkEnd w:id="24"/>
      <w:bookmarkEnd w:id="25"/>
      <w:bookmarkEnd w:id="26"/>
    </w:p>
    <w:p w14:paraId="50747082">
      <w:pPr>
        <w:spacing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1、截止时间：</w:t>
      </w:r>
      <w:r>
        <w:rPr>
          <w:rFonts w:hint="eastAsia" w:ascii="宋体" w:hAnsi="宋体"/>
          <w:color w:val="auto"/>
          <w:sz w:val="21"/>
          <w:szCs w:val="21"/>
          <w:highlight w:val="none"/>
          <w:u w:val="single"/>
          <w:lang w:eastAsia="zh-CN"/>
        </w:rPr>
        <w:t>20</w:t>
      </w:r>
      <w:r>
        <w:rPr>
          <w:rFonts w:hint="eastAsia" w:ascii="宋体" w:hAnsi="宋体"/>
          <w:color w:val="auto"/>
          <w:sz w:val="21"/>
          <w:szCs w:val="21"/>
          <w:highlight w:val="none"/>
          <w:u w:val="single"/>
          <w:lang w:val="en-US" w:eastAsia="zh-CN"/>
        </w:rPr>
        <w:t>26</w:t>
      </w:r>
      <w:r>
        <w:rPr>
          <w:rFonts w:hint="eastAsia" w:ascii="宋体" w:hAnsi="宋体"/>
          <w:color w:val="auto"/>
          <w:sz w:val="21"/>
          <w:szCs w:val="21"/>
          <w:highlight w:val="none"/>
          <w:u w:val="single"/>
          <w:lang w:eastAsia="zh-CN"/>
        </w:rPr>
        <w:t>年</w:t>
      </w:r>
      <w:r>
        <w:rPr>
          <w:rFonts w:hint="eastAsia" w:ascii="宋体" w:hAnsi="宋体"/>
          <w:color w:val="auto"/>
          <w:sz w:val="21"/>
          <w:szCs w:val="21"/>
          <w:highlight w:val="none"/>
          <w:u w:val="single"/>
          <w:lang w:val="en-US" w:eastAsia="zh-CN"/>
        </w:rPr>
        <w:t>7</w:t>
      </w:r>
      <w:r>
        <w:rPr>
          <w:rFonts w:hint="eastAsia" w:ascii="宋体" w:hAnsi="宋体"/>
          <w:color w:val="auto"/>
          <w:sz w:val="21"/>
          <w:szCs w:val="21"/>
          <w:highlight w:val="none"/>
          <w:u w:val="single"/>
          <w:lang w:eastAsia="zh-CN"/>
        </w:rPr>
        <w:t>月</w:t>
      </w:r>
      <w:r>
        <w:rPr>
          <w:rFonts w:hint="eastAsia" w:ascii="宋体" w:hAnsi="宋体"/>
          <w:color w:val="auto"/>
          <w:sz w:val="21"/>
          <w:szCs w:val="21"/>
          <w:highlight w:val="none"/>
          <w:u w:val="single"/>
          <w:lang w:val="en-US" w:eastAsia="zh-CN"/>
        </w:rPr>
        <w:t>20</w:t>
      </w:r>
      <w:r>
        <w:rPr>
          <w:rFonts w:hint="eastAsia" w:ascii="宋体" w:hAnsi="宋体"/>
          <w:color w:val="auto"/>
          <w:sz w:val="21"/>
          <w:szCs w:val="21"/>
          <w:highlight w:val="none"/>
          <w:u w:val="single"/>
          <w:lang w:eastAsia="zh-CN"/>
        </w:rPr>
        <w:t>日</w:t>
      </w:r>
      <w:r>
        <w:rPr>
          <w:rFonts w:hint="eastAsia" w:ascii="宋体" w:hAnsi="宋体"/>
          <w:color w:val="auto"/>
          <w:sz w:val="21"/>
          <w:szCs w:val="21"/>
          <w:highlight w:val="none"/>
          <w:u w:val="single"/>
          <w:lang w:val="en-US" w:eastAsia="zh-CN"/>
        </w:rPr>
        <w:t>15</w:t>
      </w:r>
      <w:r>
        <w:rPr>
          <w:rFonts w:hint="eastAsia" w:ascii="宋体" w:hAnsi="宋体"/>
          <w:color w:val="auto"/>
          <w:sz w:val="21"/>
          <w:szCs w:val="21"/>
          <w:highlight w:val="none"/>
          <w:u w:val="single"/>
          <w:lang w:eastAsia="zh-CN"/>
        </w:rPr>
        <w:t>点</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lang w:eastAsia="zh-CN"/>
        </w:rPr>
        <w:t>分</w:t>
      </w:r>
      <w:r>
        <w:rPr>
          <w:rFonts w:hint="eastAsia" w:ascii="宋体" w:hAnsi="宋体" w:eastAsia="宋体"/>
          <w:color w:val="auto"/>
          <w:sz w:val="21"/>
          <w:szCs w:val="21"/>
          <w:highlight w:val="none"/>
          <w:u w:val="single"/>
        </w:rPr>
        <w:t>（北京时间），迟于截止时间递交的响应文件，将不予接收。</w:t>
      </w:r>
    </w:p>
    <w:p w14:paraId="2FE35B15">
      <w:pPr>
        <w:spacing w:line="360" w:lineRule="auto"/>
        <w:ind w:firstLine="420" w:firstLineChars="200"/>
        <w:rPr>
          <w:rFonts w:hint="eastAsia" w:ascii="宋体" w:hAnsi="宋体" w:eastAsia="宋体"/>
          <w:bCs/>
          <w:color w:val="auto"/>
          <w:sz w:val="21"/>
          <w:szCs w:val="21"/>
          <w:highlight w:val="none"/>
          <w:u w:val="single"/>
          <w:lang w:val="en-US" w:eastAsia="zh-CN"/>
        </w:rPr>
      </w:pPr>
      <w:r>
        <w:rPr>
          <w:rFonts w:hint="eastAsia" w:ascii="宋体" w:hAnsi="宋体" w:eastAsia="宋体"/>
          <w:color w:val="auto"/>
          <w:sz w:val="21"/>
          <w:szCs w:val="21"/>
          <w:highlight w:val="none"/>
        </w:rPr>
        <w:t>2、地点</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lang w:eastAsia="zh-CN"/>
        </w:rPr>
        <w:t>安徽省阜阳市界首市东城街道复兴路509号企业服务中心二楼会议室</w:t>
      </w:r>
    </w:p>
    <w:p w14:paraId="14689A30">
      <w:pPr>
        <w:pStyle w:val="7"/>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27" w:name="_Toc28359016"/>
      <w:bookmarkStart w:id="28" w:name="_Toc19480"/>
      <w:bookmarkStart w:id="29" w:name="_Toc35393633"/>
      <w:bookmarkStart w:id="30" w:name="_Toc35393802"/>
      <w:bookmarkStart w:id="31" w:name="_Toc6958"/>
      <w:bookmarkStart w:id="32" w:name="_Toc3942"/>
      <w:bookmarkStart w:id="33" w:name="_Toc28359093"/>
      <w:bookmarkStart w:id="34" w:name="_Toc27315"/>
      <w:r>
        <w:rPr>
          <w:rFonts w:hint="eastAsia" w:ascii="宋体" w:hAnsi="宋体" w:eastAsia="宋体"/>
          <w:b/>
          <w:i w:val="0"/>
          <w:color w:val="auto"/>
          <w:kern w:val="2"/>
          <w:sz w:val="21"/>
          <w:szCs w:val="21"/>
          <w:highlight w:val="none"/>
          <w:lang w:val="en-US" w:bidi="ar-SA"/>
        </w:rPr>
        <w:t>五、开启</w:t>
      </w:r>
      <w:bookmarkEnd w:id="27"/>
      <w:bookmarkEnd w:id="28"/>
      <w:bookmarkEnd w:id="29"/>
      <w:bookmarkEnd w:id="30"/>
      <w:bookmarkEnd w:id="31"/>
      <w:bookmarkEnd w:id="32"/>
      <w:bookmarkEnd w:id="33"/>
      <w:bookmarkEnd w:id="34"/>
    </w:p>
    <w:p w14:paraId="60A2DD3D">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时间：同响应文件提交截止时间。</w:t>
      </w:r>
    </w:p>
    <w:p w14:paraId="357D17C7">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地点：同响应文件提交地点。</w:t>
      </w:r>
    </w:p>
    <w:p w14:paraId="5F957904">
      <w:pPr>
        <w:pStyle w:val="7"/>
        <w:keepNext/>
        <w:keepLines/>
        <w:autoSpaceDE/>
        <w:autoSpaceDN/>
        <w:spacing w:before="260" w:after="260" w:line="240" w:lineRule="auto"/>
        <w:ind w:left="0" w:right="0"/>
        <w:jc w:val="both"/>
        <w:rPr>
          <w:rFonts w:hint="eastAsia" w:ascii="宋体" w:hAnsi="宋体" w:eastAsia="宋体"/>
          <w:color w:val="auto"/>
          <w:sz w:val="21"/>
          <w:szCs w:val="21"/>
          <w:highlight w:val="none"/>
          <w:lang w:val="en-US" w:eastAsia="zh-CN"/>
        </w:rPr>
      </w:pPr>
      <w:bookmarkStart w:id="35" w:name="_Toc9971"/>
      <w:bookmarkStart w:id="36" w:name="_Toc28359094"/>
      <w:bookmarkStart w:id="37" w:name="_Toc35393634"/>
      <w:bookmarkStart w:id="38" w:name="_Toc19137"/>
      <w:bookmarkStart w:id="39" w:name="_Toc7568"/>
      <w:bookmarkStart w:id="40" w:name="_Toc28359017"/>
      <w:bookmarkStart w:id="41" w:name="_Toc1837"/>
      <w:bookmarkStart w:id="42" w:name="_Toc35393803"/>
      <w:r>
        <w:rPr>
          <w:rFonts w:hint="eastAsia" w:ascii="宋体" w:hAnsi="宋体" w:eastAsia="宋体"/>
          <w:b/>
          <w:i w:val="0"/>
          <w:color w:val="auto"/>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804"/>
      <w:bookmarkStart w:id="44" w:name="_Toc35393635"/>
      <w:bookmarkStart w:id="45" w:name="_Toc27340"/>
      <w:bookmarkStart w:id="46" w:name="_Toc6236"/>
      <w:bookmarkStart w:id="47" w:name="_Toc21544"/>
      <w:bookmarkStart w:id="48" w:name="_Toc32077"/>
      <w:r>
        <w:rPr>
          <w:rFonts w:hint="eastAsia" w:ascii="宋体" w:hAnsi="宋体" w:eastAsia="宋体"/>
          <w:b/>
          <w:i w:val="0"/>
          <w:color w:val="auto"/>
          <w:kern w:val="2"/>
          <w:sz w:val="21"/>
          <w:szCs w:val="21"/>
          <w:highlight w:val="none"/>
          <w:lang w:val="en-US" w:bidi="ar-SA"/>
        </w:rPr>
        <w:t>其他补充事宜</w:t>
      </w:r>
      <w:bookmarkEnd w:id="43"/>
      <w:bookmarkEnd w:id="44"/>
      <w:r>
        <w:rPr>
          <w:rFonts w:hint="eastAsia" w:ascii="宋体" w:hAnsi="宋体" w:eastAsia="宋体"/>
          <w:b/>
          <w:i w:val="0"/>
          <w:color w:val="auto"/>
          <w:kern w:val="2"/>
          <w:sz w:val="21"/>
          <w:szCs w:val="21"/>
          <w:highlight w:val="none"/>
          <w:lang w:val="en-US" w:eastAsia="zh-CN" w:bidi="ar-SA"/>
        </w:rPr>
        <w:t>：</w:t>
      </w:r>
      <w:bookmarkEnd w:id="45"/>
      <w:bookmarkEnd w:id="46"/>
      <w:bookmarkEnd w:id="47"/>
      <w:bookmarkEnd w:id="48"/>
      <w:bookmarkStart w:id="49" w:name="_Toc28359018"/>
      <w:bookmarkStart w:id="50" w:name="_Toc35393805"/>
      <w:bookmarkStart w:id="51" w:name="_Toc35393636"/>
      <w:bookmarkStart w:id="52" w:name="_Toc28359095"/>
    </w:p>
    <w:p w14:paraId="096C8687">
      <w:pPr>
        <w:spacing w:line="360" w:lineRule="auto"/>
        <w:ind w:firstLine="420" w:firstLineChars="200"/>
        <w:rPr>
          <w:rFonts w:hint="default"/>
          <w:color w:val="auto"/>
          <w:highlight w:val="none"/>
          <w:lang w:val="en-US" w:eastAsia="zh-CN"/>
        </w:rPr>
      </w:pPr>
      <w:r>
        <w:rPr>
          <w:rFonts w:hint="eastAsia" w:ascii="宋体" w:hAnsi="宋体" w:eastAsia="宋体"/>
          <w:color w:val="auto"/>
          <w:sz w:val="21"/>
          <w:szCs w:val="21"/>
          <w:highlight w:val="none"/>
          <w:lang w:val="en-US" w:eastAsia="zh-CN"/>
        </w:rPr>
        <w:t>无</w:t>
      </w:r>
    </w:p>
    <w:p w14:paraId="147CCD19">
      <w:pPr>
        <w:pStyle w:val="7"/>
        <w:keepNext/>
        <w:keepLines/>
        <w:numPr>
          <w:ilvl w:val="0"/>
          <w:numId w:val="3"/>
        </w:numPr>
        <w:autoSpaceDE/>
        <w:autoSpaceDN/>
        <w:spacing w:before="260" w:after="260" w:line="240" w:lineRule="auto"/>
        <w:ind w:left="0" w:leftChars="0" w:right="0" w:rightChars="0" w:firstLine="0" w:firstLineChars="0"/>
        <w:jc w:val="both"/>
        <w:rPr>
          <w:rFonts w:hint="eastAsia" w:ascii="宋体" w:hAnsi="宋体" w:eastAsia="宋体"/>
          <w:b/>
          <w:i w:val="0"/>
          <w:color w:val="auto"/>
          <w:kern w:val="2"/>
          <w:sz w:val="21"/>
          <w:szCs w:val="21"/>
          <w:highlight w:val="none"/>
          <w:lang w:val="en-US" w:bidi="ar-SA"/>
        </w:rPr>
      </w:pPr>
      <w:bookmarkStart w:id="53" w:name="_Toc26397"/>
      <w:bookmarkStart w:id="54" w:name="_Toc27515"/>
      <w:bookmarkStart w:id="55" w:name="_Toc7284"/>
      <w:bookmarkStart w:id="56" w:name="_Toc3500"/>
      <w:r>
        <w:rPr>
          <w:rFonts w:hint="eastAsia" w:ascii="宋体" w:hAnsi="宋体" w:eastAsia="宋体"/>
          <w:b/>
          <w:i w:val="0"/>
          <w:color w:val="auto"/>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3E5F08BE">
      <w:pPr>
        <w:spacing w:line="360" w:lineRule="auto"/>
        <w:ind w:firstLine="422" w:firstLineChars="200"/>
        <w:rPr>
          <w:rFonts w:hint="default"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1.</w:t>
      </w:r>
      <w:r>
        <w:rPr>
          <w:rFonts w:hint="eastAsia" w:ascii="宋体" w:hAnsi="宋体" w:eastAsia="宋体" w:cs="Times New Roman"/>
          <w:b/>
          <w:bCs/>
          <w:i w:val="0"/>
          <w:color w:val="auto"/>
          <w:sz w:val="21"/>
          <w:szCs w:val="21"/>
          <w:highlight w:val="none"/>
          <w:lang w:val="en-US" w:eastAsia="zh-CN"/>
        </w:rPr>
        <w:t>采购人信息：</w:t>
      </w:r>
    </w:p>
    <w:p w14:paraId="2044AC98">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hint="eastAsia" w:ascii="宋体" w:hAnsi="宋体"/>
          <w:color w:val="auto"/>
          <w:sz w:val="21"/>
          <w:szCs w:val="21"/>
          <w:highlight w:val="none"/>
          <w:lang w:eastAsia="zh-CN"/>
        </w:rPr>
        <w:t>安徽融兴科技有限公司</w:t>
      </w:r>
      <w:r>
        <w:rPr>
          <w:rFonts w:hint="eastAsia" w:ascii="宋体" w:hAnsi="宋体" w:eastAsia="宋体"/>
          <w:color w:val="auto"/>
          <w:sz w:val="21"/>
          <w:szCs w:val="21"/>
          <w:highlight w:val="none"/>
        </w:rPr>
        <w:t xml:space="preserve">    </w:t>
      </w:r>
    </w:p>
    <w:p w14:paraId="2A410A5E">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eastAsia="zh-CN"/>
        </w:rPr>
        <w:t>安徽省阜阳市界首市东城街道复兴路509号企业服务中心</w:t>
      </w:r>
    </w:p>
    <w:p w14:paraId="07CB2AA2">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color w:val="auto"/>
          <w:sz w:val="21"/>
          <w:szCs w:val="21"/>
          <w:highlight w:val="none"/>
          <w:lang w:val="en-US" w:eastAsia="zh-CN"/>
        </w:rPr>
        <w:t>谢先生</w:t>
      </w:r>
    </w:p>
    <w:p w14:paraId="2C1F552A">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0558-8500237</w:t>
      </w:r>
    </w:p>
    <w:p w14:paraId="6FE18BD1">
      <w:pPr>
        <w:spacing w:line="360" w:lineRule="auto"/>
        <w:ind w:firstLine="422" w:firstLineChars="200"/>
        <w:rPr>
          <w:rFonts w:hint="eastAsia"/>
          <w:color w:val="auto"/>
          <w:highlight w:val="none"/>
          <w:lang w:eastAsia="zh-CN"/>
        </w:rPr>
      </w:pPr>
      <w:r>
        <w:rPr>
          <w:rFonts w:hint="eastAsia" w:ascii="宋体" w:hAnsi="宋体" w:eastAsia="宋体" w:cs="Times New Roman"/>
          <w:b/>
          <w:bCs/>
          <w:i w:val="0"/>
          <w:color w:val="auto"/>
          <w:sz w:val="21"/>
          <w:szCs w:val="21"/>
          <w:highlight w:val="none"/>
          <w:lang w:val="en-US" w:eastAsia="zh-CN"/>
        </w:rPr>
        <w:t>2.采购代理机构信息：</w:t>
      </w:r>
    </w:p>
    <w:p w14:paraId="1D4D26D9">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color w:val="auto"/>
          <w:sz w:val="21"/>
          <w:szCs w:val="21"/>
          <w:highlight w:val="none"/>
          <w:lang w:eastAsia="zh-CN"/>
        </w:rPr>
        <w:t>安徽巍昂工程管理咨询有限公司</w:t>
      </w:r>
      <w:r>
        <w:rPr>
          <w:rFonts w:hint="eastAsia" w:ascii="宋体" w:hAnsi="宋体" w:eastAsia="宋体"/>
          <w:color w:val="auto"/>
          <w:sz w:val="21"/>
          <w:szCs w:val="21"/>
          <w:highlight w:val="none"/>
        </w:rPr>
        <w:t xml:space="preserve">  </w:t>
      </w:r>
    </w:p>
    <w:p w14:paraId="3F6CE849">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val="en-US" w:eastAsia="zh-CN"/>
        </w:rPr>
        <w:t>安徽省阜阳市界首市东城天安路36号7栋202室</w:t>
      </w:r>
    </w:p>
    <w:p w14:paraId="3BFA017E">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cs="Times New Roman"/>
          <w:color w:val="auto"/>
          <w:sz w:val="21"/>
          <w:szCs w:val="21"/>
          <w:highlight w:val="none"/>
          <w:lang w:val="en-US" w:eastAsia="zh-CN"/>
        </w:rPr>
        <w:t>赵工</w:t>
      </w:r>
    </w:p>
    <w:p w14:paraId="193EF5F8">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val="en-US" w:eastAsia="zh-CN"/>
        </w:rPr>
        <w:t>18134669785</w:t>
      </w:r>
    </w:p>
    <w:p w14:paraId="55524839">
      <w:pPr>
        <w:numPr>
          <w:ilvl w:val="0"/>
          <w:numId w:val="0"/>
        </w:numPr>
        <w:spacing w:line="360" w:lineRule="auto"/>
        <w:ind w:firstLine="422" w:firstLineChars="200"/>
        <w:rPr>
          <w:rFonts w:hint="eastAsia"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3.</w:t>
      </w:r>
      <w:r>
        <w:rPr>
          <w:rFonts w:hint="eastAsia" w:ascii="宋体" w:hAnsi="宋体" w:eastAsia="宋体" w:cs="Times New Roman"/>
          <w:b/>
          <w:bCs/>
          <w:i w:val="0"/>
          <w:color w:val="auto"/>
          <w:sz w:val="21"/>
          <w:szCs w:val="21"/>
          <w:highlight w:val="none"/>
          <w:lang w:val="en-US" w:eastAsia="zh-CN"/>
        </w:rPr>
        <w:t>项</w:t>
      </w:r>
      <w:r>
        <w:rPr>
          <w:rFonts w:hint="eastAsia" w:ascii="宋体" w:hAnsi="宋体" w:eastAsia="宋体"/>
          <w:b/>
          <w:bCs/>
          <w:color w:val="auto"/>
          <w:sz w:val="21"/>
          <w:szCs w:val="21"/>
          <w:highlight w:val="none"/>
        </w:rPr>
        <w:t>目联系方式</w:t>
      </w:r>
      <w:r>
        <w:rPr>
          <w:rFonts w:hint="eastAsia" w:ascii="宋体" w:hAnsi="宋体" w:eastAsia="宋体" w:cs="Times New Roman"/>
          <w:b/>
          <w:bCs/>
          <w:i w:val="0"/>
          <w:color w:val="auto"/>
          <w:sz w:val="21"/>
          <w:szCs w:val="21"/>
          <w:highlight w:val="none"/>
          <w:lang w:val="en-US" w:eastAsia="zh-CN"/>
        </w:rPr>
        <w:t>：</w:t>
      </w:r>
    </w:p>
    <w:p w14:paraId="42B1AF86">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项目联系人：</w:t>
      </w:r>
      <w:r>
        <w:rPr>
          <w:rFonts w:hint="eastAsia" w:ascii="宋体" w:hAnsi="宋体"/>
          <w:color w:val="auto"/>
          <w:sz w:val="21"/>
          <w:szCs w:val="21"/>
          <w:highlight w:val="none"/>
          <w:lang w:val="en-US" w:eastAsia="zh-CN"/>
        </w:rPr>
        <w:t>赵工</w:t>
      </w:r>
    </w:p>
    <w:p w14:paraId="3B9A3569">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18134669785</w:t>
      </w:r>
      <w:r>
        <w:rPr>
          <w:rFonts w:hint="eastAsia" w:ascii="宋体" w:hAnsi="宋体" w:eastAsia="宋体"/>
          <w:color w:val="auto"/>
          <w:sz w:val="21"/>
          <w:szCs w:val="21"/>
          <w:highlight w:val="none"/>
          <w:lang w:val="en-US" w:eastAsia="zh-CN"/>
        </w:rPr>
        <w:t xml:space="preserve">   </w:t>
      </w:r>
    </w:p>
    <w:p w14:paraId="7E5A11B3">
      <w:pP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br w:type="page"/>
      </w:r>
    </w:p>
    <w:p w14:paraId="0A83ABFC">
      <w:pPr>
        <w:spacing w:line="360" w:lineRule="auto"/>
        <w:ind w:firstLine="420" w:firstLineChars="200"/>
        <w:rPr>
          <w:rFonts w:hint="eastAsia" w:ascii="宋体" w:hAnsi="宋体" w:eastAsia="宋体"/>
          <w:color w:val="auto"/>
          <w:sz w:val="21"/>
          <w:szCs w:val="21"/>
          <w:highlight w:val="none"/>
          <w:lang w:val="en-US" w:eastAsia="zh-CN"/>
        </w:rPr>
      </w:pPr>
    </w:p>
    <w:p w14:paraId="1A755157">
      <w:pPr>
        <w:pStyle w:val="6"/>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57" w:name="_Toc24537"/>
      <w:r>
        <w:rPr>
          <w:rFonts w:hint="eastAsia" w:ascii="宋体" w:hAnsi="宋体"/>
          <w:color w:val="auto"/>
          <w:sz w:val="32"/>
          <w:szCs w:val="32"/>
          <w:highlight w:val="none"/>
        </w:rPr>
        <w:t>供应商须知</w:t>
      </w:r>
      <w:bookmarkEnd w:id="57"/>
    </w:p>
    <w:p w14:paraId="3A2A6BF4">
      <w:pPr>
        <w:pStyle w:val="9"/>
        <w:rPr>
          <w:color w:val="auto"/>
          <w:highlight w:val="none"/>
        </w:rPr>
      </w:pPr>
      <w:r>
        <w:rPr>
          <w:color w:val="auto"/>
          <w:highlight w:val="none"/>
        </w:rPr>
        <w:t>一、供应商须知前附表</w:t>
      </w:r>
    </w:p>
    <w:p w14:paraId="2D3B61EC">
      <w:pPr>
        <w:pStyle w:val="11"/>
        <w:spacing w:before="160" w:after="6" w:line="360" w:lineRule="auto"/>
        <w:ind w:left="510" w:right="493" w:firstLine="437"/>
        <w:rPr>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w:t>
      </w:r>
      <w:r>
        <w:rPr>
          <w:rFonts w:hint="eastAsia"/>
          <w:color w:val="auto"/>
          <w:sz w:val="21"/>
          <w:szCs w:val="21"/>
          <w:highlight w:val="none"/>
          <w:lang w:val="en-US" w:eastAsia="zh-CN"/>
        </w:rPr>
        <w:t>,</w:t>
      </w:r>
      <w:r>
        <w:rPr>
          <w:color w:val="auto"/>
          <w:sz w:val="21"/>
          <w:szCs w:val="21"/>
          <w:highlight w:val="none"/>
        </w:rPr>
        <w:t>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604"/>
        <w:gridCol w:w="6494"/>
      </w:tblGrid>
      <w:tr w14:paraId="511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5C55517A">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604" w:type="dxa"/>
            <w:noWrap w:val="0"/>
            <w:vAlign w:val="center"/>
          </w:tcPr>
          <w:p w14:paraId="39DD35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 款 名 称</w:t>
            </w:r>
          </w:p>
        </w:tc>
        <w:tc>
          <w:tcPr>
            <w:tcW w:w="6494" w:type="dxa"/>
            <w:noWrap w:val="0"/>
            <w:vAlign w:val="center"/>
          </w:tcPr>
          <w:p w14:paraId="750382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7A04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E6938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2BD3E00E">
            <w:pPr>
              <w:spacing w:line="400" w:lineRule="exact"/>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94" w:type="dxa"/>
            <w:noWrap w:val="0"/>
            <w:vAlign w:val="center"/>
          </w:tcPr>
          <w:p w14:paraId="1DCCBA71">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1D6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2B2780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w:t>
            </w:r>
          </w:p>
        </w:tc>
        <w:tc>
          <w:tcPr>
            <w:tcW w:w="2604" w:type="dxa"/>
            <w:noWrap w:val="0"/>
            <w:vAlign w:val="center"/>
          </w:tcPr>
          <w:p w14:paraId="78BDFF2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94" w:type="dxa"/>
            <w:noWrap w:val="0"/>
            <w:vAlign w:val="center"/>
          </w:tcPr>
          <w:p w14:paraId="1F8C6C0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445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BA1EE7C">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w:t>
            </w:r>
          </w:p>
        </w:tc>
        <w:tc>
          <w:tcPr>
            <w:tcW w:w="2604" w:type="dxa"/>
            <w:noWrap w:val="0"/>
            <w:vAlign w:val="center"/>
          </w:tcPr>
          <w:p w14:paraId="5E490A5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94" w:type="dxa"/>
            <w:noWrap w:val="0"/>
            <w:vAlign w:val="center"/>
          </w:tcPr>
          <w:p w14:paraId="10182A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界首市综合能源一体化项目可行性研究报告编制服务项目</w:t>
            </w:r>
          </w:p>
        </w:tc>
      </w:tr>
      <w:tr w14:paraId="394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73D1EC5B">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2.1</w:t>
            </w:r>
          </w:p>
        </w:tc>
        <w:tc>
          <w:tcPr>
            <w:tcW w:w="2604" w:type="dxa"/>
            <w:noWrap w:val="0"/>
            <w:vAlign w:val="center"/>
          </w:tcPr>
          <w:p w14:paraId="611449F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494" w:type="dxa"/>
            <w:noWrap w:val="0"/>
            <w:vAlign w:val="center"/>
          </w:tcPr>
          <w:p w14:paraId="4411EA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界首市</w:t>
            </w:r>
          </w:p>
        </w:tc>
      </w:tr>
      <w:tr w14:paraId="15A1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896D0BF">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3.1</w:t>
            </w:r>
          </w:p>
        </w:tc>
        <w:tc>
          <w:tcPr>
            <w:tcW w:w="2604" w:type="dxa"/>
            <w:noWrap w:val="0"/>
            <w:vAlign w:val="center"/>
          </w:tcPr>
          <w:p w14:paraId="64327434">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494" w:type="dxa"/>
            <w:noWrap w:val="0"/>
            <w:vAlign w:val="center"/>
          </w:tcPr>
          <w:p w14:paraId="458316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A4B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74E39195">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3.2</w:t>
            </w:r>
          </w:p>
        </w:tc>
        <w:tc>
          <w:tcPr>
            <w:tcW w:w="2604" w:type="dxa"/>
            <w:noWrap w:val="0"/>
            <w:vAlign w:val="center"/>
          </w:tcPr>
          <w:p w14:paraId="1635DF1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合同履行期限    </w:t>
            </w:r>
          </w:p>
        </w:tc>
        <w:tc>
          <w:tcPr>
            <w:tcW w:w="6494" w:type="dxa"/>
            <w:noWrap w:val="0"/>
            <w:vAlign w:val="center"/>
          </w:tcPr>
          <w:p w14:paraId="5FA8CEC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E0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37E51D1">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3.4</w:t>
            </w:r>
          </w:p>
        </w:tc>
        <w:tc>
          <w:tcPr>
            <w:tcW w:w="2604" w:type="dxa"/>
            <w:noWrap w:val="0"/>
            <w:vAlign w:val="center"/>
          </w:tcPr>
          <w:p w14:paraId="0127F0B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质量控制目标</w:t>
            </w:r>
          </w:p>
        </w:tc>
        <w:tc>
          <w:tcPr>
            <w:tcW w:w="6494" w:type="dxa"/>
            <w:noWrap w:val="0"/>
            <w:vAlign w:val="center"/>
          </w:tcPr>
          <w:p w14:paraId="1BA657E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p>
        </w:tc>
      </w:tr>
      <w:tr w14:paraId="79F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10A22FF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4.1</w:t>
            </w:r>
          </w:p>
        </w:tc>
        <w:tc>
          <w:tcPr>
            <w:tcW w:w="2604" w:type="dxa"/>
            <w:noWrap w:val="0"/>
            <w:vAlign w:val="center"/>
          </w:tcPr>
          <w:p w14:paraId="16AD08A6">
            <w:pPr>
              <w:spacing w:line="4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供应商资质条件、能力</w:t>
            </w:r>
          </w:p>
        </w:tc>
        <w:tc>
          <w:tcPr>
            <w:tcW w:w="6494" w:type="dxa"/>
            <w:noWrap w:val="0"/>
            <w:vAlign w:val="center"/>
          </w:tcPr>
          <w:p w14:paraId="3390157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详见磋商公告 </w:t>
            </w:r>
          </w:p>
        </w:tc>
      </w:tr>
      <w:tr w14:paraId="5EB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59BA232">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4.2</w:t>
            </w:r>
          </w:p>
        </w:tc>
        <w:tc>
          <w:tcPr>
            <w:tcW w:w="2604" w:type="dxa"/>
            <w:noWrap w:val="0"/>
            <w:vAlign w:val="center"/>
          </w:tcPr>
          <w:p w14:paraId="4D41FF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是否接受联合投标</w:t>
            </w:r>
          </w:p>
        </w:tc>
        <w:tc>
          <w:tcPr>
            <w:tcW w:w="6494" w:type="dxa"/>
            <w:noWrap w:val="0"/>
            <w:vAlign w:val="center"/>
          </w:tcPr>
          <w:p w14:paraId="11E9228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3212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1B53061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w:t>
            </w:r>
          </w:p>
        </w:tc>
        <w:tc>
          <w:tcPr>
            <w:tcW w:w="2604" w:type="dxa"/>
            <w:noWrap w:val="0"/>
            <w:vAlign w:val="center"/>
          </w:tcPr>
          <w:p w14:paraId="78E0D51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w:t>
            </w:r>
          </w:p>
        </w:tc>
        <w:tc>
          <w:tcPr>
            <w:tcW w:w="6494" w:type="dxa"/>
            <w:noWrap w:val="0"/>
            <w:vAlign w:val="center"/>
          </w:tcPr>
          <w:p w14:paraId="3775CD2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代理服务费</w:t>
            </w:r>
            <w:r>
              <w:rPr>
                <w:rFonts w:hint="eastAsia" w:ascii="宋体" w:hAnsi="宋体" w:cs="宋体"/>
                <w:bCs/>
                <w:color w:val="auto"/>
                <w:sz w:val="21"/>
                <w:szCs w:val="21"/>
                <w:highlight w:val="none"/>
                <w:lang w:val="en-US" w:eastAsia="zh-CN"/>
              </w:rPr>
              <w:t>:4000.00元</w:t>
            </w:r>
          </w:p>
          <w:p w14:paraId="389092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以上费用不单独列出，供应商自行考虑。成交人在领取成交通知书前支付以上费用。</w:t>
            </w:r>
          </w:p>
        </w:tc>
      </w:tr>
      <w:tr w14:paraId="201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1E249E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6.1</w:t>
            </w:r>
          </w:p>
        </w:tc>
        <w:tc>
          <w:tcPr>
            <w:tcW w:w="2604" w:type="dxa"/>
            <w:noWrap w:val="0"/>
            <w:vAlign w:val="center"/>
          </w:tcPr>
          <w:p w14:paraId="3E36E1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94" w:type="dxa"/>
            <w:noWrap w:val="0"/>
            <w:vAlign w:val="center"/>
          </w:tcPr>
          <w:p w14:paraId="3D6DF61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不组织（供应商可自行勘察现场）</w:t>
            </w:r>
          </w:p>
        </w:tc>
      </w:tr>
      <w:tr w14:paraId="2F5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82BF79A">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7.1</w:t>
            </w:r>
          </w:p>
        </w:tc>
        <w:tc>
          <w:tcPr>
            <w:tcW w:w="2604" w:type="dxa"/>
            <w:noWrap w:val="0"/>
            <w:vAlign w:val="center"/>
          </w:tcPr>
          <w:p w14:paraId="4EFFBBC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响应预备会</w:t>
            </w:r>
          </w:p>
        </w:tc>
        <w:tc>
          <w:tcPr>
            <w:tcW w:w="6494" w:type="dxa"/>
            <w:noWrap w:val="0"/>
            <w:vAlign w:val="center"/>
          </w:tcPr>
          <w:p w14:paraId="7CA484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2C3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9FEA58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8</w:t>
            </w:r>
          </w:p>
        </w:tc>
        <w:tc>
          <w:tcPr>
            <w:tcW w:w="2604" w:type="dxa"/>
            <w:noWrap w:val="0"/>
            <w:vAlign w:val="center"/>
          </w:tcPr>
          <w:p w14:paraId="4EFDE5A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  包</w:t>
            </w:r>
          </w:p>
        </w:tc>
        <w:tc>
          <w:tcPr>
            <w:tcW w:w="6494" w:type="dxa"/>
            <w:noWrap w:val="0"/>
            <w:vAlign w:val="center"/>
          </w:tcPr>
          <w:p w14:paraId="26FE3F7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75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A3A7E8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9</w:t>
            </w:r>
          </w:p>
        </w:tc>
        <w:tc>
          <w:tcPr>
            <w:tcW w:w="2604" w:type="dxa"/>
            <w:noWrap w:val="0"/>
            <w:vAlign w:val="center"/>
          </w:tcPr>
          <w:p w14:paraId="225F8CB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494" w:type="dxa"/>
            <w:noWrap w:val="0"/>
            <w:vAlign w:val="center"/>
          </w:tcPr>
          <w:p w14:paraId="014CFCE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AC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A3B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604" w:type="dxa"/>
            <w:noWrap w:val="0"/>
            <w:vAlign w:val="center"/>
          </w:tcPr>
          <w:p w14:paraId="6BCD6DC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文件的其他材料</w:t>
            </w:r>
          </w:p>
        </w:tc>
        <w:tc>
          <w:tcPr>
            <w:tcW w:w="6494" w:type="dxa"/>
            <w:noWrap w:val="0"/>
            <w:vAlign w:val="center"/>
          </w:tcPr>
          <w:p w14:paraId="191BC41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文件的澄清、修改及答疑</w:t>
            </w:r>
          </w:p>
        </w:tc>
      </w:tr>
      <w:tr w14:paraId="10E7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D7637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2.2.1</w:t>
            </w:r>
          </w:p>
        </w:tc>
        <w:tc>
          <w:tcPr>
            <w:tcW w:w="2604" w:type="dxa"/>
            <w:noWrap w:val="0"/>
            <w:vAlign w:val="center"/>
          </w:tcPr>
          <w:p w14:paraId="5BA8A88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文件提出异议的截止时间</w:t>
            </w:r>
          </w:p>
        </w:tc>
        <w:tc>
          <w:tcPr>
            <w:tcW w:w="6494" w:type="dxa"/>
            <w:noWrap w:val="0"/>
            <w:vAlign w:val="center"/>
          </w:tcPr>
          <w:p w14:paraId="1C0AFB7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响应截止时间2天前。</w:t>
            </w:r>
          </w:p>
          <w:p w14:paraId="356430B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接受异议的电子邮箱</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anhuiweiang001@163.com</w:t>
            </w:r>
            <w:r>
              <w:rPr>
                <w:rFonts w:hint="eastAsia" w:ascii="宋体" w:hAnsi="宋体" w:eastAsia="宋体" w:cs="宋体"/>
                <w:bCs/>
                <w:color w:val="auto"/>
                <w:sz w:val="21"/>
                <w:szCs w:val="21"/>
                <w:highlight w:val="none"/>
                <w:lang w:eastAsia="zh-CN"/>
              </w:rPr>
              <w:t>，同时电话至</w:t>
            </w:r>
            <w:r>
              <w:rPr>
                <w:rFonts w:hint="eastAsia" w:ascii="宋体" w:hAnsi="宋体" w:cs="宋体"/>
                <w:bCs/>
                <w:color w:val="auto"/>
                <w:sz w:val="21"/>
                <w:szCs w:val="21"/>
                <w:highlight w:val="none"/>
                <w:lang w:eastAsia="zh-CN"/>
              </w:rPr>
              <w:t xml:space="preserve">18134669785   </w:t>
            </w:r>
          </w:p>
        </w:tc>
      </w:tr>
      <w:tr w14:paraId="0DE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4C2C270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2.2.2</w:t>
            </w:r>
          </w:p>
        </w:tc>
        <w:tc>
          <w:tcPr>
            <w:tcW w:w="2604" w:type="dxa"/>
            <w:noWrap w:val="0"/>
            <w:vAlign w:val="center"/>
          </w:tcPr>
          <w:p w14:paraId="72F3C03B">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采购人对供应商提出异议的答复</w:t>
            </w:r>
          </w:p>
        </w:tc>
        <w:tc>
          <w:tcPr>
            <w:tcW w:w="6494" w:type="dxa"/>
            <w:noWrap w:val="0"/>
            <w:vAlign w:val="center"/>
          </w:tcPr>
          <w:p w14:paraId="43F5E80F">
            <w:pPr>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询问答复及澄清或修改：在</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安徽融城高新技术产业发展集团有限公司</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https://www.ahrcgxjt.com</w:t>
            </w:r>
            <w:r>
              <w:rPr>
                <w:rFonts w:hint="eastAsia" w:ascii="宋体" w:hAnsi="宋体" w:eastAsia="宋体" w:cs="宋体"/>
                <w:color w:val="auto"/>
                <w:kern w:val="0"/>
                <w:sz w:val="21"/>
                <w:szCs w:val="21"/>
                <w:highlight w:val="none"/>
                <w:lang w:val="en-US" w:eastAsia="zh-CN"/>
              </w:rPr>
              <w:t>/网站上</w:t>
            </w:r>
            <w:r>
              <w:rPr>
                <w:rFonts w:hint="eastAsia" w:ascii="宋体" w:hAnsi="宋体" w:eastAsia="宋体" w:cs="宋体"/>
                <w:color w:val="auto"/>
                <w:kern w:val="0"/>
                <w:sz w:val="21"/>
                <w:szCs w:val="21"/>
                <w:highlight w:val="none"/>
              </w:rPr>
              <w:t>发布，采购人不再另行通知。</w:t>
            </w:r>
          </w:p>
          <w:p w14:paraId="5DB00814">
            <w:pPr>
              <w:autoSpaceDE w:val="0"/>
              <w:autoSpaceDN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en-US"/>
              </w:rPr>
              <w:t>该答复内容及澄清或修改内容为采购文件的组成部分，对供应商具有同样约束力效力。</w:t>
            </w:r>
            <w:r>
              <w:rPr>
                <w:rFonts w:hint="eastAsia" w:ascii="宋体" w:hAnsi="宋体" w:eastAsia="宋体" w:cs="宋体"/>
                <w:color w:val="auto"/>
                <w:kern w:val="0"/>
                <w:sz w:val="21"/>
                <w:szCs w:val="21"/>
                <w:highlight w:val="none"/>
              </w:rPr>
              <w:t>（所有潜在供应商在响应文件提交截止时间前有义务在</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安徽融城高新技术产业发展集团有限公司</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https://www.ahrcgxjt.com</w:t>
            </w:r>
            <w:r>
              <w:rPr>
                <w:rFonts w:hint="eastAsia" w:ascii="宋体" w:hAnsi="宋体" w:eastAsia="宋体" w:cs="宋体"/>
                <w:color w:val="auto"/>
                <w:kern w:val="0"/>
                <w:sz w:val="21"/>
                <w:szCs w:val="21"/>
                <w:highlight w:val="none"/>
                <w:lang w:val="en-US" w:eastAsia="zh-CN"/>
              </w:rPr>
              <w:t>/网站</w:t>
            </w:r>
            <w:r>
              <w:rPr>
                <w:rFonts w:hint="eastAsia" w:ascii="宋体" w:hAnsi="宋体" w:eastAsia="宋体" w:cs="宋体"/>
                <w:color w:val="auto"/>
                <w:kern w:val="0"/>
                <w:sz w:val="21"/>
                <w:szCs w:val="21"/>
                <w:highlight w:val="none"/>
              </w:rPr>
              <w:t>上自行查询，澄清、修改及答疑回复视为全部知晓，无需回复确认。）</w:t>
            </w:r>
          </w:p>
        </w:tc>
      </w:tr>
      <w:tr w14:paraId="30B8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031D444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2.3.1</w:t>
            </w:r>
          </w:p>
        </w:tc>
        <w:tc>
          <w:tcPr>
            <w:tcW w:w="2604" w:type="dxa"/>
            <w:noWrap w:val="0"/>
            <w:vAlign w:val="center"/>
          </w:tcPr>
          <w:p w14:paraId="29FD500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文件的澄清及修改</w:t>
            </w:r>
          </w:p>
        </w:tc>
        <w:tc>
          <w:tcPr>
            <w:tcW w:w="6494" w:type="dxa"/>
            <w:noWrap w:val="0"/>
            <w:vAlign w:val="center"/>
          </w:tcPr>
          <w:p w14:paraId="2CF7D16A">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采购人对已发出的竞争性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文件进行的必要澄清或者修改的内容可能影响响应文件编制的应在响应截止时间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天前，在</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安徽融城高新技术产业发展集团有限公司</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https://www.ahrcgxjt.com</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上发布。</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495C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CBBCA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604" w:type="dxa"/>
            <w:noWrap w:val="0"/>
            <w:vAlign w:val="center"/>
          </w:tcPr>
          <w:p w14:paraId="7252D8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文件澄清的时间</w:t>
            </w:r>
          </w:p>
        </w:tc>
        <w:tc>
          <w:tcPr>
            <w:tcW w:w="6494" w:type="dxa"/>
            <w:noWrap w:val="0"/>
            <w:vAlign w:val="center"/>
          </w:tcPr>
          <w:p w14:paraId="1D0A9D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B58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4580CD4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604" w:type="dxa"/>
            <w:noWrap w:val="0"/>
            <w:vAlign w:val="center"/>
          </w:tcPr>
          <w:p w14:paraId="77F4B03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文件修改的时间</w:t>
            </w:r>
          </w:p>
        </w:tc>
        <w:tc>
          <w:tcPr>
            <w:tcW w:w="6494" w:type="dxa"/>
            <w:noWrap w:val="0"/>
            <w:vAlign w:val="center"/>
          </w:tcPr>
          <w:p w14:paraId="1B0ADB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CF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656A6D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5E9CA50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494" w:type="dxa"/>
            <w:noWrap w:val="0"/>
            <w:vAlign w:val="center"/>
          </w:tcPr>
          <w:p w14:paraId="223D7196">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15BA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42CE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604" w:type="dxa"/>
            <w:noWrap w:val="0"/>
            <w:vAlign w:val="center"/>
          </w:tcPr>
          <w:p w14:paraId="132A35B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494" w:type="dxa"/>
            <w:noWrap w:val="0"/>
            <w:vAlign w:val="center"/>
          </w:tcPr>
          <w:p w14:paraId="5F1C2CD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54F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0CAA9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604" w:type="dxa"/>
            <w:noWrap w:val="0"/>
            <w:vAlign w:val="center"/>
          </w:tcPr>
          <w:p w14:paraId="16E620A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94" w:type="dxa"/>
            <w:noWrap w:val="0"/>
            <w:vAlign w:val="center"/>
          </w:tcPr>
          <w:p w14:paraId="3DFA85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日历天</w:t>
            </w:r>
          </w:p>
        </w:tc>
      </w:tr>
      <w:tr w14:paraId="025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DE199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w:t>
            </w:r>
          </w:p>
        </w:tc>
        <w:tc>
          <w:tcPr>
            <w:tcW w:w="2604" w:type="dxa"/>
            <w:noWrap w:val="0"/>
            <w:vAlign w:val="center"/>
          </w:tcPr>
          <w:p w14:paraId="2DC27B5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p>
        </w:tc>
        <w:tc>
          <w:tcPr>
            <w:tcW w:w="6494" w:type="dxa"/>
            <w:noWrap w:val="0"/>
            <w:vAlign w:val="center"/>
          </w:tcPr>
          <w:p w14:paraId="224723AD">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免收</w:t>
            </w:r>
          </w:p>
        </w:tc>
      </w:tr>
      <w:tr w14:paraId="3E9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8C77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604" w:type="dxa"/>
            <w:noWrap w:val="0"/>
            <w:vAlign w:val="center"/>
          </w:tcPr>
          <w:p w14:paraId="4A44E09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w:t>
            </w:r>
          </w:p>
          <w:p w14:paraId="2C4C77F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494" w:type="dxa"/>
            <w:noWrap w:val="0"/>
            <w:vAlign w:val="center"/>
          </w:tcPr>
          <w:p w14:paraId="52C4E7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215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5D5583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604" w:type="dxa"/>
            <w:noWrap w:val="0"/>
            <w:vAlign w:val="center"/>
          </w:tcPr>
          <w:p w14:paraId="57CD041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494" w:type="dxa"/>
            <w:noWrap w:val="0"/>
            <w:vAlign w:val="center"/>
          </w:tcPr>
          <w:p w14:paraId="6AE6A0D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w:t>
            </w:r>
          </w:p>
        </w:tc>
      </w:tr>
      <w:tr w14:paraId="007D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568349B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2604" w:type="dxa"/>
            <w:noWrap w:val="0"/>
            <w:vAlign w:val="center"/>
          </w:tcPr>
          <w:p w14:paraId="64CA965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w:t>
            </w:r>
          </w:p>
        </w:tc>
        <w:tc>
          <w:tcPr>
            <w:tcW w:w="6494" w:type="dxa"/>
            <w:noWrap w:val="0"/>
            <w:vAlign w:val="center"/>
          </w:tcPr>
          <w:p w14:paraId="23D1FAB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58" w:name="_Toc19342"/>
            <w:r>
              <w:rPr>
                <w:rFonts w:hint="eastAsia" w:ascii="宋体" w:hAnsi="宋体" w:eastAsia="宋体" w:cs="宋体"/>
                <w:color w:val="auto"/>
                <w:sz w:val="21"/>
                <w:szCs w:val="21"/>
                <w:highlight w:val="none"/>
              </w:rPr>
              <w:t>纸质版文件</w:t>
            </w:r>
            <w:r>
              <w:rPr>
                <w:rFonts w:hint="eastAsia" w:ascii="宋体" w:hAnsi="宋体" w:eastAsia="宋体" w:cs="宋体"/>
                <w:b/>
                <w:bCs/>
                <w:color w:val="auto"/>
                <w:sz w:val="21"/>
                <w:szCs w:val="21"/>
                <w:highlight w:val="none"/>
              </w:rPr>
              <w:t>正本1份,副本 2 份</w:t>
            </w:r>
            <w:r>
              <w:rPr>
                <w:rFonts w:hint="eastAsia" w:ascii="宋体" w:hAnsi="宋体" w:eastAsia="宋体" w:cs="宋体"/>
                <w:color w:val="auto"/>
                <w:sz w:val="21"/>
                <w:szCs w:val="21"/>
                <w:highlight w:val="none"/>
              </w:rPr>
              <w:t xml:space="preserve"> ；</w:t>
            </w:r>
            <w:bookmarkEnd w:id="58"/>
          </w:p>
          <w:p w14:paraId="4A26AD0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lang w:val="en-US" w:eastAsia="zh-CN"/>
              </w:rPr>
            </w:pPr>
            <w:bookmarkStart w:id="59" w:name="_Toc7867"/>
            <w:r>
              <w:rPr>
                <w:rFonts w:hint="eastAsia" w:ascii="宋体" w:hAnsi="宋体" w:eastAsia="宋体" w:cs="宋体"/>
                <w:color w:val="auto"/>
                <w:sz w:val="21"/>
                <w:szCs w:val="21"/>
                <w:highlight w:val="none"/>
                <w:lang w:val="en-US" w:eastAsia="zh-CN"/>
              </w:rPr>
              <w:t>1、集中或分开密封包装均可。响应文件密封袋“封口处”应密封，并加盖供应商公章。响应文件一律胶装，未胶装的，作无效标处理。</w:t>
            </w:r>
            <w:bookmarkEnd w:id="59"/>
          </w:p>
          <w:p w14:paraId="235DF8D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60" w:name="_Toc12683"/>
            <w:r>
              <w:rPr>
                <w:rFonts w:hint="eastAsia" w:ascii="宋体" w:hAnsi="宋体" w:eastAsia="宋体" w:cs="宋体"/>
                <w:color w:val="auto"/>
                <w:sz w:val="21"/>
                <w:szCs w:val="21"/>
                <w:highlight w:val="none"/>
                <w:lang w:val="en-US" w:eastAsia="zh-CN"/>
              </w:rPr>
              <w:t>2、正本和副本的封面上应清楚地标记 “正本”或“副本”的字样。当副本和正本不一致时，以正本为准。</w:t>
            </w:r>
            <w:bookmarkEnd w:id="60"/>
          </w:p>
        </w:tc>
      </w:tr>
      <w:tr w14:paraId="5AA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57F3B1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w:t>
            </w:r>
          </w:p>
        </w:tc>
        <w:tc>
          <w:tcPr>
            <w:tcW w:w="2604" w:type="dxa"/>
            <w:noWrap w:val="0"/>
            <w:vAlign w:val="center"/>
          </w:tcPr>
          <w:p w14:paraId="5A161D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是否要求供应商在递交响应文件时，同时递交响应文件电子版</w:t>
            </w:r>
          </w:p>
        </w:tc>
        <w:tc>
          <w:tcPr>
            <w:tcW w:w="6494" w:type="dxa"/>
            <w:noWrap w:val="0"/>
            <w:vAlign w:val="center"/>
          </w:tcPr>
          <w:p w14:paraId="2C97C971">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■要求，响应文件</w:t>
            </w:r>
            <w:r>
              <w:rPr>
                <w:rFonts w:hint="eastAsia" w:ascii="宋体" w:hAnsi="宋体" w:eastAsia="宋体" w:cs="宋体"/>
                <w:b/>
                <w:bCs/>
                <w:color w:val="auto"/>
                <w:sz w:val="21"/>
                <w:szCs w:val="21"/>
                <w:highlight w:val="none"/>
              </w:rPr>
              <w:t>电子版内容共一份</w:t>
            </w:r>
            <w:r>
              <w:rPr>
                <w:rFonts w:hint="eastAsia" w:ascii="宋体" w:hAnsi="宋体" w:eastAsia="宋体" w:cs="宋体"/>
                <w:color w:val="auto"/>
                <w:sz w:val="21"/>
                <w:szCs w:val="21"/>
                <w:highlight w:val="none"/>
              </w:rPr>
              <w:t>，其中：</w:t>
            </w:r>
          </w:p>
          <w:p w14:paraId="4BB8F720">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电子版响应文件（U盘）一份。其电子版文件须为签字盖章后纸质版响应文件的完整扫描件。</w:t>
            </w:r>
          </w:p>
          <w:p w14:paraId="225CDDD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响应文件电子版密封方式：以上电子U盘单独放入一个密封袋中，加贴封条，并在封套封口处加盖供应商单位章，在封套上标记“响应文件电子版”字样。</w:t>
            </w:r>
          </w:p>
          <w:p w14:paraId="72C93C01">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电子版响应文件（U盘）</w:t>
            </w:r>
            <w:r>
              <w:rPr>
                <w:rFonts w:hint="eastAsia" w:ascii="宋体" w:hAnsi="宋体" w:eastAsia="宋体" w:cs="宋体"/>
                <w:color w:val="auto"/>
                <w:sz w:val="21"/>
                <w:szCs w:val="21"/>
                <w:highlight w:val="none"/>
                <w:lang w:val="en-US" w:eastAsia="zh-CN"/>
              </w:rPr>
              <w:t>也可以与响应文件一起密封。</w:t>
            </w:r>
          </w:p>
        </w:tc>
      </w:tr>
      <w:tr w14:paraId="31FA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091BC6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7AFDFA05">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封套上写明</w:t>
            </w:r>
          </w:p>
        </w:tc>
        <w:tc>
          <w:tcPr>
            <w:tcW w:w="6494" w:type="dxa"/>
            <w:noWrap w:val="0"/>
            <w:vAlign w:val="center"/>
          </w:tcPr>
          <w:p w14:paraId="04B2AE0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single"/>
              </w:rPr>
              <w:t xml:space="preserve">                             </w:t>
            </w:r>
          </w:p>
          <w:p w14:paraId="25827F0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15A53B4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w:t>
            </w:r>
          </w:p>
          <w:p w14:paraId="158BF74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分前不得开启</w:t>
            </w:r>
          </w:p>
        </w:tc>
      </w:tr>
      <w:tr w14:paraId="11E2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F06EAB9">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4.2.1</w:t>
            </w:r>
          </w:p>
        </w:tc>
        <w:tc>
          <w:tcPr>
            <w:tcW w:w="2604" w:type="dxa"/>
            <w:noWrap w:val="0"/>
            <w:vAlign w:val="center"/>
          </w:tcPr>
          <w:p w14:paraId="790572F1">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响应文件递交、截止时间</w:t>
            </w:r>
          </w:p>
        </w:tc>
        <w:tc>
          <w:tcPr>
            <w:tcW w:w="6494" w:type="dxa"/>
            <w:noWrap w:val="0"/>
            <w:vAlign w:val="center"/>
          </w:tcPr>
          <w:p w14:paraId="5947DDA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详见磋商公告</w:t>
            </w:r>
          </w:p>
        </w:tc>
      </w:tr>
      <w:tr w14:paraId="1E4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9450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4.2.2</w:t>
            </w:r>
          </w:p>
        </w:tc>
        <w:tc>
          <w:tcPr>
            <w:tcW w:w="2604" w:type="dxa"/>
            <w:noWrap w:val="0"/>
            <w:vAlign w:val="center"/>
          </w:tcPr>
          <w:p w14:paraId="73D4D2E3">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递交响应文件地点</w:t>
            </w:r>
          </w:p>
        </w:tc>
        <w:tc>
          <w:tcPr>
            <w:tcW w:w="6494" w:type="dxa"/>
            <w:noWrap w:val="0"/>
            <w:vAlign w:val="center"/>
          </w:tcPr>
          <w:p w14:paraId="08BEC76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详见磋商公告</w:t>
            </w:r>
          </w:p>
        </w:tc>
      </w:tr>
      <w:tr w14:paraId="470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8DD45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4.2.3</w:t>
            </w:r>
          </w:p>
        </w:tc>
        <w:tc>
          <w:tcPr>
            <w:tcW w:w="2604" w:type="dxa"/>
            <w:noWrap w:val="0"/>
            <w:vAlign w:val="center"/>
          </w:tcPr>
          <w:p w14:paraId="2841A84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是否退还响应文件</w:t>
            </w:r>
          </w:p>
        </w:tc>
        <w:tc>
          <w:tcPr>
            <w:tcW w:w="6494" w:type="dxa"/>
            <w:noWrap w:val="0"/>
            <w:vAlign w:val="center"/>
          </w:tcPr>
          <w:p w14:paraId="6B7E65D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■否</w:t>
            </w:r>
          </w:p>
          <w:p w14:paraId="3ECD2F4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□是，退还安排：             </w:t>
            </w:r>
          </w:p>
        </w:tc>
      </w:tr>
      <w:tr w14:paraId="209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29E6310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604" w:type="dxa"/>
            <w:noWrap w:val="0"/>
            <w:vAlign w:val="center"/>
          </w:tcPr>
          <w:p w14:paraId="4F5DD7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6494" w:type="dxa"/>
            <w:noWrap w:val="0"/>
            <w:vAlign w:val="center"/>
          </w:tcPr>
          <w:p w14:paraId="58AE492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应文件递交、截止时间</w:t>
            </w:r>
          </w:p>
          <w:p w14:paraId="5A18272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w:t>
            </w:r>
            <w:r>
              <w:rPr>
                <w:rFonts w:hint="eastAsia" w:ascii="宋体" w:hAnsi="宋体" w:eastAsia="宋体" w:cs="宋体"/>
                <w:bCs/>
                <w:color w:val="auto"/>
                <w:sz w:val="21"/>
                <w:szCs w:val="21"/>
                <w:highlight w:val="none"/>
                <w:lang w:val="en-US" w:eastAsia="zh-CN"/>
              </w:rPr>
              <w:t>地点</w:t>
            </w:r>
          </w:p>
        </w:tc>
      </w:tr>
      <w:tr w14:paraId="479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8AD6EF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2604" w:type="dxa"/>
            <w:noWrap w:val="0"/>
            <w:vAlign w:val="center"/>
          </w:tcPr>
          <w:p w14:paraId="3EF5F1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w:t>
            </w:r>
          </w:p>
        </w:tc>
        <w:tc>
          <w:tcPr>
            <w:tcW w:w="6494" w:type="dxa"/>
            <w:noWrap w:val="0"/>
            <w:vAlign w:val="center"/>
          </w:tcPr>
          <w:p w14:paraId="12B48A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密封情况检查：供应商检查</w:t>
            </w:r>
          </w:p>
          <w:p w14:paraId="45806A9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文件递交的先后顺序进行</w:t>
            </w:r>
          </w:p>
        </w:tc>
      </w:tr>
      <w:tr w14:paraId="292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21CB31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w:t>
            </w:r>
          </w:p>
        </w:tc>
        <w:tc>
          <w:tcPr>
            <w:tcW w:w="2604" w:type="dxa"/>
            <w:noWrap w:val="0"/>
            <w:vAlign w:val="center"/>
          </w:tcPr>
          <w:p w14:paraId="4D2140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人员到场</w:t>
            </w:r>
          </w:p>
        </w:tc>
        <w:tc>
          <w:tcPr>
            <w:tcW w:w="6494" w:type="dxa"/>
            <w:noWrap w:val="0"/>
            <w:vAlign w:val="center"/>
          </w:tcPr>
          <w:p w14:paraId="4DD362BB">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开标时若供应商法定代表人参加磋商会需携带本人身份证原件。</w:t>
            </w:r>
          </w:p>
          <w:p w14:paraId="5BBB4A6A">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若为其授权代理人参加磋商会应携带法定代表人授权委托书（单独提交一份）及本人身份证原件签名报到。</w:t>
            </w:r>
          </w:p>
          <w:p w14:paraId="565DC02D">
            <w:pPr>
              <w:spacing w:line="400" w:lineRule="exact"/>
              <w:ind w:left="105" w:leftChars="50"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在递交响应文件的同时进行验证，请供应商在递交文件的时候准备好相关证件。未通过核验的，采购人拒绝接收其响应文件。开标时各供应商仅限法人或授权委托人进入开标室。</w:t>
            </w:r>
          </w:p>
        </w:tc>
      </w:tr>
      <w:tr w14:paraId="396E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5B46C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604" w:type="dxa"/>
            <w:noWrap w:val="0"/>
            <w:vAlign w:val="center"/>
          </w:tcPr>
          <w:p w14:paraId="16801B6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小组的组建</w:t>
            </w:r>
          </w:p>
        </w:tc>
        <w:tc>
          <w:tcPr>
            <w:tcW w:w="6494" w:type="dxa"/>
            <w:noWrap w:val="0"/>
            <w:vAlign w:val="center"/>
          </w:tcPr>
          <w:p w14:paraId="34EA05BA">
            <w:pPr>
              <w:spacing w:line="400" w:lineRule="exact"/>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小组构成：</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人及以上单数。</w:t>
            </w:r>
          </w:p>
          <w:p w14:paraId="62A7CC05">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专家确定方式：</w:t>
            </w:r>
            <w:r>
              <w:rPr>
                <w:rFonts w:hint="eastAsia" w:ascii="宋体" w:hAnsi="宋体" w:eastAsia="宋体" w:cs="宋体"/>
                <w:bCs/>
                <w:color w:val="auto"/>
                <w:sz w:val="21"/>
                <w:szCs w:val="21"/>
                <w:highlight w:val="none"/>
                <w:u w:val="single"/>
              </w:rPr>
              <w:t>由采购人依法组建</w:t>
            </w:r>
            <w:r>
              <w:rPr>
                <w:rFonts w:hint="eastAsia" w:ascii="宋体" w:hAnsi="宋体" w:eastAsia="宋体" w:cs="宋体"/>
                <w:bCs/>
                <w:color w:val="auto"/>
                <w:sz w:val="21"/>
                <w:szCs w:val="21"/>
                <w:highlight w:val="none"/>
              </w:rPr>
              <w:t>。</w:t>
            </w:r>
          </w:p>
        </w:tc>
      </w:tr>
      <w:tr w14:paraId="591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C0F260A">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.需要补充的其他内容</w:t>
            </w:r>
          </w:p>
        </w:tc>
      </w:tr>
      <w:tr w14:paraId="635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EA9109">
            <w:pPr>
              <w:spacing w:line="40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p>
        </w:tc>
        <w:tc>
          <w:tcPr>
            <w:tcW w:w="2604" w:type="dxa"/>
            <w:noWrap w:val="0"/>
            <w:vAlign w:val="center"/>
          </w:tcPr>
          <w:p w14:paraId="4CC2E694">
            <w:pPr>
              <w:spacing w:line="400" w:lineRule="exact"/>
              <w:ind w:left="105" w:leftChars="50"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时间规定</w:t>
            </w:r>
          </w:p>
        </w:tc>
        <w:tc>
          <w:tcPr>
            <w:tcW w:w="6494" w:type="dxa"/>
            <w:noWrap w:val="0"/>
            <w:vAlign w:val="center"/>
          </w:tcPr>
          <w:p w14:paraId="030CDCCC">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如无特别说明</w:t>
            </w: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 “近3年” 所指范围为“自公告发布之日起向前追溯3年”， “近5年” 所指范围为“自公告发布之日起向前追溯5年”后文不再另行说明。</w:t>
            </w:r>
          </w:p>
        </w:tc>
      </w:tr>
      <w:tr w14:paraId="45F1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142153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098" w:type="dxa"/>
            <w:gridSpan w:val="2"/>
            <w:noWrap w:val="0"/>
            <w:vAlign w:val="center"/>
          </w:tcPr>
          <w:p w14:paraId="4C24762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p w14:paraId="0E94F8B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1）串通响应或弄虚作假或有其他违法行为的。</w:t>
            </w:r>
          </w:p>
          <w:p w14:paraId="20059FF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串通响应行为是指：</w:t>
            </w:r>
          </w:p>
          <w:p w14:paraId="04AFBF8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（a）不同供应商委托同一人响应；</w:t>
            </w:r>
          </w:p>
          <w:p w14:paraId="3DFDE3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（b）不同供应商的响应文件载明的项目管理班子成员出现同一人的；</w:t>
            </w:r>
          </w:p>
          <w:p w14:paraId="23B722C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（c）不同供应商的响应文件相互混装的；</w:t>
            </w:r>
          </w:p>
          <w:p w14:paraId="6BFDE19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2）逾期送达的响应文件；</w:t>
            </w:r>
          </w:p>
          <w:p w14:paraId="08E7E5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3AB9D7B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4）响应文件份数、装订、密封和标记不符合竞争性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文件要求的；响应文件未胶装的。</w:t>
            </w:r>
          </w:p>
          <w:p w14:paraId="50A12F7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5）供应商递交两份或多份内容不同的响应文件；或在一份响应文件中对同一招标项目报有两个或多个报价的，且未书面声明以哪个报价为准。</w:t>
            </w:r>
          </w:p>
          <w:p w14:paraId="6682D38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6）被阜阳市招投标监督管理部门或行业主管部门取消响应资格并在处罚期内的；</w:t>
            </w:r>
          </w:p>
          <w:p w14:paraId="6F65580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小组要求澄清、说明或补正的。</w:t>
            </w:r>
          </w:p>
          <w:p w14:paraId="321A37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8）响应文件中的报价单及其它内容相应位置处没有签字、盖章的。</w:t>
            </w:r>
          </w:p>
          <w:p w14:paraId="2529003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9）响应文件中响应报价或其它实质性要求不能满足竞争性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文件要求,或作出的承诺与竞争性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文件中提供的响应函样本中相关内容相抵触或有遗漏的。</w:t>
            </w:r>
          </w:p>
          <w:p w14:paraId="2913F3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10）未按规定的格式填写，实质性内容不全或关键字迹模糊、无法辨认的。</w:t>
            </w:r>
          </w:p>
          <w:p w14:paraId="7023EEC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11）响应文件对采购人提供的需求清单单项无报价或零报价的。</w:t>
            </w:r>
          </w:p>
          <w:p w14:paraId="3FDE9B3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12）响应文件中存在采购人不能接受的其它实质性条件。</w:t>
            </w:r>
          </w:p>
          <w:p w14:paraId="0DC5D5E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13）法律、法规规定的其它情形。</w:t>
            </w:r>
          </w:p>
        </w:tc>
      </w:tr>
    </w:tbl>
    <w:p w14:paraId="35856EEE">
      <w:pPr>
        <w:widowControl/>
        <w:spacing w:line="360" w:lineRule="auto"/>
        <w:jc w:val="left"/>
        <w:rPr>
          <w:rFonts w:hint="eastAsia" w:ascii="宋体" w:hAnsi="宋体" w:eastAsia="宋体" w:cs="宋体"/>
          <w:color w:val="auto"/>
          <w:sz w:val="21"/>
          <w:szCs w:val="21"/>
          <w:highlight w:val="none"/>
        </w:rPr>
      </w:pPr>
    </w:p>
    <w:p w14:paraId="09BA5943">
      <w:pPr>
        <w:rPr>
          <w:color w:val="auto"/>
          <w:highlight w:val="none"/>
        </w:rPr>
      </w:pPr>
      <w:r>
        <w:rPr>
          <w:color w:val="auto"/>
          <w:highlight w:val="none"/>
        </w:rPr>
        <w:br w:type="page"/>
      </w:r>
    </w:p>
    <w:p w14:paraId="3B5DF547">
      <w:pPr>
        <w:pStyle w:val="9"/>
        <w:rPr>
          <w:color w:val="auto"/>
          <w:highlight w:val="none"/>
        </w:rPr>
      </w:pPr>
      <w:r>
        <w:rPr>
          <w:color w:val="auto"/>
          <w:highlight w:val="none"/>
        </w:rPr>
        <w:t>二、供应商须知正文</w:t>
      </w:r>
    </w:p>
    <w:p w14:paraId="280AA319">
      <w:pPr>
        <w:pStyle w:val="9"/>
        <w:numPr>
          <w:ilvl w:val="0"/>
          <w:numId w:val="5"/>
        </w:numPr>
        <w:rPr>
          <w:color w:val="auto"/>
          <w:highlight w:val="none"/>
        </w:rPr>
      </w:pPr>
      <w:r>
        <w:rPr>
          <w:color w:val="auto"/>
          <w:highlight w:val="none"/>
        </w:rPr>
        <w:t>适用范围</w:t>
      </w:r>
    </w:p>
    <w:p w14:paraId="533CF33A">
      <w:pPr>
        <w:pStyle w:val="37"/>
        <w:numPr>
          <w:ilvl w:val="1"/>
          <w:numId w:val="5"/>
        </w:numPr>
        <w:tabs>
          <w:tab w:val="left" w:pos="1090"/>
        </w:tabs>
        <w:spacing w:before="159" w:line="360" w:lineRule="auto"/>
        <w:ind w:right="2275" w:hanging="3"/>
        <w:jc w:val="both"/>
        <w:rPr>
          <w:b/>
          <w:color w:val="auto"/>
          <w:sz w:val="21"/>
          <w:szCs w:val="21"/>
          <w:highlight w:val="none"/>
        </w:rPr>
      </w:pPr>
      <w:r>
        <w:rPr>
          <w:color w:val="auto"/>
          <w:spacing w:val="-1"/>
          <w:sz w:val="21"/>
          <w:szCs w:val="21"/>
          <w:highlight w:val="none"/>
        </w:rPr>
        <w:t>本磋商文件仅适用于本次磋商所述的服务项目采购。</w:t>
      </w:r>
    </w:p>
    <w:p w14:paraId="47FEEFF1">
      <w:pPr>
        <w:pStyle w:val="9"/>
        <w:numPr>
          <w:ilvl w:val="0"/>
          <w:numId w:val="5"/>
        </w:numPr>
        <w:rPr>
          <w:color w:val="auto"/>
          <w:highlight w:val="none"/>
        </w:rPr>
      </w:pPr>
      <w:r>
        <w:rPr>
          <w:color w:val="auto"/>
          <w:highlight w:val="none"/>
        </w:rPr>
        <w:t>定义</w:t>
      </w:r>
    </w:p>
    <w:p w14:paraId="4CB11D2D">
      <w:pPr>
        <w:pStyle w:val="37"/>
        <w:numPr>
          <w:ilvl w:val="1"/>
          <w:numId w:val="6"/>
        </w:numPr>
        <w:tabs>
          <w:tab w:val="left" w:pos="1152"/>
        </w:tabs>
        <w:spacing w:line="360" w:lineRule="auto"/>
        <w:ind w:right="253" w:firstLine="434"/>
        <w:jc w:val="both"/>
        <w:rPr>
          <w:color w:val="auto"/>
          <w:sz w:val="21"/>
          <w:szCs w:val="21"/>
          <w:highlight w:val="none"/>
        </w:rPr>
      </w:pPr>
      <w:r>
        <w:rPr>
          <w:color w:val="auto"/>
          <w:spacing w:val="-1"/>
          <w:sz w:val="21"/>
          <w:szCs w:val="21"/>
          <w:highlight w:val="none"/>
        </w:rPr>
        <w:t>服务：系指除货物和工程以外的其他采购对象，包括咨询、调研、</w:t>
      </w:r>
      <w:r>
        <w:rPr>
          <w:color w:val="auto"/>
          <w:sz w:val="21"/>
          <w:szCs w:val="21"/>
          <w:highlight w:val="none"/>
        </w:rPr>
        <w:t>评估、规划、设计、监理、审计、保险、租赁、印刷、维修、物业管理等。</w:t>
      </w:r>
    </w:p>
    <w:p w14:paraId="7B578159">
      <w:pPr>
        <w:pStyle w:val="37"/>
        <w:numPr>
          <w:ilvl w:val="1"/>
          <w:numId w:val="6"/>
        </w:numPr>
        <w:tabs>
          <w:tab w:val="left" w:pos="1090"/>
        </w:tabs>
        <w:spacing w:line="360" w:lineRule="auto"/>
        <w:ind w:right="370" w:firstLine="434"/>
        <w:jc w:val="both"/>
        <w:rPr>
          <w:color w:val="auto"/>
          <w:sz w:val="21"/>
          <w:szCs w:val="21"/>
          <w:highlight w:val="none"/>
        </w:rPr>
      </w:pPr>
      <w:r>
        <w:rPr>
          <w:color w:val="auto"/>
          <w:spacing w:val="-2"/>
          <w:sz w:val="21"/>
          <w:szCs w:val="21"/>
          <w:highlight w:val="none"/>
        </w:rPr>
        <w:t>时限</w:t>
      </w:r>
      <w:r>
        <w:rPr>
          <w:color w:val="auto"/>
          <w:sz w:val="21"/>
          <w:szCs w:val="21"/>
          <w:highlight w:val="none"/>
        </w:rPr>
        <w:t>（</w:t>
      </w:r>
      <w:r>
        <w:rPr>
          <w:color w:val="auto"/>
          <w:spacing w:val="-2"/>
          <w:sz w:val="21"/>
          <w:szCs w:val="21"/>
          <w:highlight w:val="none"/>
        </w:rPr>
        <w:t>年份、月份等</w:t>
      </w:r>
      <w:r>
        <w:rPr>
          <w:color w:val="auto"/>
          <w:spacing w:val="-3"/>
          <w:sz w:val="21"/>
          <w:szCs w:val="21"/>
          <w:highlight w:val="none"/>
        </w:rPr>
        <w:t>）</w:t>
      </w:r>
      <w:r>
        <w:rPr>
          <w:color w:val="auto"/>
          <w:spacing w:val="-6"/>
          <w:sz w:val="21"/>
          <w:szCs w:val="21"/>
          <w:highlight w:val="none"/>
        </w:rPr>
        <w:t xml:space="preserve">计算：系指从磋商之日向前追溯 </w:t>
      </w:r>
      <w:r>
        <w:rPr>
          <w:color w:val="auto"/>
          <w:sz w:val="21"/>
          <w:szCs w:val="21"/>
          <w:highlight w:val="none"/>
        </w:rPr>
        <w:t>X</w:t>
      </w:r>
      <w:r>
        <w:rPr>
          <w:color w:val="auto"/>
          <w:spacing w:val="-30"/>
          <w:sz w:val="21"/>
          <w:szCs w:val="21"/>
          <w:highlight w:val="none"/>
        </w:rPr>
        <w:t xml:space="preserve"> 年</w:t>
      </w:r>
      <w:r>
        <w:rPr>
          <w:color w:val="auto"/>
          <w:sz w:val="21"/>
          <w:szCs w:val="21"/>
          <w:highlight w:val="none"/>
        </w:rPr>
        <w:t>/</w:t>
      </w:r>
      <w:r>
        <w:rPr>
          <w:color w:val="auto"/>
          <w:spacing w:val="-3"/>
          <w:sz w:val="21"/>
          <w:szCs w:val="21"/>
          <w:highlight w:val="none"/>
        </w:rPr>
        <w:t xml:space="preserve">月（“X” </w:t>
      </w:r>
      <w:r>
        <w:rPr>
          <w:color w:val="auto"/>
          <w:sz w:val="21"/>
          <w:szCs w:val="21"/>
          <w:highlight w:val="none"/>
        </w:rPr>
        <w:t>为“一”及以后整数）起算。</w:t>
      </w:r>
    </w:p>
    <w:p w14:paraId="39DEAD6C">
      <w:pPr>
        <w:pStyle w:val="37"/>
        <w:numPr>
          <w:ilvl w:val="1"/>
          <w:numId w:val="6"/>
        </w:numPr>
        <w:tabs>
          <w:tab w:val="left" w:pos="1090"/>
        </w:tabs>
        <w:spacing w:line="360" w:lineRule="auto"/>
        <w:ind w:right="368" w:firstLine="434"/>
        <w:jc w:val="both"/>
        <w:rPr>
          <w:color w:val="auto"/>
          <w:sz w:val="21"/>
          <w:szCs w:val="21"/>
          <w:highlight w:val="none"/>
        </w:rPr>
      </w:pPr>
      <w:r>
        <w:rPr>
          <w:color w:val="auto"/>
          <w:spacing w:val="-5"/>
          <w:sz w:val="21"/>
          <w:szCs w:val="21"/>
          <w:highlight w:val="none"/>
        </w:rPr>
        <w:t>业绩：除非本磋商文件中另有规定，业绩系指符合本磋商文件规定的与</w:t>
      </w:r>
      <w:r>
        <w:rPr>
          <w:color w:val="auto"/>
          <w:sz w:val="21"/>
          <w:szCs w:val="21"/>
          <w:highlight w:val="none"/>
        </w:rPr>
        <w:t>最终用户签订的合同。供应商与其关联公司（如母公司、控股公司、分公司、子公司、同一法定代表人的公司等）之间签订的合同，均不予认可。</w:t>
      </w:r>
    </w:p>
    <w:p w14:paraId="0E1E531F">
      <w:pPr>
        <w:pStyle w:val="11"/>
        <w:spacing w:line="360" w:lineRule="auto"/>
        <w:ind w:left="234" w:right="296" w:firstLine="434"/>
        <w:rPr>
          <w:color w:val="auto"/>
          <w:sz w:val="21"/>
          <w:szCs w:val="21"/>
          <w:highlight w:val="none"/>
        </w:rPr>
      </w:pPr>
      <w:r>
        <w:rPr>
          <w:color w:val="auto"/>
          <w:sz w:val="21"/>
          <w:szCs w:val="21"/>
          <w:highlight w:val="none"/>
        </w:rPr>
        <w:t>除非本磋商文件中另有规定，否则业绩均为已服务完毕的业绩，业绩时间均以合同签订之日为追溯节点。</w:t>
      </w:r>
    </w:p>
    <w:p w14:paraId="4396BA49">
      <w:pPr>
        <w:pStyle w:val="9"/>
        <w:numPr>
          <w:ilvl w:val="0"/>
          <w:numId w:val="7"/>
        </w:numPr>
        <w:rPr>
          <w:color w:val="auto"/>
          <w:highlight w:val="none"/>
        </w:rPr>
      </w:pPr>
      <w:r>
        <w:rPr>
          <w:color w:val="auto"/>
          <w:highlight w:val="none"/>
        </w:rPr>
        <w:t>采购人、采购代理机构及供应商</w:t>
      </w:r>
    </w:p>
    <w:p w14:paraId="0AB205CB">
      <w:pPr>
        <w:pStyle w:val="37"/>
        <w:numPr>
          <w:ilvl w:val="1"/>
          <w:numId w:val="7"/>
        </w:numPr>
        <w:tabs>
          <w:tab w:val="left" w:pos="1090"/>
        </w:tabs>
        <w:spacing w:before="156" w:line="360" w:lineRule="auto"/>
        <w:ind w:right="370" w:firstLine="434"/>
        <w:jc w:val="both"/>
        <w:rPr>
          <w:color w:val="auto"/>
          <w:sz w:val="21"/>
          <w:szCs w:val="21"/>
          <w:highlight w:val="none"/>
        </w:rPr>
      </w:pPr>
      <w:r>
        <w:rPr>
          <w:color w:val="auto"/>
          <w:spacing w:val="-17"/>
          <w:sz w:val="21"/>
          <w:szCs w:val="21"/>
          <w:highlight w:val="none"/>
        </w:rPr>
        <w:t>采购人：</w:t>
      </w:r>
      <w:r>
        <w:rPr>
          <w:rFonts w:ascii="宋体" w:hAnsi="宋体" w:eastAsia="宋体" w:cs="宋体"/>
          <w:color w:val="auto"/>
          <w:kern w:val="0"/>
          <w:sz w:val="21"/>
          <w:szCs w:val="21"/>
          <w:highlight w:val="none"/>
          <w:lang w:val="zh-CN" w:eastAsia="zh-CN" w:bidi="zh-CN"/>
        </w:rPr>
        <w:t>是指依法开展采购活动的国家机关、事业单位、</w:t>
      </w:r>
      <w:r>
        <w:rPr>
          <w:color w:val="auto"/>
          <w:spacing w:val="-17"/>
          <w:sz w:val="21"/>
          <w:szCs w:val="21"/>
          <w:highlight w:val="none"/>
        </w:rPr>
        <w:t>团体组织。</w:t>
      </w:r>
      <w:r>
        <w:rPr>
          <w:color w:val="auto"/>
          <w:sz w:val="21"/>
          <w:szCs w:val="21"/>
          <w:highlight w:val="none"/>
        </w:rPr>
        <w:t>本项目的采购人见</w:t>
      </w:r>
      <w:r>
        <w:rPr>
          <w:color w:val="auto"/>
          <w:sz w:val="21"/>
          <w:szCs w:val="21"/>
          <w:highlight w:val="none"/>
          <w:u w:val="single"/>
        </w:rPr>
        <w:t>供应商须知前附表</w:t>
      </w:r>
      <w:r>
        <w:rPr>
          <w:color w:val="auto"/>
          <w:sz w:val="21"/>
          <w:szCs w:val="21"/>
          <w:highlight w:val="none"/>
        </w:rPr>
        <w:t>。</w:t>
      </w:r>
    </w:p>
    <w:p w14:paraId="7BAF151B">
      <w:pPr>
        <w:pStyle w:val="37"/>
        <w:numPr>
          <w:ilvl w:val="1"/>
          <w:numId w:val="7"/>
        </w:numPr>
        <w:tabs>
          <w:tab w:val="left" w:pos="1073"/>
        </w:tabs>
        <w:spacing w:before="5" w:line="360" w:lineRule="auto"/>
        <w:ind w:right="253" w:firstLine="434"/>
        <w:jc w:val="both"/>
        <w:rPr>
          <w:color w:val="auto"/>
          <w:sz w:val="21"/>
          <w:szCs w:val="21"/>
          <w:highlight w:val="none"/>
        </w:rPr>
      </w:pPr>
      <w:r>
        <w:rPr>
          <w:rFonts w:ascii="宋体" w:hAnsi="宋体" w:eastAsia="宋体" w:cs="宋体"/>
          <w:color w:val="auto"/>
          <w:kern w:val="0"/>
          <w:sz w:val="21"/>
          <w:szCs w:val="21"/>
          <w:highlight w:val="none"/>
          <w:lang w:val="zh-CN" w:eastAsia="zh-CN" w:bidi="zh-CN"/>
        </w:rPr>
        <w:t>采购代理机构：是指从事采购代理业务的社会中介机构</w:t>
      </w:r>
      <w:r>
        <w:rPr>
          <w:color w:val="auto"/>
          <w:spacing w:val="-13"/>
          <w:sz w:val="21"/>
          <w:szCs w:val="21"/>
          <w:highlight w:val="none"/>
        </w:rPr>
        <w:t>。</w:t>
      </w:r>
      <w:r>
        <w:rPr>
          <w:color w:val="auto"/>
          <w:sz w:val="21"/>
          <w:szCs w:val="21"/>
          <w:highlight w:val="none"/>
        </w:rPr>
        <w:t>本项目的采购代理机构见</w:t>
      </w:r>
      <w:r>
        <w:rPr>
          <w:color w:val="auto"/>
          <w:sz w:val="21"/>
          <w:szCs w:val="21"/>
          <w:highlight w:val="none"/>
          <w:u w:val="single"/>
        </w:rPr>
        <w:t>供应商须知前附表</w:t>
      </w:r>
      <w:r>
        <w:rPr>
          <w:color w:val="auto"/>
          <w:sz w:val="21"/>
          <w:szCs w:val="21"/>
          <w:highlight w:val="none"/>
        </w:rPr>
        <w:t>。</w:t>
      </w:r>
    </w:p>
    <w:p w14:paraId="1ADC07DA">
      <w:pPr>
        <w:pStyle w:val="37"/>
        <w:numPr>
          <w:ilvl w:val="1"/>
          <w:numId w:val="7"/>
        </w:numPr>
        <w:tabs>
          <w:tab w:val="left" w:pos="1090"/>
        </w:tabs>
        <w:spacing w:line="360" w:lineRule="auto"/>
        <w:ind w:right="369" w:firstLine="434"/>
        <w:jc w:val="both"/>
        <w:rPr>
          <w:color w:val="auto"/>
          <w:sz w:val="21"/>
          <w:szCs w:val="21"/>
          <w:highlight w:val="none"/>
        </w:rPr>
      </w:pPr>
      <w:r>
        <w:rPr>
          <w:color w:val="auto"/>
          <w:spacing w:val="-5"/>
          <w:sz w:val="21"/>
          <w:szCs w:val="21"/>
          <w:highlight w:val="none"/>
        </w:rPr>
        <w:t>供应商：是指向采购人提供货物、工程或者服务的法人、非法人组织或</w:t>
      </w:r>
      <w:r>
        <w:rPr>
          <w:color w:val="auto"/>
          <w:spacing w:val="-10"/>
          <w:sz w:val="21"/>
          <w:szCs w:val="21"/>
          <w:highlight w:val="none"/>
        </w:rPr>
        <w:t>者自然人。</w:t>
      </w:r>
      <w:r>
        <w:rPr>
          <w:color w:val="auto"/>
          <w:spacing w:val="-5"/>
          <w:sz w:val="21"/>
          <w:szCs w:val="21"/>
          <w:highlight w:val="none"/>
        </w:rPr>
        <w:t>分支机构不得参加</w:t>
      </w:r>
      <w:r>
        <w:rPr>
          <w:rFonts w:hint="eastAsia"/>
          <w:color w:val="auto"/>
          <w:spacing w:val="-5"/>
          <w:sz w:val="21"/>
          <w:szCs w:val="21"/>
          <w:highlight w:val="none"/>
        </w:rPr>
        <w:t>采购</w:t>
      </w:r>
      <w:r>
        <w:rPr>
          <w:color w:val="auto"/>
          <w:spacing w:val="-5"/>
          <w:sz w:val="21"/>
          <w:szCs w:val="21"/>
          <w:highlight w:val="none"/>
        </w:rPr>
        <w:t>活动，但银行、保险、石油石化、电力、电信等特殊行业除外。本项目的供</w:t>
      </w:r>
      <w:r>
        <w:rPr>
          <w:color w:val="auto"/>
          <w:sz w:val="21"/>
          <w:szCs w:val="21"/>
          <w:highlight w:val="none"/>
        </w:rPr>
        <w:t>应商须满足以下条件：</w:t>
      </w:r>
    </w:p>
    <w:p w14:paraId="15234B46">
      <w:pPr>
        <w:pStyle w:val="37"/>
        <w:numPr>
          <w:ilvl w:val="2"/>
          <w:numId w:val="7"/>
        </w:numPr>
        <w:tabs>
          <w:tab w:val="left" w:pos="1330"/>
        </w:tabs>
        <w:spacing w:line="360" w:lineRule="auto"/>
        <w:ind w:right="369" w:firstLine="434"/>
        <w:jc w:val="both"/>
        <w:rPr>
          <w:color w:val="auto"/>
          <w:sz w:val="21"/>
          <w:szCs w:val="21"/>
          <w:highlight w:val="none"/>
        </w:rPr>
      </w:pPr>
      <w:r>
        <w:rPr>
          <w:color w:val="auto"/>
          <w:spacing w:val="-3"/>
          <w:sz w:val="21"/>
          <w:szCs w:val="21"/>
          <w:highlight w:val="none"/>
        </w:rPr>
        <w:t>在中华人民共和国境内注册，能够独立承担民事责任</w:t>
      </w:r>
      <w:r>
        <w:rPr>
          <w:rFonts w:hint="eastAsia"/>
          <w:color w:val="auto"/>
          <w:spacing w:val="-3"/>
          <w:sz w:val="21"/>
          <w:szCs w:val="21"/>
          <w:highlight w:val="none"/>
          <w:lang w:eastAsia="zh-CN"/>
        </w:rPr>
        <w:t>，具</w:t>
      </w:r>
      <w:r>
        <w:rPr>
          <w:color w:val="auto"/>
          <w:spacing w:val="-3"/>
          <w:sz w:val="21"/>
          <w:szCs w:val="21"/>
          <w:highlight w:val="none"/>
        </w:rPr>
        <w:t>有生产或供应</w:t>
      </w:r>
      <w:r>
        <w:rPr>
          <w:color w:val="auto"/>
          <w:sz w:val="21"/>
          <w:szCs w:val="21"/>
          <w:highlight w:val="none"/>
        </w:rPr>
        <w:t>能力的本国供应商。</w:t>
      </w:r>
    </w:p>
    <w:p w14:paraId="6339917D">
      <w:pPr>
        <w:pStyle w:val="37"/>
        <w:numPr>
          <w:ilvl w:val="2"/>
          <w:numId w:val="7"/>
        </w:numPr>
        <w:tabs>
          <w:tab w:val="left" w:pos="1330"/>
        </w:tabs>
        <w:spacing w:line="360" w:lineRule="auto"/>
        <w:ind w:left="1329" w:hanging="661"/>
        <w:jc w:val="both"/>
        <w:rPr>
          <w:color w:val="auto"/>
          <w:sz w:val="21"/>
          <w:szCs w:val="21"/>
          <w:highlight w:val="none"/>
        </w:rPr>
      </w:pPr>
      <w:r>
        <w:rPr>
          <w:color w:val="auto"/>
          <w:sz w:val="21"/>
          <w:szCs w:val="21"/>
          <w:highlight w:val="none"/>
        </w:rPr>
        <w:t>以采购代理机构认可的方式获得了本项目的磋商文件。</w:t>
      </w:r>
    </w:p>
    <w:p w14:paraId="07F0B0C1">
      <w:pPr>
        <w:pStyle w:val="37"/>
        <w:numPr>
          <w:ilvl w:val="1"/>
          <w:numId w:val="7"/>
        </w:numPr>
        <w:tabs>
          <w:tab w:val="left" w:pos="1090"/>
        </w:tabs>
        <w:spacing w:before="160" w:line="360" w:lineRule="auto"/>
        <w:ind w:right="245" w:firstLine="434"/>
        <w:jc w:val="both"/>
        <w:rPr>
          <w:color w:val="auto"/>
          <w:sz w:val="21"/>
          <w:szCs w:val="21"/>
          <w:highlight w:val="none"/>
        </w:rPr>
      </w:pPr>
      <w:r>
        <w:rPr>
          <w:color w:val="auto"/>
          <w:spacing w:val="-2"/>
          <w:sz w:val="21"/>
          <w:szCs w:val="21"/>
          <w:highlight w:val="none"/>
        </w:rPr>
        <w:t>单位负责人为同一人或者存在直接控股、管理关系的不同供应商，不得</w:t>
      </w:r>
      <w:r>
        <w:rPr>
          <w:color w:val="auto"/>
          <w:spacing w:val="-3"/>
          <w:sz w:val="21"/>
          <w:szCs w:val="21"/>
          <w:highlight w:val="none"/>
        </w:rPr>
        <w:t>参加同一合同项下的采购活动。否则其相关响应文件将被认定为</w:t>
      </w:r>
      <w:r>
        <w:rPr>
          <w:b/>
          <w:color w:val="auto"/>
          <w:sz w:val="21"/>
          <w:szCs w:val="21"/>
          <w:highlight w:val="none"/>
        </w:rPr>
        <w:t>响应无效</w:t>
      </w:r>
      <w:r>
        <w:rPr>
          <w:color w:val="auto"/>
          <w:spacing w:val="-14"/>
          <w:sz w:val="21"/>
          <w:szCs w:val="21"/>
          <w:highlight w:val="none"/>
        </w:rPr>
        <w:t>。</w:t>
      </w:r>
    </w:p>
    <w:p w14:paraId="0425EB99">
      <w:pPr>
        <w:pStyle w:val="37"/>
        <w:numPr>
          <w:ilvl w:val="1"/>
          <w:numId w:val="7"/>
        </w:numPr>
        <w:tabs>
          <w:tab w:val="left" w:pos="1090"/>
        </w:tabs>
        <w:spacing w:before="5" w:line="360" w:lineRule="auto"/>
        <w:ind w:right="360" w:firstLine="434"/>
        <w:jc w:val="both"/>
        <w:rPr>
          <w:color w:val="auto"/>
          <w:sz w:val="21"/>
          <w:szCs w:val="21"/>
          <w:highlight w:val="none"/>
        </w:rPr>
      </w:pPr>
      <w:r>
        <w:rPr>
          <w:color w:val="auto"/>
          <w:spacing w:val="-3"/>
          <w:sz w:val="21"/>
          <w:szCs w:val="21"/>
          <w:highlight w:val="none"/>
        </w:rPr>
        <w:t>为本项目提供过整体设计、规范编制或者项目管理、监理、检测等服务</w:t>
      </w:r>
      <w:r>
        <w:rPr>
          <w:color w:val="auto"/>
          <w:sz w:val="21"/>
          <w:szCs w:val="21"/>
          <w:highlight w:val="none"/>
        </w:rPr>
        <w:t>的供应商，不得再参加本项目上述服务以外的其他采购活动。否则其响应文件将被认定为</w:t>
      </w:r>
      <w:r>
        <w:rPr>
          <w:b/>
          <w:color w:val="auto"/>
          <w:sz w:val="21"/>
          <w:szCs w:val="21"/>
          <w:highlight w:val="none"/>
        </w:rPr>
        <w:t>响应无效</w:t>
      </w:r>
      <w:r>
        <w:rPr>
          <w:color w:val="auto"/>
          <w:sz w:val="21"/>
          <w:szCs w:val="21"/>
          <w:highlight w:val="none"/>
        </w:rPr>
        <w:t>。</w:t>
      </w:r>
    </w:p>
    <w:p w14:paraId="7FBE3D3F">
      <w:pPr>
        <w:pStyle w:val="9"/>
        <w:numPr>
          <w:ilvl w:val="0"/>
          <w:numId w:val="7"/>
        </w:numPr>
        <w:rPr>
          <w:color w:val="auto"/>
          <w:highlight w:val="none"/>
        </w:rPr>
      </w:pPr>
      <w:r>
        <w:rPr>
          <w:color w:val="auto"/>
          <w:highlight w:val="none"/>
        </w:rPr>
        <w:t>资金来源</w:t>
      </w:r>
    </w:p>
    <w:p w14:paraId="123C26B4">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本项目的采购人已获得足以支付本次磋商后所签订的合同项下的资金。</w:t>
      </w:r>
    </w:p>
    <w:p w14:paraId="3867E441">
      <w:pPr>
        <w:pStyle w:val="37"/>
        <w:tabs>
          <w:tab w:val="left" w:pos="1090"/>
        </w:tabs>
        <w:spacing w:before="158" w:line="360" w:lineRule="auto"/>
        <w:ind w:left="671" w:right="714" w:firstLine="0"/>
        <w:rPr>
          <w:b/>
          <w:color w:val="auto"/>
          <w:sz w:val="21"/>
          <w:szCs w:val="21"/>
          <w:highlight w:val="none"/>
        </w:rPr>
      </w:pPr>
      <w:r>
        <w:rPr>
          <w:rFonts w:hint="eastAsia"/>
          <w:color w:val="auto"/>
          <w:sz w:val="24"/>
          <w:szCs w:val="24"/>
          <w:highlight w:val="none"/>
        </w:rPr>
        <w:t>4.2</w:t>
      </w:r>
      <w:r>
        <w:rPr>
          <w:rFonts w:hint="eastAsia"/>
          <w:color w:val="auto"/>
          <w:sz w:val="21"/>
          <w:szCs w:val="21"/>
          <w:highlight w:val="none"/>
        </w:rPr>
        <w:t xml:space="preserve"> </w:t>
      </w:r>
      <w:r>
        <w:rPr>
          <w:color w:val="auto"/>
          <w:sz w:val="21"/>
          <w:szCs w:val="21"/>
          <w:highlight w:val="none"/>
        </w:rPr>
        <w:t>项目预算金额或分项（或分包）预算金额见磋商公告（磋商邀请）。</w:t>
      </w:r>
    </w:p>
    <w:p w14:paraId="6BBF7D48">
      <w:pPr>
        <w:pStyle w:val="9"/>
        <w:numPr>
          <w:ilvl w:val="0"/>
          <w:numId w:val="7"/>
        </w:numPr>
        <w:rPr>
          <w:color w:val="auto"/>
          <w:highlight w:val="none"/>
        </w:rPr>
      </w:pPr>
      <w:r>
        <w:rPr>
          <w:color w:val="auto"/>
          <w:highlight w:val="none"/>
        </w:rPr>
        <w:t>磋商费用</w:t>
      </w:r>
    </w:p>
    <w:p w14:paraId="202EC330">
      <w:pPr>
        <w:pStyle w:val="11"/>
        <w:spacing w:before="1" w:line="360" w:lineRule="auto"/>
        <w:ind w:left="671" w:right="256"/>
        <w:rPr>
          <w:color w:val="auto"/>
          <w:sz w:val="21"/>
          <w:szCs w:val="21"/>
          <w:highlight w:val="none"/>
        </w:rPr>
      </w:pPr>
      <w:r>
        <w:rPr>
          <w:rFonts w:hint="eastAsia"/>
          <w:color w:val="auto"/>
          <w:sz w:val="24"/>
          <w:szCs w:val="24"/>
          <w:highlight w:val="none"/>
          <w:lang w:val="en-US" w:eastAsia="zh-CN"/>
        </w:rPr>
        <w:t>5.1</w:t>
      </w:r>
      <w:r>
        <w:rPr>
          <w:color w:val="auto"/>
          <w:sz w:val="21"/>
          <w:szCs w:val="21"/>
          <w:highlight w:val="none"/>
        </w:rPr>
        <w:t>不论磋商的结果如何，供应商应承担其所有与准备和参加磋商有关的费用。</w:t>
      </w:r>
    </w:p>
    <w:p w14:paraId="0C714A4B">
      <w:pPr>
        <w:pStyle w:val="9"/>
        <w:numPr>
          <w:ilvl w:val="0"/>
          <w:numId w:val="7"/>
        </w:numPr>
        <w:rPr>
          <w:color w:val="auto"/>
          <w:highlight w:val="none"/>
          <w:lang w:val="zh-CN"/>
        </w:rPr>
      </w:pPr>
      <w:r>
        <w:rPr>
          <w:color w:val="auto"/>
          <w:highlight w:val="none"/>
          <w:lang w:val="zh-CN"/>
        </w:rPr>
        <w:t>磋商文件构成</w:t>
      </w:r>
    </w:p>
    <w:p w14:paraId="296129AA">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磋商文件包括下列内容：</w:t>
      </w:r>
    </w:p>
    <w:p w14:paraId="4FB37954">
      <w:pPr>
        <w:pStyle w:val="11"/>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第一章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竞争性磋商公告</w:t>
      </w:r>
    </w:p>
    <w:p w14:paraId="22654F73">
      <w:pPr>
        <w:pStyle w:val="11"/>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第二章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供应商须知</w:t>
      </w:r>
    </w:p>
    <w:p w14:paraId="4BB61501">
      <w:pPr>
        <w:pStyle w:val="11"/>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第三章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采购需求</w:t>
      </w:r>
    </w:p>
    <w:p w14:paraId="37E69595">
      <w:pPr>
        <w:pStyle w:val="11"/>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第四章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评审方法和标准</w:t>
      </w:r>
    </w:p>
    <w:p w14:paraId="607A3351">
      <w:pPr>
        <w:pStyle w:val="11"/>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第五章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采购</w:t>
      </w:r>
      <w:r>
        <w:rPr>
          <w:rFonts w:ascii="宋体" w:hAnsi="宋体" w:eastAsia="宋体" w:cs="宋体"/>
          <w:color w:val="auto"/>
          <w:kern w:val="0"/>
          <w:sz w:val="21"/>
          <w:szCs w:val="21"/>
          <w:highlight w:val="none"/>
          <w:lang w:val="zh-CN" w:eastAsia="zh-CN" w:bidi="zh-CN"/>
        </w:rPr>
        <w:t>合同</w:t>
      </w:r>
    </w:p>
    <w:p w14:paraId="5C744AD9">
      <w:pPr>
        <w:pStyle w:val="11"/>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第六章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响应文件格式</w:t>
      </w:r>
    </w:p>
    <w:p w14:paraId="141E8773">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磋商文件中有不一致的，有澄清的部分以最终的澄清更正内容为准。</w:t>
      </w:r>
    </w:p>
    <w:p w14:paraId="46676E3A">
      <w:pPr>
        <w:pStyle w:val="37"/>
        <w:numPr>
          <w:ilvl w:val="1"/>
          <w:numId w:val="7"/>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color w:val="auto"/>
          <w:sz w:val="21"/>
          <w:szCs w:val="21"/>
          <w:highlight w:val="none"/>
          <w:u w:val="none"/>
        </w:rPr>
      </w:pPr>
      <w:r>
        <w:rPr>
          <w:rFonts w:hint="eastAsia"/>
          <w:color w:val="auto"/>
          <w:sz w:val="21"/>
          <w:szCs w:val="21"/>
          <w:highlight w:val="none"/>
          <w:lang w:val="en-US" w:eastAsia="zh-CN"/>
        </w:rPr>
        <w:t>现</w:t>
      </w:r>
      <w:r>
        <w:rPr>
          <w:color w:val="auto"/>
          <w:sz w:val="21"/>
          <w:szCs w:val="21"/>
          <w:highlight w:val="none"/>
        </w:rPr>
        <w:t>场考察及相关事项见</w:t>
      </w:r>
      <w:r>
        <w:rPr>
          <w:color w:val="auto"/>
          <w:sz w:val="21"/>
          <w:szCs w:val="21"/>
          <w:highlight w:val="none"/>
          <w:u w:val="single"/>
        </w:rPr>
        <w:t>供应商须知前附表</w:t>
      </w:r>
      <w:r>
        <w:rPr>
          <w:color w:val="auto"/>
          <w:sz w:val="21"/>
          <w:szCs w:val="21"/>
          <w:highlight w:val="none"/>
          <w:u w:val="none"/>
        </w:rPr>
        <w:t>。</w:t>
      </w:r>
    </w:p>
    <w:p w14:paraId="198043A4">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供应商应认真阅读磋商文件所有的事项、格式、条款和技术规范等。</w:t>
      </w:r>
    </w:p>
    <w:p w14:paraId="2DC3A683">
      <w:pPr>
        <w:pStyle w:val="9"/>
        <w:numPr>
          <w:ilvl w:val="0"/>
          <w:numId w:val="7"/>
        </w:numPr>
        <w:rPr>
          <w:color w:val="auto"/>
          <w:highlight w:val="none"/>
          <w:lang w:val="zh-CN"/>
        </w:rPr>
      </w:pPr>
      <w:r>
        <w:rPr>
          <w:color w:val="auto"/>
          <w:highlight w:val="none"/>
          <w:lang w:val="zh-CN"/>
        </w:rPr>
        <w:t>磋商文件的澄清与修改</w:t>
      </w:r>
    </w:p>
    <w:p w14:paraId="4F658F51">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供应商质疑截止时间：见</w:t>
      </w:r>
      <w:r>
        <w:rPr>
          <w:rFonts w:hint="eastAsia"/>
          <w:color w:val="auto"/>
          <w:sz w:val="21"/>
          <w:szCs w:val="21"/>
          <w:highlight w:val="none"/>
          <w:u w:val="single"/>
        </w:rPr>
        <w:t>供应商须知前附表</w:t>
      </w:r>
      <w:r>
        <w:rPr>
          <w:color w:val="auto"/>
          <w:sz w:val="21"/>
          <w:szCs w:val="21"/>
          <w:highlight w:val="none"/>
        </w:rPr>
        <w:t>。</w:t>
      </w:r>
    </w:p>
    <w:p w14:paraId="52E8ABAC">
      <w:pPr>
        <w:pStyle w:val="9"/>
        <w:numPr>
          <w:ilvl w:val="0"/>
          <w:numId w:val="7"/>
        </w:numPr>
        <w:rPr>
          <w:color w:val="auto"/>
          <w:highlight w:val="none"/>
          <w:lang w:val="zh-CN"/>
        </w:rPr>
      </w:pPr>
      <w:r>
        <w:rPr>
          <w:color w:val="auto"/>
          <w:highlight w:val="none"/>
          <w:lang w:val="zh-CN"/>
        </w:rPr>
        <w:t>磋商范围及响应文件中标准和计量单位的使用</w:t>
      </w:r>
    </w:p>
    <w:p w14:paraId="673E9D29">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项目有分包的，供应商可参与其中某一个或多个分包的磋商，成交包数详见供应商须知前附表中规定。</w:t>
      </w:r>
    </w:p>
    <w:p w14:paraId="0CF56006">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无论磋商文件中是否要求，供应商所投服务及伴随的货物和工程均应符合国家强制性标准。</w:t>
      </w:r>
    </w:p>
    <w:p w14:paraId="0CF636F5">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3FCAE961">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除磋商文件中有特殊要求外，响应文件中所使用的计量单位，应采用中华人民共和国法定计量单位。</w:t>
      </w:r>
    </w:p>
    <w:p w14:paraId="10B0D7D5">
      <w:pPr>
        <w:pStyle w:val="9"/>
        <w:numPr>
          <w:ilvl w:val="0"/>
          <w:numId w:val="7"/>
        </w:numPr>
        <w:rPr>
          <w:color w:val="auto"/>
          <w:highlight w:val="none"/>
        </w:rPr>
      </w:pPr>
      <w:r>
        <w:rPr>
          <w:color w:val="auto"/>
          <w:highlight w:val="none"/>
        </w:rPr>
        <w:t>响应文件构成</w:t>
      </w:r>
    </w:p>
    <w:p w14:paraId="045C7AD3">
      <w:pPr>
        <w:pStyle w:val="37"/>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 xml:space="preserve">供应商应完整地按磋商文件提供的响应文件格式及要求编写响应文件， </w:t>
      </w:r>
      <w:r>
        <w:rPr>
          <w:color w:val="auto"/>
          <w:sz w:val="21"/>
          <w:szCs w:val="21"/>
          <w:highlight w:val="none"/>
        </w:rPr>
        <w:t>具体内容详见第六章响应文件格式的相关内容。</w:t>
      </w:r>
    </w:p>
    <w:p w14:paraId="47400008">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上述文件应按照磋商文件规定的格式填写、签署和盖章。</w:t>
      </w:r>
    </w:p>
    <w:p w14:paraId="015E198A">
      <w:pPr>
        <w:pStyle w:val="9"/>
        <w:numPr>
          <w:ilvl w:val="0"/>
          <w:numId w:val="8"/>
        </w:numPr>
        <w:rPr>
          <w:rFonts w:eastAsia="宋体" w:cs="Times New Roman"/>
          <w:color w:val="auto"/>
          <w:highlight w:val="none"/>
        </w:rPr>
      </w:pPr>
      <w:r>
        <w:rPr>
          <w:rFonts w:eastAsia="宋体" w:cs="Times New Roman"/>
          <w:color w:val="auto"/>
          <w:highlight w:val="none"/>
        </w:rPr>
        <w:t>证明标的的合格性和符合磋商文件规定的响应件</w:t>
      </w:r>
    </w:p>
    <w:p w14:paraId="5A189C77">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供应商应提交磋商文件要求的证明文件，证明其响应内容符合磋商文件规定。该证明文件是响应文件的一部分。</w:t>
      </w:r>
    </w:p>
    <w:p w14:paraId="2BAA8F39">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上款所述的证明文件，可以是文字资料、图纸和数据。</w:t>
      </w:r>
    </w:p>
    <w:p w14:paraId="4191665C">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本条所指证明文件不包括对磋商文件相关部分的文字、图标的复制。</w:t>
      </w:r>
    </w:p>
    <w:p w14:paraId="1827A9F2">
      <w:pPr>
        <w:pStyle w:val="37"/>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为保证公平</w:t>
      </w:r>
      <w:r>
        <w:rPr>
          <w:color w:val="auto"/>
          <w:sz w:val="21"/>
          <w:szCs w:val="21"/>
          <w:highlight w:val="none"/>
        </w:rPr>
        <w:t>公正，除非另有规定或说明，供应商对同一项目磋商时， 不得同时提供备选磋商方案。</w:t>
      </w:r>
    </w:p>
    <w:p w14:paraId="2C9A2B34">
      <w:pPr>
        <w:pStyle w:val="9"/>
        <w:numPr>
          <w:ilvl w:val="0"/>
          <w:numId w:val="8"/>
        </w:numPr>
        <w:rPr>
          <w:rFonts w:eastAsia="宋体" w:cs="Times New Roman"/>
          <w:color w:val="auto"/>
          <w:highlight w:val="none"/>
        </w:rPr>
      </w:pPr>
      <w:r>
        <w:rPr>
          <w:rFonts w:eastAsia="宋体" w:cs="Times New Roman"/>
          <w:color w:val="auto"/>
          <w:highlight w:val="none"/>
        </w:rPr>
        <w:t>报价</w:t>
      </w:r>
    </w:p>
    <w:p w14:paraId="654483C3">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供应商的报价应当包括满足本次磋商全部采购需求所应提供的服务， 以及伴随的货物和工程。所有内容均应以人民币报价，供应商的磋商报价应遵守《中华人民共和国价格法》。</w:t>
      </w:r>
    </w:p>
    <w:p w14:paraId="27A6BE3F">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供应商应在分项报价表上标明分项服务、伴随的货物和工程的价格（如适用）和总价，未标明的视同包含在磋商报价中。</w:t>
      </w:r>
    </w:p>
    <w:p w14:paraId="2AFD5B16">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除非磋商文件另有规定或经采购人同意支付的，最后报价均不得高于磋商文件（公告）列明的</w:t>
      </w:r>
      <w:r>
        <w:rPr>
          <w:rFonts w:hint="eastAsia"/>
          <w:color w:val="auto"/>
          <w:spacing w:val="-1"/>
          <w:sz w:val="21"/>
          <w:szCs w:val="21"/>
          <w:highlight w:val="none"/>
        </w:rPr>
        <w:t>最高限价</w:t>
      </w:r>
      <w:r>
        <w:rPr>
          <w:color w:val="auto"/>
          <w:spacing w:val="-1"/>
          <w:sz w:val="21"/>
          <w:szCs w:val="21"/>
          <w:highlight w:val="none"/>
        </w:rPr>
        <w:t>，否则其响应文件将被认定为</w:t>
      </w:r>
      <w:r>
        <w:rPr>
          <w:b/>
          <w:bCs/>
          <w:color w:val="auto"/>
          <w:spacing w:val="-1"/>
          <w:sz w:val="21"/>
          <w:szCs w:val="21"/>
          <w:highlight w:val="none"/>
        </w:rPr>
        <w:t>响应无效</w:t>
      </w:r>
      <w:r>
        <w:rPr>
          <w:color w:val="auto"/>
          <w:spacing w:val="-1"/>
          <w:sz w:val="21"/>
          <w:szCs w:val="21"/>
          <w:highlight w:val="none"/>
        </w:rPr>
        <w:t>。</w:t>
      </w:r>
    </w:p>
    <w:p w14:paraId="7D90A47C">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报价在合同履行过程中是固定不变的，不得以任何理由予以变更。任何包含价格调整要求的磋商，其响应文件将被认定为</w:t>
      </w:r>
      <w:r>
        <w:rPr>
          <w:b/>
          <w:bCs/>
          <w:color w:val="auto"/>
          <w:spacing w:val="-1"/>
          <w:sz w:val="21"/>
          <w:szCs w:val="21"/>
          <w:highlight w:val="none"/>
        </w:rPr>
        <w:t>响应无效</w:t>
      </w:r>
      <w:r>
        <w:rPr>
          <w:color w:val="auto"/>
          <w:spacing w:val="-1"/>
          <w:sz w:val="21"/>
          <w:szCs w:val="21"/>
          <w:highlight w:val="none"/>
        </w:rPr>
        <w:t>。</w:t>
      </w:r>
    </w:p>
    <w:p w14:paraId="47527CCD">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采购人不接受具有附加条件的报价。</w:t>
      </w:r>
    </w:p>
    <w:p w14:paraId="469C2F3C">
      <w:pPr>
        <w:pStyle w:val="9"/>
        <w:numPr>
          <w:ilvl w:val="0"/>
          <w:numId w:val="9"/>
        </w:numPr>
        <w:ind w:left="1036" w:leftChars="0" w:hanging="365" w:firstLineChars="0"/>
        <w:rPr>
          <w:rFonts w:eastAsia="宋体" w:cs="Times New Roman"/>
          <w:color w:val="auto"/>
          <w:highlight w:val="none"/>
        </w:rPr>
      </w:pPr>
      <w:r>
        <w:rPr>
          <w:rFonts w:eastAsia="宋体" w:cs="Times New Roman"/>
          <w:color w:val="auto"/>
          <w:highlight w:val="none"/>
        </w:rPr>
        <w:t>磋商保证金</w:t>
      </w:r>
    </w:p>
    <w:p w14:paraId="77C03C71">
      <w:pPr>
        <w:pStyle w:val="37"/>
        <w:tabs>
          <w:tab w:val="left" w:pos="1210"/>
        </w:tabs>
        <w:spacing w:before="56" w:line="360" w:lineRule="auto"/>
        <w:ind w:left="671" w:right="3835" w:firstLine="0"/>
        <w:jc w:val="both"/>
        <w:rPr>
          <w:color w:val="auto"/>
          <w:spacing w:val="-1"/>
          <w:sz w:val="21"/>
          <w:szCs w:val="21"/>
          <w:highlight w:val="none"/>
        </w:rPr>
      </w:pPr>
      <w:r>
        <w:rPr>
          <w:rFonts w:hint="eastAsia"/>
          <w:color w:val="auto"/>
          <w:spacing w:val="-1"/>
          <w:sz w:val="21"/>
          <w:szCs w:val="21"/>
          <w:highlight w:val="none"/>
          <w:lang w:val="en-US"/>
        </w:rPr>
        <w:t>详见</w:t>
      </w:r>
      <w:r>
        <w:rPr>
          <w:rFonts w:hint="eastAsia"/>
          <w:color w:val="auto"/>
          <w:spacing w:val="-1"/>
          <w:sz w:val="21"/>
          <w:szCs w:val="21"/>
          <w:highlight w:val="none"/>
          <w:u w:val="single"/>
        </w:rPr>
        <w:t>供应商须知前附表</w:t>
      </w:r>
    </w:p>
    <w:p w14:paraId="61A7F162">
      <w:pPr>
        <w:pStyle w:val="9"/>
        <w:numPr>
          <w:ilvl w:val="0"/>
          <w:numId w:val="9"/>
        </w:numPr>
        <w:ind w:left="1036" w:leftChars="0" w:hanging="365" w:firstLineChars="0"/>
        <w:rPr>
          <w:rFonts w:eastAsia="宋体" w:cs="Times New Roman"/>
          <w:color w:val="auto"/>
          <w:highlight w:val="none"/>
        </w:rPr>
      </w:pPr>
      <w:r>
        <w:rPr>
          <w:rFonts w:eastAsia="宋体" w:cs="Times New Roman"/>
          <w:color w:val="auto"/>
          <w:highlight w:val="none"/>
        </w:rPr>
        <w:t>磋商有效期</w:t>
      </w:r>
    </w:p>
    <w:p w14:paraId="042F0722">
      <w:pPr>
        <w:pStyle w:val="37"/>
        <w:numPr>
          <w:ilvl w:val="1"/>
          <w:numId w:val="10"/>
        </w:numPr>
        <w:tabs>
          <w:tab w:val="left" w:pos="1272"/>
        </w:tabs>
        <w:spacing w:before="56" w:line="360" w:lineRule="auto"/>
        <w:ind w:right="371" w:firstLine="434"/>
        <w:jc w:val="both"/>
        <w:rPr>
          <w:color w:val="auto"/>
          <w:sz w:val="21"/>
          <w:szCs w:val="21"/>
          <w:highlight w:val="none"/>
          <w:u w:val="none"/>
        </w:rPr>
      </w:pPr>
      <w:r>
        <w:rPr>
          <w:color w:val="auto"/>
          <w:spacing w:val="-1"/>
          <w:sz w:val="21"/>
          <w:szCs w:val="21"/>
          <w:highlight w:val="none"/>
        </w:rPr>
        <w:t>磋商有效期为从响应文件提交截止之日算起的日历天数，磋商有效期</w:t>
      </w:r>
      <w:r>
        <w:rPr>
          <w:color w:val="auto"/>
          <w:sz w:val="21"/>
          <w:szCs w:val="21"/>
          <w:highlight w:val="none"/>
        </w:rPr>
        <w:t>详见</w:t>
      </w:r>
      <w:r>
        <w:rPr>
          <w:color w:val="auto"/>
          <w:sz w:val="21"/>
          <w:szCs w:val="21"/>
          <w:highlight w:val="none"/>
          <w:u w:val="single"/>
        </w:rPr>
        <w:t>供应商须知前附表</w:t>
      </w:r>
      <w:r>
        <w:rPr>
          <w:color w:val="auto"/>
          <w:sz w:val="21"/>
          <w:szCs w:val="21"/>
          <w:highlight w:val="none"/>
          <w:u w:val="none"/>
        </w:rPr>
        <w:t>。</w:t>
      </w:r>
    </w:p>
    <w:p w14:paraId="59C00440">
      <w:pPr>
        <w:pStyle w:val="37"/>
        <w:numPr>
          <w:ilvl w:val="1"/>
          <w:numId w:val="10"/>
        </w:numPr>
        <w:tabs>
          <w:tab w:val="left" w:pos="1272"/>
        </w:tabs>
        <w:spacing w:line="360" w:lineRule="auto"/>
        <w:ind w:right="363" w:firstLine="434"/>
        <w:jc w:val="both"/>
        <w:rPr>
          <w:color w:val="auto"/>
          <w:sz w:val="21"/>
          <w:szCs w:val="21"/>
          <w:highlight w:val="none"/>
        </w:rPr>
      </w:pPr>
      <w:r>
        <w:rPr>
          <w:color w:val="auto"/>
          <w:sz w:val="21"/>
          <w:szCs w:val="21"/>
          <w:highlight w:val="none"/>
        </w:rPr>
        <w:t>在磋商有效期内，供应商的磋商保持有效，供应商不得要求撤销或修改其响应文件。磋商有效期不满足要求的响应，其响应文件将被认定为</w:t>
      </w:r>
      <w:r>
        <w:rPr>
          <w:b/>
          <w:color w:val="auto"/>
          <w:spacing w:val="4"/>
          <w:sz w:val="21"/>
          <w:szCs w:val="21"/>
          <w:highlight w:val="none"/>
        </w:rPr>
        <w:t>响应无</w:t>
      </w:r>
      <w:r>
        <w:rPr>
          <w:b/>
          <w:color w:val="auto"/>
          <w:sz w:val="21"/>
          <w:szCs w:val="21"/>
          <w:highlight w:val="none"/>
        </w:rPr>
        <w:t>效</w:t>
      </w:r>
      <w:r>
        <w:rPr>
          <w:color w:val="auto"/>
          <w:sz w:val="21"/>
          <w:szCs w:val="21"/>
          <w:highlight w:val="none"/>
        </w:rPr>
        <w:t>。</w:t>
      </w:r>
    </w:p>
    <w:p w14:paraId="16AFD89A">
      <w:pPr>
        <w:pStyle w:val="37"/>
        <w:numPr>
          <w:ilvl w:val="1"/>
          <w:numId w:val="10"/>
        </w:numPr>
        <w:tabs>
          <w:tab w:val="left" w:pos="1193"/>
        </w:tabs>
        <w:spacing w:line="360" w:lineRule="auto"/>
        <w:ind w:right="249" w:firstLine="434"/>
        <w:rPr>
          <w:color w:val="auto"/>
          <w:sz w:val="21"/>
          <w:szCs w:val="21"/>
          <w:highlight w:val="none"/>
        </w:rPr>
      </w:pPr>
      <w:r>
        <w:rPr>
          <w:color w:val="auto"/>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color w:val="auto"/>
          <w:sz w:val="21"/>
          <w:szCs w:val="21"/>
          <w:highlight w:val="none"/>
        </w:rPr>
        <w:t>且不承担任何责任。上述要求和答复都应以书面形式提交。</w:t>
      </w:r>
    </w:p>
    <w:p w14:paraId="53765337">
      <w:pPr>
        <w:pStyle w:val="9"/>
        <w:numPr>
          <w:ilvl w:val="0"/>
          <w:numId w:val="11"/>
        </w:numPr>
        <w:rPr>
          <w:color w:val="auto"/>
          <w:highlight w:val="none"/>
        </w:rPr>
      </w:pPr>
      <w:r>
        <w:rPr>
          <w:color w:val="auto"/>
          <w:highlight w:val="none"/>
        </w:rPr>
        <w:t>响应文件的制作</w:t>
      </w:r>
    </w:p>
    <w:p w14:paraId="38B20F7E">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响应文件应按第六章“响应文件格式”进行编写，如有必要，可以增加附页，作为响应文件的组成部分。</w:t>
      </w:r>
    </w:p>
    <w:p w14:paraId="41E5D380">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响应文件应当对磋商文件有关服务期、磋商有效期、质量要求、采购需求、采购范围等实质性内容作出响应。</w:t>
      </w:r>
    </w:p>
    <w:p w14:paraId="2772617F">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响应文件应打印，并由供应商的法定代表人或其委托代理人签字或盖章并加盖单位章。委托代理人签字的，响应文件应附法定代表人签署的授权委托书。</w:t>
      </w:r>
    </w:p>
    <w:p w14:paraId="476D8B38">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响应文件的内容：详见第六章“响应文件格式”</w:t>
      </w:r>
    </w:p>
    <w:p w14:paraId="1960F2FB">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响应文件正本一份,副本数量见供应商须知前附表。正本和副本的封面上应清楚地标记“正本”或“副本”的字样。当副本和正本不一致时，以正本为准。</w:t>
      </w:r>
    </w:p>
    <w:p w14:paraId="617AA3B7">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color w:val="auto"/>
          <w:sz w:val="21"/>
          <w:szCs w:val="21"/>
          <w:highlight w:val="none"/>
        </w:rPr>
      </w:pPr>
      <w:r>
        <w:rPr>
          <w:rFonts w:hint="eastAsia"/>
          <w:color w:val="auto"/>
          <w:spacing w:val="-8"/>
          <w:sz w:val="21"/>
          <w:szCs w:val="21"/>
          <w:highlight w:val="none"/>
        </w:rPr>
        <w:t>响应文件的正本与副本应分别装订成册，具体装订要求见供应商须知前附表规定。磋商现场提交的其他材料要求详见供应商须知前附表。</w:t>
      </w:r>
    </w:p>
    <w:p w14:paraId="47B8AA58">
      <w:pPr>
        <w:pStyle w:val="9"/>
        <w:numPr>
          <w:ilvl w:val="0"/>
          <w:numId w:val="11"/>
        </w:numPr>
        <w:rPr>
          <w:color w:val="auto"/>
          <w:highlight w:val="none"/>
        </w:rPr>
      </w:pPr>
      <w:r>
        <w:rPr>
          <w:color w:val="auto"/>
          <w:highlight w:val="none"/>
        </w:rPr>
        <w:t>响应文件提交截止时间</w:t>
      </w:r>
    </w:p>
    <w:p w14:paraId="55AA9E8B">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rFonts w:hint="eastAsia"/>
          <w:color w:val="auto"/>
          <w:spacing w:val="-8"/>
          <w:sz w:val="21"/>
          <w:szCs w:val="21"/>
          <w:highlight w:val="none"/>
        </w:rPr>
      </w:pPr>
      <w:r>
        <w:rPr>
          <w:rFonts w:hint="eastAsia"/>
          <w:color w:val="auto"/>
          <w:spacing w:val="-8"/>
          <w:sz w:val="21"/>
          <w:szCs w:val="21"/>
          <w:highlight w:val="none"/>
        </w:rPr>
        <w:t>供应商应在供应商须知前附表中规定的响应文件提交截止时间前，提交响应文件。</w:t>
      </w:r>
    </w:p>
    <w:p w14:paraId="536387F2">
      <w:pPr>
        <w:pStyle w:val="9"/>
        <w:numPr>
          <w:ilvl w:val="0"/>
          <w:numId w:val="11"/>
        </w:numPr>
        <w:rPr>
          <w:color w:val="auto"/>
          <w:highlight w:val="none"/>
        </w:rPr>
      </w:pPr>
      <w:r>
        <w:rPr>
          <w:color w:val="auto"/>
          <w:highlight w:val="none"/>
        </w:rPr>
        <w:t>响应文件的提交、修改与撤回</w:t>
      </w:r>
    </w:p>
    <w:p w14:paraId="3461E5F5">
      <w:pPr>
        <w:pStyle w:val="37"/>
        <w:numPr>
          <w:ilvl w:val="1"/>
          <w:numId w:val="11"/>
        </w:numPr>
        <w:tabs>
          <w:tab w:val="left" w:pos="1210"/>
        </w:tabs>
        <w:spacing w:before="161" w:line="360" w:lineRule="auto"/>
        <w:ind w:left="234" w:right="368" w:firstLine="434"/>
        <w:jc w:val="both"/>
        <w:rPr>
          <w:color w:val="auto"/>
          <w:sz w:val="21"/>
          <w:szCs w:val="21"/>
          <w:highlight w:val="none"/>
        </w:rPr>
      </w:pPr>
      <w:r>
        <w:rPr>
          <w:color w:val="auto"/>
          <w:spacing w:val="-2"/>
          <w:sz w:val="21"/>
          <w:szCs w:val="21"/>
          <w:highlight w:val="none"/>
        </w:rPr>
        <w:t>供应商应当在第一章“磋商公告</w:t>
      </w:r>
      <w:r>
        <w:rPr>
          <w:color w:val="auto"/>
          <w:sz w:val="21"/>
          <w:szCs w:val="21"/>
          <w:highlight w:val="none"/>
        </w:rPr>
        <w:t>（磋商邀请</w:t>
      </w:r>
      <w:r>
        <w:rPr>
          <w:rFonts w:hint="eastAsia"/>
          <w:color w:val="auto"/>
          <w:sz w:val="21"/>
          <w:szCs w:val="21"/>
          <w:highlight w:val="none"/>
          <w:lang w:eastAsia="zh-CN"/>
        </w:rPr>
        <w:t>）”</w:t>
      </w:r>
      <w:r>
        <w:rPr>
          <w:color w:val="auto"/>
          <w:spacing w:val="-4"/>
          <w:sz w:val="21"/>
          <w:szCs w:val="21"/>
          <w:highlight w:val="none"/>
        </w:rPr>
        <w:t>规定的响应文件提交截</w:t>
      </w:r>
      <w:r>
        <w:rPr>
          <w:color w:val="auto"/>
          <w:sz w:val="21"/>
          <w:szCs w:val="21"/>
          <w:highlight w:val="none"/>
        </w:rPr>
        <w:t>止时间前，</w:t>
      </w:r>
      <w:r>
        <w:rPr>
          <w:rFonts w:hint="eastAsia"/>
          <w:color w:val="auto"/>
          <w:sz w:val="21"/>
          <w:szCs w:val="21"/>
          <w:highlight w:val="none"/>
        </w:rPr>
        <w:t>提交响应文件</w:t>
      </w:r>
      <w:r>
        <w:rPr>
          <w:color w:val="auto"/>
          <w:sz w:val="21"/>
          <w:szCs w:val="21"/>
          <w:highlight w:val="none"/>
        </w:rPr>
        <w:t>。</w:t>
      </w:r>
    </w:p>
    <w:p w14:paraId="14E43842">
      <w:pPr>
        <w:pStyle w:val="37"/>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1A8811D9">
      <w:pPr>
        <w:pStyle w:val="37"/>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BE64730">
      <w:pPr>
        <w:pStyle w:val="9"/>
        <w:numPr>
          <w:ilvl w:val="0"/>
          <w:numId w:val="11"/>
        </w:numPr>
        <w:rPr>
          <w:color w:val="auto"/>
          <w:highlight w:val="none"/>
        </w:rPr>
      </w:pPr>
      <w:r>
        <w:rPr>
          <w:color w:val="auto"/>
          <w:highlight w:val="none"/>
        </w:rPr>
        <w:t>磋商小组</w:t>
      </w:r>
    </w:p>
    <w:p w14:paraId="18244AB8">
      <w:pPr>
        <w:pStyle w:val="37"/>
        <w:numPr>
          <w:ilvl w:val="1"/>
          <w:numId w:val="11"/>
        </w:numPr>
        <w:tabs>
          <w:tab w:val="left" w:pos="1243"/>
        </w:tabs>
        <w:spacing w:before="158" w:line="360" w:lineRule="auto"/>
        <w:ind w:left="234" w:right="368" w:firstLine="434"/>
        <w:rPr>
          <w:color w:val="auto"/>
          <w:sz w:val="21"/>
          <w:szCs w:val="21"/>
          <w:highlight w:val="none"/>
        </w:rPr>
      </w:pPr>
      <w:r>
        <w:rPr>
          <w:color w:val="auto"/>
          <w:spacing w:val="-2"/>
          <w:sz w:val="21"/>
          <w:szCs w:val="21"/>
          <w:highlight w:val="none"/>
        </w:rPr>
        <w:t xml:space="preserve">本项目将依法组建磋商小组，磋商小组成员由 </w:t>
      </w:r>
      <w:r>
        <w:rPr>
          <w:color w:val="auto"/>
          <w:sz w:val="21"/>
          <w:szCs w:val="21"/>
          <w:highlight w:val="none"/>
        </w:rPr>
        <w:t>3</w:t>
      </w:r>
      <w:r>
        <w:rPr>
          <w:color w:val="auto"/>
          <w:spacing w:val="-6"/>
          <w:sz w:val="21"/>
          <w:szCs w:val="21"/>
          <w:highlight w:val="none"/>
        </w:rPr>
        <w:t xml:space="preserve"> 人</w:t>
      </w:r>
      <w:r>
        <w:rPr>
          <w:rFonts w:hint="eastAsia"/>
          <w:color w:val="auto"/>
          <w:spacing w:val="-6"/>
          <w:sz w:val="21"/>
          <w:szCs w:val="21"/>
          <w:highlight w:val="none"/>
        </w:rPr>
        <w:t>及</w:t>
      </w:r>
      <w:r>
        <w:rPr>
          <w:color w:val="auto"/>
          <w:spacing w:val="-6"/>
          <w:sz w:val="21"/>
          <w:szCs w:val="21"/>
          <w:highlight w:val="none"/>
        </w:rPr>
        <w:t>以上单数组成，磋</w:t>
      </w:r>
      <w:r>
        <w:rPr>
          <w:color w:val="auto"/>
          <w:sz w:val="21"/>
          <w:szCs w:val="21"/>
          <w:highlight w:val="none"/>
        </w:rPr>
        <w:t>商小组及其成员应当依照</w:t>
      </w:r>
      <w:r>
        <w:rPr>
          <w:rFonts w:hint="eastAsia"/>
          <w:color w:val="auto"/>
          <w:sz w:val="21"/>
          <w:szCs w:val="21"/>
          <w:highlight w:val="none"/>
        </w:rPr>
        <w:t>采购</w:t>
      </w:r>
      <w:r>
        <w:rPr>
          <w:color w:val="auto"/>
          <w:sz w:val="21"/>
          <w:szCs w:val="21"/>
          <w:highlight w:val="none"/>
        </w:rPr>
        <w:t>的有关规定履行相关职责和义务。</w:t>
      </w:r>
    </w:p>
    <w:p w14:paraId="66E745B9">
      <w:pPr>
        <w:pStyle w:val="37"/>
        <w:numPr>
          <w:ilvl w:val="1"/>
          <w:numId w:val="11"/>
        </w:numPr>
        <w:tabs>
          <w:tab w:val="left" w:pos="1272"/>
        </w:tabs>
        <w:spacing w:before="6" w:line="360" w:lineRule="auto"/>
        <w:ind w:left="234" w:right="373" w:firstLine="434"/>
        <w:rPr>
          <w:color w:val="auto"/>
          <w:sz w:val="21"/>
          <w:szCs w:val="21"/>
          <w:highlight w:val="none"/>
        </w:rPr>
      </w:pPr>
      <w:r>
        <w:rPr>
          <w:color w:val="auto"/>
          <w:spacing w:val="-1"/>
          <w:sz w:val="21"/>
          <w:szCs w:val="21"/>
          <w:highlight w:val="none"/>
        </w:rPr>
        <w:t>磋商小组依法对响应文件进行评审，并根据磋商文件规定的程序、评</w:t>
      </w:r>
      <w:r>
        <w:rPr>
          <w:color w:val="auto"/>
          <w:sz w:val="21"/>
          <w:szCs w:val="21"/>
          <w:highlight w:val="none"/>
        </w:rPr>
        <w:t>定成交的标准等事项与实质性响应磋商文件要求的供应商进行磋商。</w:t>
      </w:r>
    </w:p>
    <w:p w14:paraId="1FF8425D">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磋商小组应当从质量和服务均能满足磋商文件实质性响应要求的供应</w:t>
      </w:r>
      <w:r>
        <w:rPr>
          <w:color w:val="auto"/>
          <w:sz w:val="21"/>
          <w:szCs w:val="21"/>
          <w:highlight w:val="none"/>
        </w:rPr>
        <w:t>商中，按照评审方法和标准推荐成交候选供应商，并编写评审报告。</w:t>
      </w:r>
    </w:p>
    <w:p w14:paraId="4BCCA9B6">
      <w:pPr>
        <w:pStyle w:val="9"/>
        <w:numPr>
          <w:ilvl w:val="0"/>
          <w:numId w:val="11"/>
        </w:numPr>
        <w:rPr>
          <w:color w:val="auto"/>
          <w:highlight w:val="none"/>
        </w:rPr>
      </w:pPr>
      <w:r>
        <w:rPr>
          <w:color w:val="auto"/>
          <w:highlight w:val="none"/>
        </w:rPr>
        <w:t>响应文件的评审与磋商</w:t>
      </w:r>
    </w:p>
    <w:p w14:paraId="6D2573D2">
      <w:pPr>
        <w:pStyle w:val="37"/>
        <w:numPr>
          <w:ilvl w:val="1"/>
          <w:numId w:val="11"/>
        </w:numPr>
        <w:tabs>
          <w:tab w:val="left" w:pos="1272"/>
        </w:tabs>
        <w:spacing w:before="158" w:line="360" w:lineRule="auto"/>
        <w:ind w:left="234" w:right="370" w:firstLine="434"/>
        <w:rPr>
          <w:color w:val="auto"/>
          <w:sz w:val="21"/>
          <w:szCs w:val="21"/>
          <w:highlight w:val="none"/>
        </w:rPr>
      </w:pPr>
      <w:r>
        <w:rPr>
          <w:color w:val="auto"/>
          <w:sz w:val="21"/>
          <w:szCs w:val="21"/>
          <w:highlight w:val="none"/>
        </w:rPr>
        <w:t>采购人和采购代理机构将在</w:t>
      </w:r>
      <w:r>
        <w:rPr>
          <w:color w:val="auto"/>
          <w:sz w:val="21"/>
          <w:szCs w:val="21"/>
          <w:highlight w:val="none"/>
          <w:u w:val="single"/>
        </w:rPr>
        <w:t>供应商须知前附表</w:t>
      </w:r>
      <w:r>
        <w:rPr>
          <w:color w:val="auto"/>
          <w:spacing w:val="-2"/>
          <w:sz w:val="21"/>
          <w:szCs w:val="21"/>
          <w:highlight w:val="none"/>
        </w:rPr>
        <w:t>规定的时间和地点组织</w:t>
      </w:r>
      <w:r>
        <w:rPr>
          <w:color w:val="auto"/>
          <w:sz w:val="21"/>
          <w:szCs w:val="21"/>
          <w:highlight w:val="none"/>
        </w:rPr>
        <w:t>磋商。</w:t>
      </w:r>
    </w:p>
    <w:p w14:paraId="194F6F4E">
      <w:pPr>
        <w:pStyle w:val="37"/>
        <w:numPr>
          <w:ilvl w:val="1"/>
          <w:numId w:val="11"/>
        </w:numPr>
        <w:tabs>
          <w:tab w:val="left" w:pos="1210"/>
        </w:tabs>
        <w:spacing w:before="2" w:line="360" w:lineRule="auto"/>
        <w:ind w:left="1209" w:hanging="541"/>
        <w:rPr>
          <w:color w:val="auto"/>
          <w:sz w:val="21"/>
          <w:szCs w:val="21"/>
          <w:highlight w:val="none"/>
        </w:rPr>
      </w:pPr>
      <w:r>
        <w:rPr>
          <w:color w:val="auto"/>
          <w:sz w:val="21"/>
          <w:szCs w:val="21"/>
          <w:highlight w:val="none"/>
        </w:rPr>
        <w:t>竞争性磋商活动采用综合评分法评审。</w:t>
      </w:r>
    </w:p>
    <w:p w14:paraId="4C351ACA">
      <w:pPr>
        <w:pStyle w:val="11"/>
        <w:spacing w:before="23" w:line="360" w:lineRule="auto"/>
        <w:ind w:left="234" w:right="373" w:firstLine="434"/>
        <w:rPr>
          <w:color w:val="auto"/>
          <w:sz w:val="21"/>
          <w:szCs w:val="21"/>
          <w:highlight w:val="none"/>
        </w:rPr>
      </w:pPr>
      <w:r>
        <w:rPr>
          <w:color w:val="auto"/>
          <w:spacing w:val="-10"/>
          <w:sz w:val="21"/>
          <w:szCs w:val="21"/>
          <w:highlight w:val="none"/>
        </w:rPr>
        <w:t>综合评分法，是指响应文件满足磋商文件全部实质性要求且按评审因素的量</w:t>
      </w:r>
      <w:r>
        <w:rPr>
          <w:color w:val="auto"/>
          <w:sz w:val="21"/>
          <w:szCs w:val="21"/>
          <w:highlight w:val="none"/>
        </w:rPr>
        <w:t>化指标评审得分最高的供应商为成交候选供应商的评审方法。</w:t>
      </w:r>
    </w:p>
    <w:p w14:paraId="45A79140">
      <w:pPr>
        <w:pStyle w:val="37"/>
        <w:numPr>
          <w:ilvl w:val="1"/>
          <w:numId w:val="11"/>
        </w:numPr>
        <w:tabs>
          <w:tab w:val="left" w:pos="1272"/>
        </w:tabs>
        <w:spacing w:before="56" w:line="360" w:lineRule="auto"/>
        <w:ind w:left="234" w:right="369" w:firstLine="434"/>
        <w:jc w:val="both"/>
        <w:rPr>
          <w:color w:val="auto"/>
          <w:sz w:val="21"/>
          <w:szCs w:val="21"/>
          <w:highlight w:val="none"/>
        </w:rPr>
      </w:pPr>
      <w:r>
        <w:rPr>
          <w:color w:val="auto"/>
          <w:spacing w:val="-1"/>
          <w:sz w:val="21"/>
          <w:szCs w:val="21"/>
          <w:highlight w:val="none"/>
        </w:rPr>
        <w:t>磋商小组将按照磋商文件规定的评审方法和标准对供应商独立进行评</w:t>
      </w:r>
      <w:r>
        <w:rPr>
          <w:color w:val="auto"/>
          <w:sz w:val="21"/>
          <w:szCs w:val="21"/>
          <w:highlight w:val="none"/>
        </w:rPr>
        <w:t>审。评审程序如下：</w:t>
      </w:r>
    </w:p>
    <w:p w14:paraId="50F6EB94">
      <w:pPr>
        <w:pStyle w:val="37"/>
        <w:numPr>
          <w:ilvl w:val="2"/>
          <w:numId w:val="11"/>
        </w:numPr>
        <w:tabs>
          <w:tab w:val="left" w:pos="1512"/>
        </w:tabs>
        <w:spacing w:line="360" w:lineRule="auto"/>
        <w:ind w:right="369" w:firstLine="434"/>
        <w:jc w:val="both"/>
        <w:rPr>
          <w:color w:val="auto"/>
          <w:sz w:val="21"/>
          <w:szCs w:val="21"/>
          <w:highlight w:val="none"/>
        </w:rPr>
      </w:pPr>
      <w:r>
        <w:rPr>
          <w:b/>
          <w:color w:val="auto"/>
          <w:sz w:val="21"/>
          <w:szCs w:val="21"/>
          <w:highlight w:val="none"/>
        </w:rPr>
        <w:t>初审</w:t>
      </w:r>
      <w:r>
        <w:rPr>
          <w:color w:val="auto"/>
          <w:sz w:val="21"/>
          <w:szCs w:val="21"/>
          <w:highlight w:val="none"/>
        </w:rPr>
        <w:t>。磋商小组对供应商必须满足和实质性响应的内容进行评审， 供应商未实质性响应磋商文件要求导致响应无效的，磋商小组将以书面询标的方式告知有关供应商。</w:t>
      </w:r>
    </w:p>
    <w:p w14:paraId="4DE6A04D">
      <w:pPr>
        <w:pStyle w:val="11"/>
        <w:spacing w:line="360" w:lineRule="auto"/>
        <w:ind w:left="234" w:right="363" w:firstLine="470"/>
        <w:jc w:val="both"/>
        <w:rPr>
          <w:color w:val="auto"/>
          <w:sz w:val="21"/>
          <w:szCs w:val="21"/>
          <w:highlight w:val="none"/>
        </w:rPr>
      </w:pPr>
      <w:r>
        <w:rPr>
          <w:color w:val="auto"/>
          <w:sz w:val="21"/>
          <w:szCs w:val="21"/>
          <w:highlight w:val="none"/>
        </w:rPr>
        <w:t>采购人或采购代理机构将在响应文件提交截止时间后至评审结束前查询供应商的信用记录。供应商存在不良信用记录的，其响应文件将被认定为</w:t>
      </w:r>
      <w:r>
        <w:rPr>
          <w:b/>
          <w:color w:val="auto"/>
          <w:sz w:val="21"/>
          <w:szCs w:val="21"/>
          <w:highlight w:val="none"/>
        </w:rPr>
        <w:t>响应无效</w:t>
      </w:r>
      <w:r>
        <w:rPr>
          <w:color w:val="auto"/>
          <w:sz w:val="21"/>
          <w:szCs w:val="21"/>
          <w:highlight w:val="none"/>
        </w:rPr>
        <w:t>。</w:t>
      </w:r>
    </w:p>
    <w:p w14:paraId="70393A61">
      <w:pPr>
        <w:pStyle w:val="37"/>
        <w:numPr>
          <w:ilvl w:val="2"/>
          <w:numId w:val="11"/>
        </w:numPr>
        <w:tabs>
          <w:tab w:val="left" w:pos="1512"/>
        </w:tabs>
        <w:spacing w:line="360" w:lineRule="auto"/>
        <w:ind w:right="365" w:firstLine="434"/>
        <w:jc w:val="both"/>
        <w:rPr>
          <w:color w:val="auto"/>
          <w:sz w:val="21"/>
          <w:szCs w:val="21"/>
          <w:highlight w:val="none"/>
        </w:rPr>
      </w:pPr>
      <w:r>
        <w:rPr>
          <w:b/>
          <w:color w:val="auto"/>
          <w:sz w:val="21"/>
          <w:szCs w:val="21"/>
          <w:highlight w:val="none"/>
        </w:rPr>
        <w:t>磋商</w:t>
      </w:r>
      <w:r>
        <w:rPr>
          <w:color w:val="auto"/>
          <w:spacing w:val="-1"/>
          <w:sz w:val="21"/>
          <w:szCs w:val="21"/>
          <w:highlight w:val="none"/>
        </w:rPr>
        <w:t>。初审合格后，磋商小组将按响应文件提交顺序</w:t>
      </w:r>
      <w:r>
        <w:rPr>
          <w:color w:val="auto"/>
          <w:sz w:val="21"/>
          <w:szCs w:val="21"/>
          <w:highlight w:val="none"/>
        </w:rPr>
        <w:t>集中与单一供应商分别进行磋商，并给予所有参加磋商的供应商平等的磋商机会，如供应商未到磋商现场的，视同放弃该权利。</w:t>
      </w:r>
    </w:p>
    <w:p w14:paraId="484440EF">
      <w:pPr>
        <w:pStyle w:val="37"/>
        <w:numPr>
          <w:ilvl w:val="2"/>
          <w:numId w:val="11"/>
        </w:numPr>
        <w:tabs>
          <w:tab w:val="left" w:pos="1512"/>
        </w:tabs>
        <w:spacing w:before="56" w:line="360" w:lineRule="auto"/>
        <w:ind w:right="370" w:firstLine="434"/>
        <w:jc w:val="both"/>
        <w:rPr>
          <w:rFonts w:ascii="宋体" w:hAnsi="宋体" w:eastAsia="宋体" w:cs="宋体"/>
          <w:b w:val="0"/>
          <w:bCs/>
          <w:color w:val="auto"/>
          <w:sz w:val="21"/>
          <w:szCs w:val="21"/>
          <w:highlight w:val="none"/>
        </w:rPr>
      </w:pPr>
      <w:r>
        <w:rPr>
          <w:rFonts w:ascii="宋体" w:hAnsi="宋体" w:eastAsia="宋体" w:cs="宋体"/>
          <w:b/>
          <w:color w:val="auto"/>
          <w:sz w:val="21"/>
          <w:szCs w:val="21"/>
          <w:highlight w:val="none"/>
        </w:rPr>
        <w:t>报价。</w:t>
      </w:r>
      <w:r>
        <w:rPr>
          <w:rFonts w:ascii="宋体" w:hAnsi="宋体" w:eastAsia="宋体" w:cs="宋体"/>
          <w:b w:val="0"/>
          <w:bCs/>
          <w:color w:val="auto"/>
          <w:sz w:val="21"/>
          <w:szCs w:val="21"/>
          <w:highlight w:val="none"/>
        </w:rPr>
        <w:t>磋商结束后，磋商小组应当要求所有实质性响应的供应商在规定时间内提交最后报价。</w:t>
      </w:r>
    </w:p>
    <w:p w14:paraId="5CDE3811">
      <w:pPr>
        <w:pStyle w:val="37"/>
        <w:numPr>
          <w:ilvl w:val="2"/>
          <w:numId w:val="11"/>
        </w:numPr>
        <w:tabs>
          <w:tab w:val="left" w:pos="1512"/>
        </w:tabs>
        <w:spacing w:before="56" w:line="360" w:lineRule="auto"/>
        <w:ind w:right="370" w:firstLine="434"/>
        <w:jc w:val="both"/>
        <w:rPr>
          <w:color w:val="auto"/>
          <w:sz w:val="21"/>
          <w:szCs w:val="21"/>
          <w:highlight w:val="none"/>
        </w:rPr>
      </w:pPr>
      <w:r>
        <w:rPr>
          <w:b/>
          <w:color w:val="auto"/>
          <w:sz w:val="21"/>
          <w:szCs w:val="21"/>
          <w:highlight w:val="none"/>
        </w:rPr>
        <w:t>综合评分</w:t>
      </w:r>
      <w:r>
        <w:rPr>
          <w:color w:val="auto"/>
          <w:spacing w:val="-1"/>
          <w:sz w:val="21"/>
          <w:szCs w:val="21"/>
          <w:highlight w:val="none"/>
        </w:rPr>
        <w:t>。磋商小组只对通过初审，实质上响应磋商文件要求的响</w:t>
      </w:r>
      <w:r>
        <w:rPr>
          <w:color w:val="auto"/>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673E01E">
      <w:pPr>
        <w:pStyle w:val="37"/>
        <w:numPr>
          <w:ilvl w:val="1"/>
          <w:numId w:val="11"/>
        </w:numPr>
        <w:tabs>
          <w:tab w:val="left" w:pos="1210"/>
        </w:tabs>
        <w:spacing w:line="360" w:lineRule="auto"/>
        <w:ind w:left="1209" w:hanging="541"/>
        <w:jc w:val="both"/>
        <w:rPr>
          <w:color w:val="auto"/>
          <w:sz w:val="21"/>
          <w:szCs w:val="21"/>
          <w:highlight w:val="none"/>
        </w:rPr>
      </w:pPr>
      <w:r>
        <w:rPr>
          <w:color w:val="auto"/>
          <w:sz w:val="21"/>
          <w:szCs w:val="21"/>
          <w:highlight w:val="none"/>
        </w:rPr>
        <w:t>相关说明。</w:t>
      </w:r>
    </w:p>
    <w:p w14:paraId="382CC16D">
      <w:pPr>
        <w:pStyle w:val="37"/>
        <w:numPr>
          <w:ilvl w:val="2"/>
          <w:numId w:val="11"/>
        </w:numPr>
        <w:tabs>
          <w:tab w:val="left" w:pos="1433"/>
        </w:tabs>
        <w:spacing w:before="160" w:line="360" w:lineRule="auto"/>
        <w:ind w:left="1432" w:hanging="764"/>
        <w:jc w:val="both"/>
        <w:rPr>
          <w:color w:val="auto"/>
          <w:sz w:val="21"/>
          <w:szCs w:val="21"/>
          <w:highlight w:val="none"/>
        </w:rPr>
      </w:pPr>
      <w:r>
        <w:rPr>
          <w:color w:val="auto"/>
          <w:spacing w:val="-10"/>
          <w:sz w:val="21"/>
          <w:szCs w:val="21"/>
          <w:highlight w:val="none"/>
        </w:rPr>
        <w:t>为保证磋商活动顺利进行，供应商可派相关技术人员进行现场答疑；</w:t>
      </w:r>
    </w:p>
    <w:p w14:paraId="7B8CBF9F">
      <w:pPr>
        <w:pStyle w:val="37"/>
        <w:numPr>
          <w:ilvl w:val="2"/>
          <w:numId w:val="11"/>
        </w:numPr>
        <w:tabs>
          <w:tab w:val="left" w:pos="1512"/>
        </w:tabs>
        <w:spacing w:before="159" w:line="360" w:lineRule="auto"/>
        <w:ind w:right="366" w:firstLine="434"/>
        <w:jc w:val="both"/>
        <w:rPr>
          <w:color w:val="auto"/>
          <w:sz w:val="21"/>
          <w:szCs w:val="21"/>
          <w:highlight w:val="none"/>
        </w:rPr>
      </w:pPr>
      <w:r>
        <w:rPr>
          <w:color w:val="auto"/>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1C09DAB6">
      <w:pPr>
        <w:pStyle w:val="37"/>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磋商过程中，磋商小组发现供应商的报价或者某些分项报价明显不</w:t>
      </w:r>
      <w:r>
        <w:rPr>
          <w:color w:val="auto"/>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5970477">
      <w:pPr>
        <w:pStyle w:val="37"/>
        <w:numPr>
          <w:ilvl w:val="2"/>
          <w:numId w:val="11"/>
        </w:numPr>
        <w:tabs>
          <w:tab w:val="left" w:pos="1512"/>
        </w:tabs>
        <w:spacing w:line="360" w:lineRule="auto"/>
        <w:ind w:right="367" w:firstLine="434"/>
        <w:jc w:val="both"/>
        <w:rPr>
          <w:color w:val="auto"/>
          <w:sz w:val="21"/>
          <w:szCs w:val="21"/>
          <w:highlight w:val="none"/>
        </w:rPr>
      </w:pPr>
      <w:r>
        <w:rPr>
          <w:color w:val="auto"/>
          <w:sz w:val="21"/>
          <w:szCs w:val="21"/>
          <w:highlight w:val="none"/>
        </w:rPr>
        <w:t>无论何种原因，即使供应商磋商时携带了证书材料的原件，但响应文件中未提供与之内容完全一致的扫描件或影印件的，磋商小组可以视同其未提供。</w:t>
      </w:r>
    </w:p>
    <w:p w14:paraId="5ED0E2BA">
      <w:pPr>
        <w:pStyle w:val="37"/>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磋商小组决定响应文件的响应性及符合性只根据响应文件本身的内</w:t>
      </w:r>
      <w:r>
        <w:rPr>
          <w:color w:val="auto"/>
          <w:sz w:val="21"/>
          <w:szCs w:val="21"/>
          <w:highlight w:val="none"/>
        </w:rPr>
        <w:t>容，而不寻求其他外部证据。</w:t>
      </w:r>
    </w:p>
    <w:p w14:paraId="6E99BFAC">
      <w:pPr>
        <w:pStyle w:val="37"/>
        <w:numPr>
          <w:ilvl w:val="1"/>
          <w:numId w:val="11"/>
        </w:numPr>
        <w:tabs>
          <w:tab w:val="left" w:pos="1272"/>
        </w:tabs>
        <w:spacing w:before="1" w:line="360" w:lineRule="auto"/>
        <w:ind w:left="234" w:right="366" w:firstLine="434"/>
        <w:jc w:val="both"/>
        <w:rPr>
          <w:color w:val="auto"/>
          <w:sz w:val="21"/>
          <w:szCs w:val="21"/>
          <w:highlight w:val="none"/>
        </w:rPr>
      </w:pPr>
      <w:r>
        <w:rPr>
          <w:color w:val="auto"/>
          <w:sz w:val="21"/>
          <w:szCs w:val="21"/>
          <w:highlight w:val="none"/>
        </w:rPr>
        <w:t>供应商授权代表对磋商过程有疑义，以及认为采购人、采购代理机构相关工作人员有需要回避的情形的，应当场提出询问或者回避申请，并说明理由。</w:t>
      </w:r>
    </w:p>
    <w:p w14:paraId="41C912EB">
      <w:pPr>
        <w:pStyle w:val="9"/>
        <w:numPr>
          <w:ilvl w:val="0"/>
          <w:numId w:val="11"/>
        </w:numPr>
        <w:rPr>
          <w:color w:val="auto"/>
          <w:highlight w:val="none"/>
        </w:rPr>
      </w:pPr>
      <w:r>
        <w:rPr>
          <w:color w:val="auto"/>
          <w:highlight w:val="none"/>
        </w:rPr>
        <w:t>终止竞争性磋商</w:t>
      </w:r>
    </w:p>
    <w:p w14:paraId="1101CE82">
      <w:pPr>
        <w:pStyle w:val="37"/>
        <w:numPr>
          <w:ilvl w:val="1"/>
          <w:numId w:val="11"/>
        </w:numPr>
        <w:tabs>
          <w:tab w:val="left" w:pos="1272"/>
        </w:tabs>
        <w:spacing w:before="161" w:line="360" w:lineRule="auto"/>
        <w:ind w:left="234" w:right="370" w:firstLine="434"/>
        <w:rPr>
          <w:color w:val="auto"/>
          <w:sz w:val="21"/>
          <w:szCs w:val="21"/>
          <w:highlight w:val="none"/>
        </w:rPr>
      </w:pPr>
      <w:r>
        <w:rPr>
          <w:color w:val="auto"/>
          <w:spacing w:val="-1"/>
          <w:sz w:val="21"/>
          <w:szCs w:val="21"/>
          <w:highlight w:val="none"/>
        </w:rPr>
        <w:t>出现下列情况之一时，采购人和采购代理机构有权宣布终止竞争性磋</w:t>
      </w:r>
      <w:r>
        <w:rPr>
          <w:color w:val="auto"/>
          <w:sz w:val="21"/>
          <w:szCs w:val="21"/>
          <w:highlight w:val="none"/>
        </w:rPr>
        <w:t>商采购，并将理由通知所有供应商：</w:t>
      </w:r>
    </w:p>
    <w:p w14:paraId="69371D28">
      <w:pPr>
        <w:pStyle w:val="37"/>
        <w:numPr>
          <w:ilvl w:val="0"/>
          <w:numId w:val="12"/>
        </w:numPr>
        <w:tabs>
          <w:tab w:val="left" w:pos="1271"/>
        </w:tabs>
        <w:spacing w:before="5" w:line="360" w:lineRule="auto"/>
        <w:ind w:hanging="602"/>
        <w:rPr>
          <w:color w:val="auto"/>
          <w:sz w:val="21"/>
          <w:szCs w:val="21"/>
          <w:highlight w:val="none"/>
        </w:rPr>
      </w:pPr>
      <w:r>
        <w:rPr>
          <w:color w:val="auto"/>
          <w:sz w:val="21"/>
          <w:szCs w:val="21"/>
          <w:highlight w:val="none"/>
        </w:rPr>
        <w:t>有效供应商数量不足，导致本次磋商缺乏竞争的；</w:t>
      </w:r>
    </w:p>
    <w:p w14:paraId="60C6E94A">
      <w:pPr>
        <w:pStyle w:val="37"/>
        <w:numPr>
          <w:ilvl w:val="0"/>
          <w:numId w:val="12"/>
        </w:numPr>
        <w:tabs>
          <w:tab w:val="left" w:pos="1271"/>
        </w:tabs>
        <w:spacing w:before="161" w:line="360" w:lineRule="auto"/>
        <w:ind w:hanging="602"/>
        <w:rPr>
          <w:color w:val="auto"/>
          <w:sz w:val="21"/>
          <w:szCs w:val="21"/>
          <w:highlight w:val="none"/>
        </w:rPr>
      </w:pPr>
      <w:r>
        <w:rPr>
          <w:color w:val="auto"/>
          <w:sz w:val="21"/>
          <w:szCs w:val="21"/>
          <w:highlight w:val="none"/>
        </w:rPr>
        <w:t>出现影响采购公正的违法、违规行为的；</w:t>
      </w:r>
    </w:p>
    <w:p w14:paraId="5388C914">
      <w:pPr>
        <w:pStyle w:val="37"/>
        <w:numPr>
          <w:ilvl w:val="0"/>
          <w:numId w:val="12"/>
        </w:numPr>
        <w:tabs>
          <w:tab w:val="left" w:pos="1271"/>
        </w:tabs>
        <w:spacing w:before="158" w:line="360" w:lineRule="auto"/>
        <w:ind w:hanging="602"/>
        <w:rPr>
          <w:color w:val="auto"/>
          <w:sz w:val="21"/>
          <w:szCs w:val="21"/>
          <w:highlight w:val="none"/>
        </w:rPr>
      </w:pPr>
      <w:r>
        <w:rPr>
          <w:color w:val="auto"/>
          <w:sz w:val="21"/>
          <w:szCs w:val="21"/>
          <w:highlight w:val="none"/>
        </w:rPr>
        <w:t>因重大变故，采购任务取消的；</w:t>
      </w:r>
    </w:p>
    <w:p w14:paraId="44BFEB71">
      <w:pPr>
        <w:pStyle w:val="37"/>
        <w:numPr>
          <w:ilvl w:val="0"/>
          <w:numId w:val="12"/>
        </w:numPr>
        <w:tabs>
          <w:tab w:val="left" w:pos="1271"/>
        </w:tabs>
        <w:spacing w:before="160" w:line="360" w:lineRule="auto"/>
        <w:ind w:hanging="602"/>
        <w:rPr>
          <w:color w:val="auto"/>
          <w:sz w:val="21"/>
          <w:szCs w:val="21"/>
          <w:highlight w:val="none"/>
        </w:rPr>
      </w:pPr>
      <w:r>
        <w:rPr>
          <w:color w:val="auto"/>
          <w:sz w:val="21"/>
          <w:szCs w:val="21"/>
          <w:highlight w:val="none"/>
        </w:rPr>
        <w:t>法律法规规定的其他情形。</w:t>
      </w:r>
    </w:p>
    <w:p w14:paraId="7BFB0737">
      <w:pPr>
        <w:pStyle w:val="9"/>
        <w:numPr>
          <w:ilvl w:val="0"/>
          <w:numId w:val="11"/>
        </w:numPr>
        <w:rPr>
          <w:color w:val="auto"/>
          <w:highlight w:val="none"/>
        </w:rPr>
      </w:pPr>
      <w:r>
        <w:rPr>
          <w:color w:val="auto"/>
          <w:highlight w:val="none"/>
        </w:rPr>
        <w:t>响应文件的澄清、说明或更正</w:t>
      </w:r>
    </w:p>
    <w:p w14:paraId="300F8ACE">
      <w:pPr>
        <w:pStyle w:val="37"/>
        <w:numPr>
          <w:ilvl w:val="1"/>
          <w:numId w:val="11"/>
        </w:numPr>
        <w:tabs>
          <w:tab w:val="left" w:pos="1306"/>
        </w:tabs>
        <w:spacing w:before="160" w:line="360" w:lineRule="auto"/>
        <w:ind w:left="234" w:right="372" w:firstLine="470"/>
        <w:jc w:val="both"/>
        <w:rPr>
          <w:color w:val="auto"/>
          <w:sz w:val="21"/>
          <w:szCs w:val="21"/>
          <w:highlight w:val="none"/>
        </w:rPr>
      </w:pPr>
      <w:r>
        <w:rPr>
          <w:color w:val="auto"/>
          <w:spacing w:val="-1"/>
          <w:sz w:val="21"/>
          <w:szCs w:val="21"/>
          <w:highlight w:val="none"/>
        </w:rPr>
        <w:t>磋商小组将对响应文件的有效性、完整性和响应程度进行审查，审查</w:t>
      </w:r>
      <w:r>
        <w:rPr>
          <w:color w:val="auto"/>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D84FE6D">
      <w:pPr>
        <w:pStyle w:val="37"/>
        <w:numPr>
          <w:ilvl w:val="1"/>
          <w:numId w:val="11"/>
        </w:numPr>
        <w:tabs>
          <w:tab w:val="left" w:pos="1246"/>
        </w:tabs>
        <w:spacing w:line="360" w:lineRule="auto"/>
        <w:ind w:left="234" w:right="373" w:firstLine="470"/>
        <w:jc w:val="both"/>
        <w:rPr>
          <w:color w:val="auto"/>
          <w:sz w:val="21"/>
          <w:szCs w:val="21"/>
          <w:highlight w:val="none"/>
        </w:rPr>
      </w:pPr>
      <w:r>
        <w:rPr>
          <w:color w:val="auto"/>
          <w:spacing w:val="-11"/>
          <w:sz w:val="21"/>
          <w:szCs w:val="21"/>
          <w:highlight w:val="none"/>
        </w:rPr>
        <w:t>磋商小组要求供应商澄清、说明或者更正响应文件应当以书面形式</w:t>
      </w:r>
      <w:r>
        <w:rPr>
          <w:color w:val="auto"/>
          <w:sz w:val="21"/>
          <w:szCs w:val="21"/>
          <w:highlight w:val="none"/>
        </w:rPr>
        <w:t>（</w:t>
      </w:r>
      <w:r>
        <w:rPr>
          <w:color w:val="auto"/>
          <w:spacing w:val="-17"/>
          <w:sz w:val="21"/>
          <w:szCs w:val="21"/>
          <w:highlight w:val="none"/>
        </w:rPr>
        <w:t>询</w:t>
      </w:r>
      <w:r>
        <w:rPr>
          <w:color w:val="auto"/>
          <w:spacing w:val="4"/>
          <w:sz w:val="21"/>
          <w:szCs w:val="21"/>
          <w:highlight w:val="none"/>
        </w:rPr>
        <w:t>标）</w:t>
      </w:r>
      <w:r>
        <w:rPr>
          <w:color w:val="auto"/>
          <w:sz w:val="21"/>
          <w:szCs w:val="21"/>
          <w:highlight w:val="none"/>
        </w:rPr>
        <w:t>作出。供应商的澄清、说明或者更正应当由法定代表人或其授权代表签字或者加盖公章。</w:t>
      </w:r>
    </w:p>
    <w:p w14:paraId="7594A8EC">
      <w:pPr>
        <w:pStyle w:val="9"/>
        <w:numPr>
          <w:ilvl w:val="0"/>
          <w:numId w:val="11"/>
        </w:numPr>
        <w:rPr>
          <w:color w:val="auto"/>
          <w:highlight w:val="none"/>
        </w:rPr>
      </w:pPr>
      <w:r>
        <w:rPr>
          <w:color w:val="auto"/>
          <w:highlight w:val="none"/>
        </w:rPr>
        <w:t>最后报价</w:t>
      </w:r>
    </w:p>
    <w:p w14:paraId="584F14F6">
      <w:pPr>
        <w:pStyle w:val="37"/>
        <w:numPr>
          <w:ilvl w:val="1"/>
          <w:numId w:val="11"/>
        </w:numPr>
        <w:tabs>
          <w:tab w:val="left" w:pos="1272"/>
        </w:tabs>
        <w:spacing w:before="157" w:line="360" w:lineRule="auto"/>
        <w:ind w:left="234" w:right="373" w:firstLine="434"/>
        <w:rPr>
          <w:color w:val="auto"/>
          <w:sz w:val="21"/>
          <w:szCs w:val="21"/>
          <w:highlight w:val="none"/>
        </w:rPr>
      </w:pPr>
      <w:r>
        <w:rPr>
          <w:color w:val="auto"/>
          <w:spacing w:val="-1"/>
          <w:sz w:val="21"/>
          <w:szCs w:val="21"/>
          <w:highlight w:val="none"/>
        </w:rPr>
        <w:t>磋商并不限定只进行二轮报价，如果磋商小组认为有必要，可以要求</w:t>
      </w:r>
      <w:r>
        <w:rPr>
          <w:color w:val="auto"/>
          <w:sz w:val="21"/>
          <w:szCs w:val="21"/>
          <w:highlight w:val="none"/>
        </w:rPr>
        <w:t>供应商进行多轮报价。</w:t>
      </w:r>
    </w:p>
    <w:p w14:paraId="3E2C06F9">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在磋商内容不做实质性变更或重大调整的前提下，供应商下轮报价不</w:t>
      </w:r>
      <w:r>
        <w:rPr>
          <w:color w:val="auto"/>
          <w:sz w:val="21"/>
          <w:szCs w:val="21"/>
          <w:highlight w:val="none"/>
        </w:rPr>
        <w:t>得高于上一轮报价。</w:t>
      </w:r>
    </w:p>
    <w:p w14:paraId="61FECA8F">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最后报价是供应商响应文件的有效组成部分，最后报价也是签订合同</w:t>
      </w:r>
      <w:r>
        <w:rPr>
          <w:color w:val="auto"/>
          <w:sz w:val="21"/>
          <w:szCs w:val="21"/>
          <w:highlight w:val="none"/>
        </w:rPr>
        <w:t>的依据。</w:t>
      </w:r>
    </w:p>
    <w:p w14:paraId="1D4FE767">
      <w:pPr>
        <w:pStyle w:val="9"/>
        <w:numPr>
          <w:ilvl w:val="0"/>
          <w:numId w:val="11"/>
        </w:numPr>
        <w:rPr>
          <w:color w:val="auto"/>
          <w:highlight w:val="none"/>
        </w:rPr>
      </w:pPr>
      <w:r>
        <w:rPr>
          <w:color w:val="auto"/>
          <w:highlight w:val="none"/>
        </w:rPr>
        <w:t>成交候选供应商的推荐原则及标准</w:t>
      </w:r>
    </w:p>
    <w:p w14:paraId="5D011959">
      <w:pPr>
        <w:pStyle w:val="37"/>
        <w:numPr>
          <w:ilvl w:val="1"/>
          <w:numId w:val="11"/>
        </w:numPr>
        <w:tabs>
          <w:tab w:val="left" w:pos="1272"/>
        </w:tabs>
        <w:spacing w:before="158" w:line="360" w:lineRule="auto"/>
        <w:ind w:left="234" w:right="368" w:firstLine="434"/>
        <w:jc w:val="both"/>
        <w:rPr>
          <w:color w:val="auto"/>
          <w:sz w:val="21"/>
          <w:szCs w:val="21"/>
          <w:highlight w:val="none"/>
        </w:rPr>
      </w:pPr>
      <w:r>
        <w:rPr>
          <w:color w:val="auto"/>
          <w:spacing w:val="-1"/>
          <w:sz w:val="21"/>
          <w:szCs w:val="21"/>
          <w:highlight w:val="none"/>
        </w:rPr>
        <w:t>磋商小组依据本项目磋商文件所约定的评审方法和标准，按照有效供</w:t>
      </w:r>
      <w:r>
        <w:rPr>
          <w:color w:val="auto"/>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color w:val="auto"/>
          <w:sz w:val="21"/>
          <w:szCs w:val="21"/>
          <w:highlight w:val="none"/>
          <w:lang w:val="en-US"/>
        </w:rPr>
        <w:t>由磋商小组在采购人监督下采取</w:t>
      </w:r>
      <w:r>
        <w:rPr>
          <w:rFonts w:hint="eastAsia"/>
          <w:color w:val="auto"/>
          <w:sz w:val="21"/>
          <w:szCs w:val="21"/>
          <w:highlight w:val="none"/>
        </w:rPr>
        <w:t>抽签方式确定</w:t>
      </w:r>
      <w:r>
        <w:rPr>
          <w:rFonts w:hint="eastAsia"/>
          <w:color w:val="auto"/>
          <w:sz w:val="21"/>
          <w:szCs w:val="21"/>
          <w:highlight w:val="none"/>
          <w:lang w:val="en-US"/>
        </w:rPr>
        <w:t>成交</w:t>
      </w:r>
      <w:r>
        <w:rPr>
          <w:rFonts w:hint="eastAsia"/>
          <w:color w:val="auto"/>
          <w:sz w:val="21"/>
          <w:szCs w:val="21"/>
          <w:highlight w:val="none"/>
        </w:rPr>
        <w:t>候选顺序</w:t>
      </w:r>
      <w:r>
        <w:rPr>
          <w:color w:val="auto"/>
          <w:sz w:val="21"/>
          <w:szCs w:val="21"/>
          <w:highlight w:val="none"/>
        </w:rPr>
        <w:t>。</w:t>
      </w:r>
    </w:p>
    <w:p w14:paraId="34879006">
      <w:pPr>
        <w:pStyle w:val="9"/>
        <w:numPr>
          <w:ilvl w:val="0"/>
          <w:numId w:val="11"/>
        </w:numPr>
        <w:rPr>
          <w:color w:val="auto"/>
          <w:highlight w:val="none"/>
        </w:rPr>
      </w:pPr>
      <w:r>
        <w:rPr>
          <w:color w:val="auto"/>
          <w:highlight w:val="none"/>
        </w:rPr>
        <w:t>确定成交候选供应商和成交供应商</w:t>
      </w:r>
    </w:p>
    <w:p w14:paraId="5E52B1D4">
      <w:pPr>
        <w:pStyle w:val="37"/>
        <w:numPr>
          <w:ilvl w:val="1"/>
          <w:numId w:val="11"/>
        </w:numPr>
        <w:tabs>
          <w:tab w:val="left" w:pos="1306"/>
        </w:tabs>
        <w:spacing w:before="161" w:line="360" w:lineRule="auto"/>
        <w:ind w:left="234" w:right="366" w:firstLine="470"/>
        <w:jc w:val="both"/>
        <w:rPr>
          <w:color w:val="auto"/>
          <w:sz w:val="21"/>
          <w:szCs w:val="21"/>
          <w:highlight w:val="none"/>
        </w:rPr>
      </w:pPr>
      <w:r>
        <w:rPr>
          <w:color w:val="auto"/>
          <w:sz w:val="21"/>
          <w:szCs w:val="21"/>
          <w:highlight w:val="none"/>
        </w:rPr>
        <w:t>磋商小组根据综合评分的结果和供应商须知前附表中规定确定成交候选供应商，并标明排列顺序。</w:t>
      </w:r>
      <w:r>
        <w:rPr>
          <w:rFonts w:hint="eastAsia"/>
          <w:color w:val="auto"/>
          <w:sz w:val="21"/>
          <w:szCs w:val="21"/>
          <w:highlight w:val="none"/>
          <w:lang w:val="en-US"/>
        </w:rPr>
        <w:t>采购人</w:t>
      </w:r>
      <w:r>
        <w:rPr>
          <w:rFonts w:hint="eastAsia"/>
          <w:color w:val="auto"/>
          <w:sz w:val="21"/>
          <w:szCs w:val="21"/>
          <w:highlight w:val="none"/>
        </w:rPr>
        <w:t>根据</w:t>
      </w:r>
      <w:r>
        <w:rPr>
          <w:rFonts w:hint="eastAsia"/>
          <w:color w:val="auto"/>
          <w:sz w:val="21"/>
          <w:szCs w:val="21"/>
          <w:highlight w:val="none"/>
          <w:lang w:val="en-US"/>
        </w:rPr>
        <w:t>磋商小组推荐成交</w:t>
      </w:r>
      <w:r>
        <w:rPr>
          <w:rFonts w:hint="eastAsia"/>
          <w:color w:val="auto"/>
          <w:sz w:val="21"/>
          <w:szCs w:val="21"/>
          <w:highlight w:val="none"/>
        </w:rPr>
        <w:t>候选人顺序依次确定</w:t>
      </w:r>
      <w:r>
        <w:rPr>
          <w:color w:val="auto"/>
          <w:sz w:val="21"/>
          <w:szCs w:val="21"/>
          <w:highlight w:val="none"/>
        </w:rPr>
        <w:t>2</w:t>
      </w:r>
      <w:r>
        <w:rPr>
          <w:rFonts w:hint="eastAsia"/>
          <w:color w:val="auto"/>
          <w:sz w:val="21"/>
          <w:szCs w:val="21"/>
          <w:highlight w:val="none"/>
        </w:rPr>
        <w:t>家</w:t>
      </w:r>
      <w:r>
        <w:rPr>
          <w:rFonts w:hint="eastAsia"/>
          <w:color w:val="auto"/>
          <w:sz w:val="21"/>
          <w:szCs w:val="21"/>
          <w:highlight w:val="none"/>
          <w:lang w:val="en-US"/>
        </w:rPr>
        <w:t>成交</w:t>
      </w:r>
      <w:r>
        <w:rPr>
          <w:rFonts w:hint="eastAsia"/>
          <w:color w:val="auto"/>
          <w:sz w:val="21"/>
          <w:szCs w:val="21"/>
          <w:highlight w:val="none"/>
        </w:rPr>
        <w:t>单位，</w:t>
      </w:r>
      <w:r>
        <w:rPr>
          <w:color w:val="auto"/>
          <w:sz w:val="21"/>
          <w:szCs w:val="21"/>
          <w:highlight w:val="none"/>
        </w:rPr>
        <w:t>确定为成交供应商后，由采购代理机构在指定媒体上予以公告。</w:t>
      </w:r>
    </w:p>
    <w:p w14:paraId="1CA3E3D1">
      <w:pPr>
        <w:pStyle w:val="9"/>
        <w:numPr>
          <w:ilvl w:val="0"/>
          <w:numId w:val="11"/>
        </w:numPr>
        <w:rPr>
          <w:color w:val="auto"/>
          <w:highlight w:val="none"/>
        </w:rPr>
      </w:pPr>
      <w:r>
        <w:rPr>
          <w:color w:val="auto"/>
          <w:highlight w:val="none"/>
        </w:rPr>
        <w:t>编写评审报告</w:t>
      </w:r>
    </w:p>
    <w:p w14:paraId="4FC3E8A3">
      <w:pPr>
        <w:pStyle w:val="37"/>
        <w:numPr>
          <w:ilvl w:val="1"/>
          <w:numId w:val="11"/>
        </w:numPr>
        <w:tabs>
          <w:tab w:val="left" w:pos="1272"/>
        </w:tabs>
        <w:spacing w:before="158" w:line="360" w:lineRule="auto"/>
        <w:ind w:left="234" w:right="360" w:firstLine="434"/>
        <w:jc w:val="both"/>
        <w:rPr>
          <w:color w:val="auto"/>
          <w:sz w:val="21"/>
          <w:szCs w:val="21"/>
          <w:highlight w:val="none"/>
        </w:rPr>
      </w:pPr>
      <w:r>
        <w:rPr>
          <w:color w:val="auto"/>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ADD7E28">
      <w:pPr>
        <w:pStyle w:val="9"/>
        <w:numPr>
          <w:ilvl w:val="0"/>
          <w:numId w:val="11"/>
        </w:numPr>
        <w:rPr>
          <w:color w:val="auto"/>
          <w:highlight w:val="none"/>
        </w:rPr>
      </w:pPr>
      <w:r>
        <w:rPr>
          <w:color w:val="auto"/>
          <w:highlight w:val="none"/>
        </w:rPr>
        <w:t>保密要求</w:t>
      </w:r>
    </w:p>
    <w:p w14:paraId="7238FE6D">
      <w:pPr>
        <w:pStyle w:val="37"/>
        <w:numPr>
          <w:ilvl w:val="1"/>
          <w:numId w:val="11"/>
        </w:numPr>
        <w:tabs>
          <w:tab w:val="left" w:pos="1210"/>
        </w:tabs>
        <w:spacing w:before="161" w:line="360" w:lineRule="auto"/>
        <w:ind w:left="1209" w:hanging="541"/>
        <w:rPr>
          <w:color w:val="auto"/>
          <w:sz w:val="21"/>
          <w:szCs w:val="21"/>
          <w:highlight w:val="none"/>
        </w:rPr>
      </w:pPr>
      <w:r>
        <w:rPr>
          <w:color w:val="auto"/>
          <w:sz w:val="21"/>
          <w:szCs w:val="21"/>
          <w:highlight w:val="none"/>
        </w:rPr>
        <w:t>评审将在严格保密的情况下进行。</w:t>
      </w:r>
    </w:p>
    <w:p w14:paraId="4F150BDE">
      <w:pPr>
        <w:pStyle w:val="37"/>
        <w:numPr>
          <w:ilvl w:val="1"/>
          <w:numId w:val="11"/>
        </w:numPr>
        <w:tabs>
          <w:tab w:val="left" w:pos="1272"/>
        </w:tabs>
        <w:spacing w:before="158" w:line="360" w:lineRule="auto"/>
        <w:ind w:left="234" w:right="368" w:firstLine="434"/>
        <w:rPr>
          <w:color w:val="auto"/>
          <w:sz w:val="21"/>
          <w:szCs w:val="21"/>
          <w:highlight w:val="none"/>
        </w:rPr>
      </w:pPr>
      <w:r>
        <w:rPr>
          <w:color w:val="auto"/>
          <w:sz w:val="21"/>
          <w:szCs w:val="21"/>
          <w:highlight w:val="none"/>
        </w:rPr>
        <w:t>有关人员应当遵守评审工作纪律，不得泄露评审文件、评审情况和评审中获悉的国家秘密、商业秘密。</w:t>
      </w:r>
    </w:p>
    <w:p w14:paraId="397370AD">
      <w:pPr>
        <w:pStyle w:val="9"/>
        <w:numPr>
          <w:ilvl w:val="0"/>
          <w:numId w:val="11"/>
        </w:numPr>
        <w:rPr>
          <w:color w:val="auto"/>
          <w:highlight w:val="none"/>
        </w:rPr>
      </w:pPr>
      <w:r>
        <w:rPr>
          <w:color w:val="auto"/>
          <w:highlight w:val="none"/>
        </w:rPr>
        <w:t>成交结果公告</w:t>
      </w:r>
    </w:p>
    <w:p w14:paraId="38874789">
      <w:pPr>
        <w:pStyle w:val="37"/>
        <w:numPr>
          <w:ilvl w:val="1"/>
          <w:numId w:val="11"/>
        </w:numPr>
        <w:tabs>
          <w:tab w:val="left" w:pos="1272"/>
        </w:tabs>
        <w:spacing w:before="158" w:line="360" w:lineRule="auto"/>
        <w:ind w:left="234" w:right="368" w:firstLine="434"/>
        <w:rPr>
          <w:color w:val="auto"/>
          <w:sz w:val="21"/>
          <w:szCs w:val="21"/>
          <w:highlight w:val="none"/>
          <w:lang w:val="en-US"/>
        </w:rPr>
      </w:pPr>
      <w:r>
        <w:rPr>
          <w:rFonts w:hint="eastAsia"/>
          <w:color w:val="auto"/>
          <w:sz w:val="21"/>
          <w:szCs w:val="21"/>
          <w:highlight w:val="none"/>
        </w:rPr>
        <w:t>为体现“公开、公平、公正”的原则，磋商结束后，采购代理机构将在指定的媒介上发布成交结果公告</w:t>
      </w:r>
      <w:r>
        <w:rPr>
          <w:color w:val="auto"/>
          <w:sz w:val="21"/>
          <w:szCs w:val="21"/>
          <w:highlight w:val="none"/>
        </w:rPr>
        <w:t>。</w:t>
      </w:r>
    </w:p>
    <w:p w14:paraId="349A6009">
      <w:pPr>
        <w:pStyle w:val="37"/>
        <w:numPr>
          <w:ilvl w:val="1"/>
          <w:numId w:val="11"/>
        </w:numPr>
        <w:tabs>
          <w:tab w:val="left" w:pos="1272"/>
        </w:tabs>
        <w:spacing w:before="56" w:line="360" w:lineRule="auto"/>
        <w:ind w:left="234" w:right="369" w:firstLine="434"/>
        <w:rPr>
          <w:color w:val="auto"/>
          <w:sz w:val="21"/>
          <w:szCs w:val="21"/>
          <w:highlight w:val="none"/>
        </w:rPr>
      </w:pPr>
      <w:r>
        <w:rPr>
          <w:color w:val="auto"/>
          <w:spacing w:val="-1"/>
          <w:sz w:val="21"/>
          <w:szCs w:val="21"/>
          <w:highlight w:val="none"/>
        </w:rPr>
        <w:t>成交结果公告内容应当包括采购人及其委托的采购代理机构的名称、</w:t>
      </w:r>
      <w:r>
        <w:rPr>
          <w:color w:val="auto"/>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57FB593E">
      <w:pPr>
        <w:pStyle w:val="37"/>
        <w:tabs>
          <w:tab w:val="left" w:pos="1272"/>
        </w:tabs>
        <w:spacing w:before="158" w:line="360" w:lineRule="auto"/>
        <w:ind w:left="668" w:right="368" w:firstLine="0"/>
        <w:rPr>
          <w:b/>
          <w:color w:val="auto"/>
          <w:sz w:val="21"/>
          <w:szCs w:val="21"/>
          <w:highlight w:val="none"/>
        </w:rPr>
      </w:pPr>
      <w:r>
        <w:rPr>
          <w:rFonts w:hint="eastAsia"/>
          <w:b/>
          <w:color w:val="auto"/>
          <w:sz w:val="21"/>
          <w:szCs w:val="21"/>
          <w:highlight w:val="none"/>
        </w:rPr>
        <w:t>注：</w:t>
      </w:r>
    </w:p>
    <w:p w14:paraId="7A154E4E">
      <w:pPr>
        <w:pStyle w:val="37"/>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1、采购人定标前对成交候选人进行信用查询，如成交候选人存在不良信用记录，采购人应取消成交候选人资格，并按规定予以处理。</w:t>
      </w:r>
    </w:p>
    <w:p w14:paraId="140322D1">
      <w:pPr>
        <w:pStyle w:val="37"/>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color w:val="auto"/>
          <w:sz w:val="21"/>
          <w:szCs w:val="21"/>
          <w:highlight w:val="none"/>
          <w:lang w:val="en-US" w:eastAsia="zh-CN"/>
        </w:rPr>
        <w:t>政府</w:t>
      </w:r>
      <w:r>
        <w:rPr>
          <w:rFonts w:hint="eastAsia"/>
          <w:color w:val="auto"/>
          <w:sz w:val="21"/>
          <w:szCs w:val="21"/>
          <w:highlight w:val="none"/>
        </w:rPr>
        <w:t>采购法实施条例》第十九条规定的行政处罚记录。</w:t>
      </w:r>
    </w:p>
    <w:p w14:paraId="6B911662">
      <w:pPr>
        <w:pStyle w:val="37"/>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3、以联合体形式参加磋商的，联合体任何成员存在以上不良信用记录的，不得确定为成交供应商。</w:t>
      </w:r>
    </w:p>
    <w:p w14:paraId="3B262B0A">
      <w:pPr>
        <w:pStyle w:val="37"/>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4、信用信息查询渠道：</w:t>
      </w:r>
      <w:r>
        <w:rPr>
          <w:rFonts w:hint="eastAsia"/>
          <w:color w:val="auto"/>
          <w:sz w:val="21"/>
          <w:szCs w:val="21"/>
          <w:highlight w:val="none"/>
          <w:lang w:eastAsia="zh-CN"/>
        </w:rPr>
        <w:t>《</w:t>
      </w:r>
      <w:r>
        <w:rPr>
          <w:rFonts w:hint="eastAsia"/>
          <w:color w:val="auto"/>
          <w:sz w:val="21"/>
          <w:szCs w:val="21"/>
          <w:highlight w:val="none"/>
          <w:lang w:val="en-US" w:eastAsia="zh-CN"/>
        </w:rPr>
        <w:t>中国政府采购网</w:t>
      </w:r>
      <w:r>
        <w:rPr>
          <w:rFonts w:hint="eastAsia"/>
          <w:color w:val="auto"/>
          <w:sz w:val="21"/>
          <w:szCs w:val="21"/>
          <w:highlight w:val="none"/>
          <w:lang w:eastAsia="zh-CN"/>
        </w:rPr>
        <w:t>》</w:t>
      </w:r>
      <w:r>
        <w:rPr>
          <w:rFonts w:hint="eastAsia"/>
          <w:color w:val="auto"/>
          <w:sz w:val="21"/>
          <w:szCs w:val="21"/>
          <w:highlight w:val="none"/>
        </w:rPr>
        <w:t xml:space="preserve">（www.ccgp.gov.cn）、“信用中国”网站（www.creditchina.gov.cn）。 </w:t>
      </w:r>
    </w:p>
    <w:p w14:paraId="65AFF7FB">
      <w:pPr>
        <w:pStyle w:val="9"/>
        <w:numPr>
          <w:ilvl w:val="0"/>
          <w:numId w:val="11"/>
        </w:numPr>
        <w:rPr>
          <w:color w:val="auto"/>
          <w:highlight w:val="none"/>
        </w:rPr>
      </w:pPr>
      <w:r>
        <w:rPr>
          <w:color w:val="auto"/>
          <w:highlight w:val="none"/>
        </w:rPr>
        <w:t>成交通知书</w:t>
      </w:r>
    </w:p>
    <w:p w14:paraId="4E7E8026">
      <w:pPr>
        <w:pStyle w:val="37"/>
        <w:numPr>
          <w:ilvl w:val="1"/>
          <w:numId w:val="11"/>
        </w:numPr>
        <w:tabs>
          <w:tab w:val="left" w:pos="1272"/>
        </w:tabs>
        <w:spacing w:before="160" w:line="360" w:lineRule="auto"/>
        <w:ind w:left="234" w:right="368" w:firstLine="434"/>
        <w:jc w:val="both"/>
        <w:rPr>
          <w:color w:val="auto"/>
          <w:sz w:val="21"/>
          <w:szCs w:val="21"/>
          <w:highlight w:val="none"/>
        </w:rPr>
      </w:pPr>
      <w:r>
        <w:rPr>
          <w:color w:val="auto"/>
          <w:sz w:val="21"/>
          <w:szCs w:val="21"/>
          <w:highlight w:val="none"/>
        </w:rPr>
        <w:t>采购代理机构发布成交结果公告的同时以</w:t>
      </w:r>
      <w:r>
        <w:rPr>
          <w:color w:val="auto"/>
          <w:sz w:val="21"/>
          <w:szCs w:val="21"/>
          <w:highlight w:val="none"/>
          <w:u w:val="single"/>
        </w:rPr>
        <w:t>供应商须知前附表</w:t>
      </w:r>
      <w:r>
        <w:rPr>
          <w:color w:val="auto"/>
          <w:spacing w:val="-3"/>
          <w:sz w:val="21"/>
          <w:szCs w:val="21"/>
          <w:highlight w:val="none"/>
        </w:rPr>
        <w:t>规定的形</w:t>
      </w:r>
      <w:r>
        <w:rPr>
          <w:color w:val="auto"/>
          <w:sz w:val="21"/>
          <w:szCs w:val="21"/>
          <w:highlight w:val="none"/>
        </w:rPr>
        <w:t>式向成交供应商发出成交通知书。</w:t>
      </w:r>
    </w:p>
    <w:p w14:paraId="77A8FCAA">
      <w:pPr>
        <w:pStyle w:val="37"/>
        <w:numPr>
          <w:ilvl w:val="1"/>
          <w:numId w:val="11"/>
        </w:numPr>
        <w:tabs>
          <w:tab w:val="left" w:pos="1272"/>
        </w:tabs>
        <w:spacing w:before="5" w:line="360" w:lineRule="auto"/>
        <w:ind w:left="234" w:right="373" w:firstLine="434"/>
        <w:jc w:val="both"/>
        <w:rPr>
          <w:color w:val="auto"/>
          <w:sz w:val="21"/>
          <w:szCs w:val="21"/>
          <w:highlight w:val="none"/>
        </w:rPr>
      </w:pPr>
      <w:r>
        <w:rPr>
          <w:color w:val="auto"/>
          <w:spacing w:val="-1"/>
          <w:sz w:val="21"/>
          <w:szCs w:val="21"/>
          <w:highlight w:val="none"/>
        </w:rPr>
        <w:t>成交通知书对采购人和成交供应商具有同等法律效力。成交通知书发</w:t>
      </w:r>
      <w:r>
        <w:rPr>
          <w:color w:val="auto"/>
          <w:sz w:val="21"/>
          <w:szCs w:val="21"/>
          <w:highlight w:val="none"/>
        </w:rPr>
        <w:t>出以后，采购人改变成交结果或者成交供应商放弃成交资格，应当承担相应的法律责任。</w:t>
      </w:r>
    </w:p>
    <w:p w14:paraId="2E35663B">
      <w:pPr>
        <w:pStyle w:val="37"/>
        <w:numPr>
          <w:ilvl w:val="1"/>
          <w:numId w:val="11"/>
        </w:numPr>
        <w:tabs>
          <w:tab w:val="left" w:pos="1272"/>
        </w:tabs>
        <w:spacing w:before="5" w:line="360" w:lineRule="auto"/>
        <w:ind w:left="234" w:right="373" w:firstLine="434"/>
        <w:jc w:val="both"/>
        <w:rPr>
          <w:color w:val="auto"/>
          <w:spacing w:val="-1"/>
          <w:sz w:val="21"/>
          <w:szCs w:val="21"/>
          <w:highlight w:val="none"/>
        </w:rPr>
      </w:pPr>
      <w:r>
        <w:rPr>
          <w:color w:val="auto"/>
          <w:spacing w:val="-1"/>
          <w:sz w:val="21"/>
          <w:szCs w:val="21"/>
          <w:highlight w:val="none"/>
        </w:rPr>
        <w:t>成交通知书是合同的组成部分。</w:t>
      </w:r>
    </w:p>
    <w:p w14:paraId="2DFB5725">
      <w:pPr>
        <w:pStyle w:val="9"/>
        <w:numPr>
          <w:ilvl w:val="0"/>
          <w:numId w:val="11"/>
        </w:numPr>
        <w:rPr>
          <w:color w:val="auto"/>
          <w:highlight w:val="none"/>
        </w:rPr>
      </w:pPr>
      <w:r>
        <w:rPr>
          <w:color w:val="auto"/>
          <w:highlight w:val="none"/>
        </w:rPr>
        <w:t>告知磋商结果</w:t>
      </w:r>
    </w:p>
    <w:p w14:paraId="28BF23F6">
      <w:pPr>
        <w:pStyle w:val="37"/>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在公告成交结果的同时，采购代理机构同时以</w:t>
      </w:r>
      <w:r>
        <w:rPr>
          <w:color w:val="auto"/>
          <w:sz w:val="21"/>
          <w:szCs w:val="21"/>
          <w:highlight w:val="none"/>
          <w:u w:val="single"/>
        </w:rPr>
        <w:t>供应商须知前附表</w:t>
      </w:r>
      <w:r>
        <w:rPr>
          <w:color w:val="auto"/>
          <w:sz w:val="21"/>
          <w:szCs w:val="21"/>
          <w:highlight w:val="none"/>
        </w:rPr>
        <w:t>规定的形式告知未成交供应商本人的评审得分和排序。</w:t>
      </w:r>
    </w:p>
    <w:p w14:paraId="7D330EE1">
      <w:pPr>
        <w:pStyle w:val="37"/>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采购代理机构对未成交的供应商不做未成交原因的解释。</w:t>
      </w:r>
    </w:p>
    <w:p w14:paraId="30DFBB16">
      <w:pPr>
        <w:pStyle w:val="9"/>
        <w:numPr>
          <w:ilvl w:val="0"/>
          <w:numId w:val="11"/>
        </w:numPr>
        <w:rPr>
          <w:color w:val="auto"/>
          <w:highlight w:val="none"/>
        </w:rPr>
      </w:pPr>
      <w:r>
        <w:rPr>
          <w:color w:val="auto"/>
          <w:highlight w:val="none"/>
        </w:rPr>
        <w:t>履约保证金</w:t>
      </w:r>
    </w:p>
    <w:p w14:paraId="7EB9C1CC">
      <w:pPr>
        <w:pStyle w:val="37"/>
        <w:numPr>
          <w:ilvl w:val="1"/>
          <w:numId w:val="14"/>
        </w:numPr>
        <w:tabs>
          <w:tab w:val="left" w:pos="1210"/>
        </w:tabs>
        <w:spacing w:line="360" w:lineRule="auto"/>
        <w:ind w:hanging="541"/>
        <w:rPr>
          <w:color w:val="auto"/>
          <w:sz w:val="21"/>
          <w:szCs w:val="21"/>
          <w:highlight w:val="none"/>
        </w:rPr>
      </w:pPr>
      <w:r>
        <w:rPr>
          <w:color w:val="auto"/>
          <w:sz w:val="21"/>
          <w:szCs w:val="21"/>
          <w:highlight w:val="none"/>
        </w:rPr>
        <w:t>成交供应商应按照</w:t>
      </w:r>
      <w:r>
        <w:rPr>
          <w:color w:val="auto"/>
          <w:sz w:val="21"/>
          <w:szCs w:val="21"/>
          <w:highlight w:val="none"/>
          <w:u w:val="single"/>
        </w:rPr>
        <w:t>供应商须知前附表</w:t>
      </w:r>
      <w:r>
        <w:rPr>
          <w:color w:val="auto"/>
          <w:sz w:val="21"/>
          <w:szCs w:val="21"/>
          <w:highlight w:val="none"/>
        </w:rPr>
        <w:t>规定缴纳履约保证金。</w:t>
      </w:r>
    </w:p>
    <w:p w14:paraId="20EA4AA8">
      <w:pPr>
        <w:pStyle w:val="37"/>
        <w:numPr>
          <w:ilvl w:val="1"/>
          <w:numId w:val="14"/>
        </w:numPr>
        <w:tabs>
          <w:tab w:val="left" w:pos="1272"/>
        </w:tabs>
        <w:spacing w:before="156" w:line="360" w:lineRule="auto"/>
        <w:ind w:left="234" w:right="373" w:firstLine="434"/>
        <w:jc w:val="both"/>
        <w:rPr>
          <w:color w:val="auto"/>
          <w:sz w:val="21"/>
          <w:szCs w:val="21"/>
          <w:highlight w:val="none"/>
        </w:rPr>
      </w:pPr>
      <w:r>
        <w:rPr>
          <w:color w:val="auto"/>
          <w:spacing w:val="-1"/>
          <w:sz w:val="21"/>
          <w:szCs w:val="21"/>
          <w:highlight w:val="none"/>
        </w:rPr>
        <w:t>如果成交供应商没有按照上述履约保证金的规定执行，将视为放弃成</w:t>
      </w:r>
      <w:r>
        <w:rPr>
          <w:color w:val="auto"/>
          <w:sz w:val="21"/>
          <w:szCs w:val="21"/>
          <w:highlight w:val="none"/>
        </w:rPr>
        <w:t>交资格。在此情况下，采购人可确定下一成交候选供应商为成交供应商，也可以重新开展采购活动。</w:t>
      </w:r>
    </w:p>
    <w:p w14:paraId="19215622">
      <w:pPr>
        <w:pStyle w:val="9"/>
        <w:numPr>
          <w:ilvl w:val="0"/>
          <w:numId w:val="15"/>
        </w:numPr>
        <w:rPr>
          <w:color w:val="auto"/>
          <w:highlight w:val="none"/>
        </w:rPr>
      </w:pPr>
      <w:r>
        <w:rPr>
          <w:color w:val="auto"/>
          <w:highlight w:val="none"/>
        </w:rPr>
        <w:t>成交服务费</w:t>
      </w:r>
    </w:p>
    <w:p w14:paraId="4E676712">
      <w:pPr>
        <w:pStyle w:val="37"/>
        <w:numPr>
          <w:ilvl w:val="1"/>
          <w:numId w:val="16"/>
        </w:numPr>
        <w:tabs>
          <w:tab w:val="left" w:pos="1272"/>
        </w:tabs>
        <w:spacing w:before="156" w:line="360" w:lineRule="auto"/>
        <w:ind w:left="1209" w:leftChars="0" w:right="373" w:hanging="540" w:firstLineChars="0"/>
        <w:jc w:val="both"/>
        <w:rPr>
          <w:color w:val="auto"/>
          <w:spacing w:val="-1"/>
          <w:sz w:val="21"/>
          <w:szCs w:val="21"/>
          <w:highlight w:val="none"/>
        </w:rPr>
      </w:pPr>
      <w:r>
        <w:rPr>
          <w:color w:val="auto"/>
          <w:spacing w:val="-1"/>
          <w:sz w:val="21"/>
          <w:szCs w:val="21"/>
          <w:highlight w:val="none"/>
        </w:rPr>
        <w:t>本项目成交服务费的收取按</w:t>
      </w:r>
      <w:r>
        <w:rPr>
          <w:color w:val="auto"/>
          <w:spacing w:val="-1"/>
          <w:sz w:val="21"/>
          <w:szCs w:val="21"/>
          <w:highlight w:val="none"/>
          <w:u w:val="single"/>
        </w:rPr>
        <w:t>供应商须知前附表</w:t>
      </w:r>
      <w:r>
        <w:rPr>
          <w:color w:val="auto"/>
          <w:spacing w:val="-1"/>
          <w:sz w:val="21"/>
          <w:szCs w:val="21"/>
          <w:highlight w:val="none"/>
        </w:rPr>
        <w:t>的规定执行。</w:t>
      </w:r>
    </w:p>
    <w:p w14:paraId="223CB600">
      <w:pPr>
        <w:pStyle w:val="9"/>
        <w:numPr>
          <w:ilvl w:val="0"/>
          <w:numId w:val="15"/>
        </w:numPr>
        <w:rPr>
          <w:color w:val="auto"/>
          <w:highlight w:val="none"/>
        </w:rPr>
      </w:pPr>
      <w:r>
        <w:rPr>
          <w:color w:val="auto"/>
          <w:highlight w:val="none"/>
        </w:rPr>
        <w:t>签订合同</w:t>
      </w:r>
    </w:p>
    <w:p w14:paraId="0269C357">
      <w:pPr>
        <w:pStyle w:val="37"/>
        <w:numPr>
          <w:ilvl w:val="1"/>
          <w:numId w:val="17"/>
        </w:numPr>
        <w:tabs>
          <w:tab w:val="left" w:pos="1306"/>
        </w:tabs>
        <w:spacing w:before="5" w:line="360" w:lineRule="auto"/>
        <w:ind w:left="234" w:right="372" w:firstLine="470"/>
        <w:jc w:val="both"/>
        <w:rPr>
          <w:color w:val="auto"/>
          <w:spacing w:val="-1"/>
          <w:sz w:val="21"/>
          <w:szCs w:val="21"/>
          <w:highlight w:val="none"/>
        </w:rPr>
      </w:pPr>
      <w:r>
        <w:rPr>
          <w:color w:val="auto"/>
          <w:spacing w:val="-1"/>
          <w:sz w:val="21"/>
          <w:szCs w:val="21"/>
          <w:highlight w:val="none"/>
        </w:rPr>
        <w:t>采购人与成交供应商应当自发出成交通知书之日起 30 日内签订合同。</w:t>
      </w:r>
    </w:p>
    <w:p w14:paraId="15874FE6">
      <w:pPr>
        <w:pStyle w:val="37"/>
        <w:numPr>
          <w:ilvl w:val="1"/>
          <w:numId w:val="17"/>
        </w:numPr>
        <w:tabs>
          <w:tab w:val="left" w:pos="1272"/>
        </w:tabs>
        <w:spacing w:before="161" w:line="360" w:lineRule="auto"/>
        <w:ind w:left="234" w:right="373" w:firstLine="434"/>
        <w:jc w:val="both"/>
        <w:rPr>
          <w:color w:val="auto"/>
          <w:sz w:val="21"/>
          <w:szCs w:val="21"/>
          <w:highlight w:val="none"/>
        </w:rPr>
      </w:pPr>
      <w:r>
        <w:rPr>
          <w:color w:val="auto"/>
          <w:spacing w:val="-1"/>
          <w:sz w:val="21"/>
          <w:szCs w:val="21"/>
          <w:highlight w:val="none"/>
        </w:rPr>
        <w:t>磋商文件、成交供应商的响应文件及其澄清文件等，均为签订合同的</w:t>
      </w:r>
      <w:r>
        <w:rPr>
          <w:color w:val="auto"/>
          <w:sz w:val="21"/>
          <w:szCs w:val="21"/>
          <w:highlight w:val="none"/>
        </w:rPr>
        <w:t>依据。</w:t>
      </w:r>
    </w:p>
    <w:p w14:paraId="0309F35D">
      <w:pPr>
        <w:pStyle w:val="37"/>
        <w:numPr>
          <w:ilvl w:val="1"/>
          <w:numId w:val="17"/>
        </w:numPr>
        <w:tabs>
          <w:tab w:val="left" w:pos="1306"/>
        </w:tabs>
        <w:spacing w:before="5" w:line="360" w:lineRule="auto"/>
        <w:ind w:left="234" w:right="372" w:firstLine="470"/>
        <w:jc w:val="both"/>
        <w:rPr>
          <w:color w:val="auto"/>
          <w:sz w:val="21"/>
          <w:szCs w:val="21"/>
          <w:highlight w:val="none"/>
        </w:rPr>
      </w:pPr>
      <w:r>
        <w:rPr>
          <w:color w:val="auto"/>
          <w:spacing w:val="-1"/>
          <w:sz w:val="21"/>
          <w:szCs w:val="21"/>
          <w:highlight w:val="none"/>
        </w:rPr>
        <w:t>成交供应商拒绝与采购人签订合同的，采购人可以按照评审报告推荐</w:t>
      </w:r>
      <w:r>
        <w:rPr>
          <w:color w:val="auto"/>
          <w:sz w:val="21"/>
          <w:szCs w:val="21"/>
          <w:highlight w:val="none"/>
        </w:rPr>
        <w:t>的成交候选供应商名单排序，确定下一成交候选供应商为成交供应商，也可以重新开展采购活动。成交供应商拒绝签订</w:t>
      </w:r>
      <w:r>
        <w:rPr>
          <w:rFonts w:hint="eastAsia"/>
          <w:color w:val="auto"/>
          <w:sz w:val="21"/>
          <w:szCs w:val="21"/>
          <w:highlight w:val="none"/>
        </w:rPr>
        <w:t>采购</w:t>
      </w:r>
      <w:r>
        <w:rPr>
          <w:color w:val="auto"/>
          <w:sz w:val="21"/>
          <w:szCs w:val="21"/>
          <w:highlight w:val="none"/>
        </w:rPr>
        <w:t>合同的不得参加对该项目重新开展的采购活动。</w:t>
      </w:r>
    </w:p>
    <w:p w14:paraId="285F6CD7">
      <w:pPr>
        <w:pStyle w:val="9"/>
        <w:numPr>
          <w:ilvl w:val="0"/>
          <w:numId w:val="18"/>
        </w:numPr>
        <w:rPr>
          <w:color w:val="auto"/>
          <w:highlight w:val="none"/>
        </w:rPr>
      </w:pPr>
      <w:r>
        <w:rPr>
          <w:color w:val="auto"/>
          <w:highlight w:val="none"/>
        </w:rPr>
        <w:t>廉洁自律规定</w:t>
      </w:r>
    </w:p>
    <w:p w14:paraId="7D1BBD83">
      <w:pPr>
        <w:pStyle w:val="37"/>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采购代理机构工作人员不得以不正当手段获取采购代理业务，不得与采购人、供应商恶意串通。</w:t>
      </w:r>
    </w:p>
    <w:p w14:paraId="19AE4A59">
      <w:pPr>
        <w:pStyle w:val="37"/>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采购代理机构工作人员不得接受采购人或者供应商组织的宴请、旅游、娱乐，不得收受礼品、现金、有价证券等，不得向采购人或者供应商报销应当由个人承担的费用。</w:t>
      </w:r>
    </w:p>
    <w:p w14:paraId="7899B5B2">
      <w:pPr>
        <w:pStyle w:val="9"/>
        <w:numPr>
          <w:ilvl w:val="0"/>
          <w:numId w:val="18"/>
        </w:numPr>
        <w:rPr>
          <w:color w:val="auto"/>
          <w:highlight w:val="none"/>
        </w:rPr>
      </w:pPr>
      <w:r>
        <w:rPr>
          <w:color w:val="auto"/>
          <w:highlight w:val="none"/>
        </w:rPr>
        <w:t>质疑的提出与接收</w:t>
      </w:r>
    </w:p>
    <w:p w14:paraId="7894F0A8">
      <w:pPr>
        <w:pStyle w:val="37"/>
        <w:numPr>
          <w:ilvl w:val="1"/>
          <w:numId w:val="18"/>
        </w:numPr>
        <w:tabs>
          <w:tab w:val="left" w:pos="1210"/>
        </w:tabs>
        <w:spacing w:before="161" w:line="360" w:lineRule="auto"/>
        <w:ind w:left="234" w:right="373" w:firstLine="434"/>
        <w:jc w:val="both"/>
        <w:rPr>
          <w:color w:val="auto"/>
          <w:sz w:val="21"/>
          <w:szCs w:val="21"/>
          <w:highlight w:val="none"/>
        </w:rPr>
      </w:pPr>
      <w:r>
        <w:rPr>
          <w:color w:val="auto"/>
          <w:spacing w:val="-13"/>
          <w:sz w:val="21"/>
          <w:szCs w:val="21"/>
          <w:highlight w:val="none"/>
        </w:rPr>
        <w:t>供应商认为磋商文件、采购过程、成交结果使自己的权益受到损害的， 可以</w:t>
      </w:r>
      <w:r>
        <w:rPr>
          <w:color w:val="auto"/>
          <w:sz w:val="21"/>
          <w:szCs w:val="21"/>
          <w:highlight w:val="none"/>
        </w:rPr>
        <w:t>向采购人或其委托的采购代理机构提出质疑。</w:t>
      </w:r>
    </w:p>
    <w:p w14:paraId="2BD2AF11">
      <w:pPr>
        <w:pStyle w:val="37"/>
        <w:numPr>
          <w:ilvl w:val="1"/>
          <w:numId w:val="18"/>
        </w:numPr>
        <w:tabs>
          <w:tab w:val="left" w:pos="1272"/>
        </w:tabs>
        <w:spacing w:line="360" w:lineRule="auto"/>
        <w:ind w:left="234" w:right="367" w:firstLine="434"/>
        <w:jc w:val="both"/>
        <w:rPr>
          <w:color w:val="auto"/>
          <w:sz w:val="21"/>
          <w:szCs w:val="21"/>
          <w:highlight w:val="none"/>
        </w:rPr>
      </w:pPr>
      <w:r>
        <w:rPr>
          <w:color w:val="auto"/>
          <w:sz w:val="21"/>
          <w:szCs w:val="21"/>
          <w:highlight w:val="none"/>
        </w:rPr>
        <w:t>质疑供应商应在质疑期内以书面形式提出质疑，超出法定质疑期提交的质疑将被拒绝。针对同一采购程序环节的质疑应一次性提出。</w:t>
      </w:r>
      <w:r>
        <w:rPr>
          <w:color w:val="auto"/>
          <w:spacing w:val="-8"/>
          <w:sz w:val="21"/>
          <w:szCs w:val="21"/>
          <w:highlight w:val="none"/>
        </w:rPr>
        <w:t>超出质疑期的、重复提出的、分次提出的或内容、形式不符合</w:t>
      </w:r>
      <w:r>
        <w:rPr>
          <w:rFonts w:hint="eastAsia"/>
          <w:color w:val="auto"/>
          <w:spacing w:val="-8"/>
          <w:sz w:val="21"/>
          <w:szCs w:val="21"/>
          <w:highlight w:val="none"/>
        </w:rPr>
        <w:t>磋商文件要求</w:t>
      </w:r>
      <w:r>
        <w:rPr>
          <w:color w:val="auto"/>
          <w:sz w:val="21"/>
          <w:szCs w:val="21"/>
          <w:highlight w:val="none"/>
        </w:rPr>
        <w:t>的，质疑供应商将依法承担不利后果。</w:t>
      </w:r>
    </w:p>
    <w:p w14:paraId="41D0D223">
      <w:pPr>
        <w:pStyle w:val="9"/>
        <w:numPr>
          <w:ilvl w:val="0"/>
          <w:numId w:val="18"/>
        </w:numPr>
        <w:rPr>
          <w:color w:val="auto"/>
          <w:highlight w:val="none"/>
        </w:rPr>
      </w:pPr>
      <w:r>
        <w:rPr>
          <w:color w:val="auto"/>
          <w:highlight w:val="none"/>
        </w:rPr>
        <w:t>需要补充的其他内容</w:t>
      </w:r>
    </w:p>
    <w:p w14:paraId="27D556FC">
      <w:pPr>
        <w:pStyle w:val="11"/>
        <w:spacing w:before="155" w:line="360" w:lineRule="auto"/>
        <w:ind w:left="669"/>
        <w:rPr>
          <w:color w:val="auto"/>
          <w:sz w:val="21"/>
          <w:szCs w:val="21"/>
          <w:highlight w:val="none"/>
        </w:rPr>
      </w:pPr>
      <w:r>
        <w:rPr>
          <w:color w:val="auto"/>
          <w:sz w:val="21"/>
          <w:szCs w:val="21"/>
          <w:highlight w:val="none"/>
        </w:rPr>
        <w:t>需要补充的其他内容，见</w:t>
      </w:r>
      <w:r>
        <w:rPr>
          <w:color w:val="auto"/>
          <w:sz w:val="21"/>
          <w:szCs w:val="21"/>
          <w:highlight w:val="none"/>
          <w:u w:val="single"/>
        </w:rPr>
        <w:t>供应商须知前附表</w:t>
      </w:r>
      <w:r>
        <w:rPr>
          <w:color w:val="auto"/>
          <w:sz w:val="21"/>
          <w:szCs w:val="21"/>
          <w:highlight w:val="none"/>
        </w:rPr>
        <w:t>。</w:t>
      </w:r>
    </w:p>
    <w:p w14:paraId="50313535">
      <w:pPr>
        <w:pStyle w:val="37"/>
        <w:tabs>
          <w:tab w:val="left" w:pos="1330"/>
        </w:tabs>
        <w:spacing w:before="161" w:line="360" w:lineRule="auto"/>
        <w:ind w:left="1329" w:firstLine="0"/>
        <w:jc w:val="both"/>
        <w:rPr>
          <w:color w:val="auto"/>
          <w:sz w:val="21"/>
          <w:szCs w:val="21"/>
          <w:highlight w:val="none"/>
        </w:rPr>
      </w:pPr>
    </w:p>
    <w:p w14:paraId="0D0DD69B">
      <w:pPr>
        <w:spacing w:line="360" w:lineRule="auto"/>
        <w:rPr>
          <w:rFonts w:ascii="宋体" w:hAnsi="宋体"/>
          <w:color w:val="auto"/>
          <w:highlight w:val="none"/>
        </w:rPr>
      </w:pPr>
    </w:p>
    <w:p w14:paraId="7036F049">
      <w:pPr>
        <w:widowControl/>
        <w:spacing w:line="360" w:lineRule="auto"/>
        <w:jc w:val="left"/>
        <w:rPr>
          <w:rFonts w:ascii="宋体" w:hAnsi="宋体"/>
          <w:color w:val="auto"/>
          <w:highlight w:val="none"/>
        </w:rPr>
      </w:pPr>
      <w:r>
        <w:rPr>
          <w:rFonts w:ascii="宋体" w:hAnsi="宋体"/>
          <w:color w:val="auto"/>
          <w:highlight w:val="none"/>
        </w:rPr>
        <w:br w:type="page"/>
      </w:r>
    </w:p>
    <w:p w14:paraId="46C01755">
      <w:pPr>
        <w:pStyle w:val="6"/>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1" w:name="_Toc24417"/>
      <w:r>
        <w:rPr>
          <w:rFonts w:hint="eastAsia" w:ascii="宋体" w:hAnsi="宋体"/>
          <w:color w:val="auto"/>
          <w:sz w:val="32"/>
          <w:szCs w:val="32"/>
          <w:highlight w:val="none"/>
        </w:rPr>
        <w:t>采购需求</w:t>
      </w:r>
      <w:bookmarkEnd w:id="61"/>
    </w:p>
    <w:p w14:paraId="2FB512BC">
      <w:pPr>
        <w:pStyle w:val="9"/>
        <w:rPr>
          <w:color w:val="auto"/>
          <w:highlight w:val="none"/>
        </w:rPr>
      </w:pPr>
      <w:r>
        <w:rPr>
          <w:color w:val="auto"/>
          <w:highlight w:val="none"/>
        </w:rPr>
        <w:t>前注：</w:t>
      </w:r>
    </w:p>
    <w:p w14:paraId="128ABAD7">
      <w:pPr>
        <w:pStyle w:val="11"/>
        <w:spacing w:before="160" w:line="360" w:lineRule="auto"/>
        <w:ind w:left="234" w:right="249" w:firstLine="436"/>
        <w:rPr>
          <w:color w:val="auto"/>
          <w:sz w:val="21"/>
          <w:szCs w:val="21"/>
          <w:highlight w:val="none"/>
        </w:rPr>
      </w:pPr>
      <w:r>
        <w:rPr>
          <w:color w:val="auto"/>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04B14938">
      <w:pPr>
        <w:pStyle w:val="9"/>
        <w:rPr>
          <w:rFonts w:hint="eastAsia"/>
          <w:color w:val="auto"/>
          <w:sz w:val="24"/>
          <w:szCs w:val="24"/>
          <w:highlight w:val="none"/>
        </w:rPr>
      </w:pPr>
      <w:r>
        <w:rPr>
          <w:color w:val="auto"/>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214C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35DD13AD">
            <w:pPr>
              <w:pStyle w:val="35"/>
              <w:spacing w:before="96" w:line="360" w:lineRule="auto"/>
              <w:ind w:left="118" w:right="109"/>
              <w:jc w:val="center"/>
              <w:rPr>
                <w:b/>
                <w:color w:val="auto"/>
                <w:sz w:val="21"/>
                <w:szCs w:val="21"/>
                <w:highlight w:val="none"/>
                <w:lang w:eastAsia="en-US"/>
              </w:rPr>
            </w:pPr>
            <w:r>
              <w:rPr>
                <w:b/>
                <w:color w:val="auto"/>
                <w:sz w:val="21"/>
                <w:szCs w:val="21"/>
                <w:highlight w:val="none"/>
                <w:lang w:eastAsia="en-US"/>
              </w:rPr>
              <w:t>序号</w:t>
            </w:r>
          </w:p>
        </w:tc>
        <w:tc>
          <w:tcPr>
            <w:tcW w:w="2026" w:type="dxa"/>
            <w:shd w:val="clear" w:color="auto" w:fill="auto"/>
            <w:vAlign w:val="center"/>
          </w:tcPr>
          <w:p w14:paraId="7420A6B3">
            <w:pPr>
              <w:pStyle w:val="35"/>
              <w:spacing w:before="19" w:line="360" w:lineRule="auto"/>
              <w:ind w:left="510" w:right="502"/>
              <w:jc w:val="center"/>
              <w:rPr>
                <w:b/>
                <w:color w:val="auto"/>
                <w:sz w:val="21"/>
                <w:szCs w:val="21"/>
                <w:highlight w:val="none"/>
                <w:lang w:eastAsia="en-US"/>
              </w:rPr>
            </w:pPr>
            <w:r>
              <w:rPr>
                <w:b/>
                <w:color w:val="auto"/>
                <w:sz w:val="21"/>
                <w:szCs w:val="21"/>
                <w:highlight w:val="none"/>
                <w:lang w:eastAsia="en-US"/>
              </w:rPr>
              <w:t>条款名称</w:t>
            </w:r>
          </w:p>
        </w:tc>
        <w:tc>
          <w:tcPr>
            <w:tcW w:w="5468" w:type="dxa"/>
            <w:shd w:val="clear" w:color="auto" w:fill="auto"/>
            <w:vAlign w:val="center"/>
          </w:tcPr>
          <w:p w14:paraId="49E8658D">
            <w:pPr>
              <w:pStyle w:val="35"/>
              <w:spacing w:before="19" w:line="360" w:lineRule="auto"/>
              <w:ind w:left="1769"/>
              <w:rPr>
                <w:b/>
                <w:color w:val="auto"/>
                <w:sz w:val="21"/>
                <w:szCs w:val="21"/>
                <w:highlight w:val="none"/>
                <w:lang w:eastAsia="en-US"/>
              </w:rPr>
            </w:pPr>
            <w:r>
              <w:rPr>
                <w:b/>
                <w:color w:val="auto"/>
                <w:sz w:val="21"/>
                <w:szCs w:val="21"/>
                <w:highlight w:val="none"/>
                <w:lang w:eastAsia="en-US"/>
              </w:rPr>
              <w:t>内容、说明与要求</w:t>
            </w:r>
          </w:p>
        </w:tc>
      </w:tr>
      <w:tr w14:paraId="6462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3A30628">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1</w:t>
            </w:r>
          </w:p>
        </w:tc>
        <w:tc>
          <w:tcPr>
            <w:tcW w:w="2026" w:type="dxa"/>
            <w:shd w:val="clear" w:color="auto" w:fill="auto"/>
            <w:vAlign w:val="center"/>
          </w:tcPr>
          <w:p w14:paraId="6192BCCA">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firstLine="630" w:firstLineChars="300"/>
              <w:jc w:val="left"/>
              <w:textAlignment w:val="auto"/>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付款方式</w:t>
            </w:r>
          </w:p>
        </w:tc>
        <w:tc>
          <w:tcPr>
            <w:tcW w:w="5468" w:type="dxa"/>
            <w:shd w:val="clear" w:color="auto" w:fill="auto"/>
            <w:vAlign w:val="center"/>
          </w:tcPr>
          <w:p w14:paraId="11FA35A8">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auto"/>
                <w:kern w:val="0"/>
                <w:sz w:val="21"/>
                <w:szCs w:val="21"/>
                <w:highlight w:val="none"/>
                <w:lang w:val="en-US" w:eastAsia="zh-CN" w:bidi="zh-CN"/>
              </w:rPr>
            </w:pPr>
            <w:r>
              <w:rPr>
                <w:rFonts w:hint="default" w:ascii="宋体" w:hAnsi="宋体" w:eastAsia="宋体" w:cs="宋体"/>
                <w:color w:val="auto"/>
                <w:kern w:val="0"/>
                <w:sz w:val="21"/>
                <w:szCs w:val="21"/>
                <w:highlight w:val="none"/>
                <w:lang w:val="en-US" w:eastAsia="zh-CN" w:bidi="zh-CN"/>
              </w:rPr>
              <w:t>签合同后</w:t>
            </w:r>
            <w:r>
              <w:rPr>
                <w:rFonts w:hint="eastAsia" w:cs="宋体"/>
                <w:color w:val="auto"/>
                <w:kern w:val="0"/>
                <w:sz w:val="21"/>
                <w:szCs w:val="21"/>
                <w:highlight w:val="none"/>
                <w:lang w:val="en-US" w:eastAsia="zh-CN" w:bidi="zh-CN"/>
              </w:rPr>
              <w:t>10日历天内</w:t>
            </w:r>
            <w:r>
              <w:rPr>
                <w:rFonts w:hint="default" w:ascii="宋体" w:hAnsi="宋体" w:eastAsia="宋体" w:cs="宋体"/>
                <w:color w:val="auto"/>
                <w:kern w:val="0"/>
                <w:sz w:val="21"/>
                <w:szCs w:val="21"/>
                <w:highlight w:val="none"/>
                <w:lang w:val="en-US" w:eastAsia="zh-CN" w:bidi="zh-CN"/>
              </w:rPr>
              <w:t>支付合同价款的</w:t>
            </w:r>
            <w:r>
              <w:rPr>
                <w:rFonts w:hint="eastAsia" w:cs="宋体"/>
                <w:color w:val="auto"/>
                <w:kern w:val="0"/>
                <w:sz w:val="21"/>
                <w:szCs w:val="21"/>
                <w:highlight w:val="none"/>
                <w:lang w:val="en-US" w:eastAsia="zh-CN" w:bidi="zh-CN"/>
              </w:rPr>
              <w:t>2</w:t>
            </w:r>
            <w:r>
              <w:rPr>
                <w:rFonts w:hint="default" w:ascii="宋体" w:hAnsi="宋体" w:eastAsia="宋体" w:cs="宋体"/>
                <w:color w:val="auto"/>
                <w:kern w:val="0"/>
                <w:sz w:val="21"/>
                <w:szCs w:val="21"/>
                <w:highlight w:val="none"/>
                <w:lang w:val="en-US" w:eastAsia="zh-CN" w:bidi="zh-CN"/>
              </w:rPr>
              <w:t>0%，</w:t>
            </w:r>
            <w:r>
              <w:rPr>
                <w:rFonts w:hint="default" w:ascii="Times New Roman" w:hAnsi="Times New Roman" w:eastAsia="宋体" w:cs="Times New Roman"/>
                <w:kern w:val="2"/>
                <w:sz w:val="21"/>
                <w:szCs w:val="21"/>
                <w:lang w:val="en-US" w:eastAsia="zh-CN" w:bidi="ar-SA"/>
              </w:rPr>
              <w:t>通过主管部门及专家评审后付至合同价款的</w:t>
            </w:r>
            <w:r>
              <w:rPr>
                <w:rFonts w:hint="eastAsia" w:ascii="Times New Roman" w:hAnsi="Times New Roman" w:cs="Times New Roman"/>
                <w:kern w:val="2"/>
                <w:sz w:val="21"/>
                <w:szCs w:val="21"/>
                <w:lang w:val="en-US" w:eastAsia="zh-CN" w:bidi="ar-SA"/>
              </w:rPr>
              <w:t>6</w:t>
            </w:r>
            <w:r>
              <w:rPr>
                <w:rFonts w:hint="default" w:ascii="Times New Roman" w:hAnsi="Times New Roman" w:eastAsia="宋体" w:cs="Times New Roman"/>
                <w:kern w:val="2"/>
                <w:sz w:val="21"/>
                <w:szCs w:val="21"/>
                <w:lang w:val="en-US" w:eastAsia="zh-CN" w:bidi="ar-SA"/>
              </w:rPr>
              <w:t>0%，银行审批后支付至100%</w:t>
            </w:r>
            <w:r>
              <w:rPr>
                <w:rFonts w:hint="eastAsia" w:ascii="Times New Roman" w:hAnsi="Times New Roman" w:eastAsia="宋体" w:cs="Times New Roman"/>
                <w:kern w:val="2"/>
                <w:sz w:val="21"/>
                <w:szCs w:val="21"/>
                <w:lang w:val="en-US" w:eastAsia="zh-CN" w:bidi="ar-SA"/>
              </w:rPr>
              <w:t>。</w:t>
            </w:r>
          </w:p>
        </w:tc>
      </w:tr>
      <w:tr w14:paraId="5789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2D6E195">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2</w:t>
            </w:r>
          </w:p>
        </w:tc>
        <w:tc>
          <w:tcPr>
            <w:tcW w:w="2026" w:type="dxa"/>
            <w:shd w:val="clear" w:color="auto" w:fill="auto"/>
            <w:vAlign w:val="center"/>
          </w:tcPr>
          <w:p w14:paraId="33F9A265">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firstLine="630" w:firstLineChars="300"/>
              <w:jc w:val="left"/>
              <w:textAlignment w:val="auto"/>
              <w:rPr>
                <w:rFonts w:hint="default" w:ascii="宋体" w:hAnsi="宋体" w:eastAsia="宋体" w:cs="宋体"/>
                <w:color w:val="auto"/>
                <w:kern w:val="0"/>
                <w:sz w:val="21"/>
                <w:szCs w:val="21"/>
                <w:highlight w:val="none"/>
                <w:lang w:val="zh-CN" w:eastAsia="en-US" w:bidi="zh-CN"/>
              </w:rPr>
            </w:pPr>
            <w:r>
              <w:rPr>
                <w:rFonts w:hint="default" w:ascii="宋体" w:hAnsi="宋体" w:eastAsia="宋体" w:cs="宋体"/>
                <w:color w:val="auto"/>
                <w:kern w:val="0"/>
                <w:sz w:val="21"/>
                <w:szCs w:val="21"/>
                <w:highlight w:val="none"/>
                <w:lang w:val="zh-CN" w:eastAsia="en-US" w:bidi="zh-CN"/>
              </w:rPr>
              <w:t>服务地点</w:t>
            </w:r>
          </w:p>
        </w:tc>
        <w:tc>
          <w:tcPr>
            <w:tcW w:w="5468" w:type="dxa"/>
            <w:shd w:val="clear" w:color="auto" w:fill="auto"/>
            <w:vAlign w:val="center"/>
          </w:tcPr>
          <w:p w14:paraId="10D3744D">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Times New Roman" w:hAnsi="Times New Roman" w:eastAsia="宋体" w:cs="Times New Roman"/>
                <w:kern w:val="2"/>
                <w:sz w:val="21"/>
                <w:szCs w:val="21"/>
                <w:lang w:val="en-US" w:eastAsia="en-US" w:bidi="ar-SA"/>
              </w:rPr>
            </w:pPr>
            <w:r>
              <w:rPr>
                <w:rFonts w:hint="eastAsia" w:ascii="Times New Roman" w:hAnsi="Times New Roman" w:eastAsia="宋体" w:cs="Times New Roman"/>
                <w:kern w:val="2"/>
                <w:sz w:val="21"/>
                <w:szCs w:val="21"/>
                <w:lang w:val="en-US" w:eastAsia="en-US" w:bidi="ar-SA"/>
              </w:rPr>
              <w:t>界首市</w:t>
            </w:r>
          </w:p>
        </w:tc>
      </w:tr>
      <w:tr w14:paraId="4CA4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110AA7A6">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3</w:t>
            </w:r>
          </w:p>
        </w:tc>
        <w:tc>
          <w:tcPr>
            <w:tcW w:w="2026" w:type="dxa"/>
            <w:shd w:val="clear" w:color="auto" w:fill="auto"/>
            <w:vAlign w:val="center"/>
          </w:tcPr>
          <w:p w14:paraId="4EB050F2">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firstLine="630" w:firstLineChars="300"/>
              <w:jc w:val="left"/>
              <w:textAlignment w:val="auto"/>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服务期限</w:t>
            </w:r>
          </w:p>
        </w:tc>
        <w:tc>
          <w:tcPr>
            <w:tcW w:w="5468" w:type="dxa"/>
            <w:shd w:val="clear" w:color="auto" w:fill="auto"/>
            <w:vAlign w:val="center"/>
          </w:tcPr>
          <w:p w14:paraId="4ACAABD1">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Times New Roman" w:hAnsi="Times New Roman" w:eastAsia="宋体" w:cs="Times New Roman"/>
                <w:kern w:val="2"/>
                <w:sz w:val="21"/>
                <w:szCs w:val="21"/>
                <w:lang w:val="en-US" w:eastAsia="en-US" w:bidi="ar-SA"/>
              </w:rPr>
            </w:pPr>
            <w:r>
              <w:rPr>
                <w:rFonts w:hint="eastAsia" w:ascii="Times New Roman" w:hAnsi="Times New Roman" w:eastAsia="宋体" w:cs="Times New Roman"/>
                <w:kern w:val="2"/>
                <w:sz w:val="21"/>
                <w:szCs w:val="21"/>
                <w:lang w:val="en-US" w:eastAsia="en-US" w:bidi="ar-SA"/>
              </w:rPr>
              <w:t>35日历天。</w:t>
            </w:r>
          </w:p>
        </w:tc>
      </w:tr>
      <w:tr w14:paraId="6B14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4A55F090">
            <w:pPr>
              <w:pStyle w:val="35"/>
              <w:spacing w:before="95" w:line="360" w:lineRule="auto"/>
              <w:ind w:left="9"/>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2026" w:type="dxa"/>
            <w:shd w:val="clear" w:color="auto" w:fill="auto"/>
            <w:vAlign w:val="center"/>
          </w:tcPr>
          <w:p w14:paraId="6FE97731">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firstLine="630" w:firstLineChars="300"/>
              <w:jc w:val="left"/>
              <w:textAlignment w:val="auto"/>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服务要求</w:t>
            </w:r>
          </w:p>
        </w:tc>
        <w:tc>
          <w:tcPr>
            <w:tcW w:w="5468" w:type="dxa"/>
            <w:shd w:val="clear" w:color="auto" w:fill="auto"/>
            <w:vAlign w:val="center"/>
          </w:tcPr>
          <w:p w14:paraId="7F74DED8">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Times New Roman" w:hAnsi="Times New Roman" w:eastAsia="宋体" w:cs="Times New Roman"/>
                <w:kern w:val="2"/>
                <w:sz w:val="21"/>
                <w:szCs w:val="21"/>
                <w:lang w:val="en-US" w:eastAsia="en-US" w:bidi="ar-SA"/>
              </w:rPr>
            </w:pPr>
            <w:r>
              <w:rPr>
                <w:rFonts w:hint="default" w:ascii="Times New Roman" w:hAnsi="Times New Roman" w:eastAsia="宋体" w:cs="Times New Roman"/>
                <w:kern w:val="2"/>
                <w:sz w:val="21"/>
                <w:szCs w:val="21"/>
                <w:lang w:val="en-US" w:eastAsia="zh-CN" w:bidi="ar-SA"/>
              </w:rPr>
              <w:t>合格，符合国家标准及采购人要求。</w:t>
            </w:r>
          </w:p>
        </w:tc>
      </w:tr>
    </w:tbl>
    <w:p w14:paraId="4033A0FF">
      <w:pPr>
        <w:bidi w:val="0"/>
        <w:rPr>
          <w:rFonts w:hint="eastAsia"/>
          <w:color w:val="auto"/>
          <w:highlight w:val="none"/>
        </w:rPr>
      </w:pPr>
    </w:p>
    <w:p w14:paraId="16997E37">
      <w:pPr>
        <w:pStyle w:val="9"/>
        <w:numPr>
          <w:ilvl w:val="0"/>
          <w:numId w:val="20"/>
        </w:num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项目概况</w:t>
      </w:r>
    </w:p>
    <w:p w14:paraId="0656AAD2">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界首市综合能源一体化项目位于界首市田营科技园，该项目分两期建设，设计光伏规模42.6MWp，分布式储能30MW/60MWh。利用水塘建设绿电直连20.26MWp。二期建设电网侧储能200MW/400MWh及虚拟电厂</w:t>
      </w:r>
      <w:bookmarkStart w:id="80" w:name="_GoBack"/>
      <w:bookmarkEnd w:id="80"/>
      <w:r>
        <w:rPr>
          <w:rFonts w:hint="eastAsia" w:ascii="宋体" w:hAnsi="宋体" w:eastAsia="宋体" w:cs="Times New Roman"/>
          <w:color w:val="auto"/>
          <w:sz w:val="21"/>
          <w:szCs w:val="21"/>
          <w:highlight w:val="none"/>
          <w:lang w:val="en-US" w:eastAsia="zh-CN"/>
        </w:rPr>
        <w:t>。</w:t>
      </w:r>
    </w:p>
    <w:p w14:paraId="1F20C922">
      <w:pPr>
        <w:pStyle w:val="9"/>
        <w:numPr>
          <w:ilvl w:val="0"/>
          <w:numId w:val="20"/>
        </w:numP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服务需求</w:t>
      </w:r>
      <w:r>
        <w:rPr>
          <w:rFonts w:hint="eastAsia" w:cs="Times New Roman"/>
          <w:color w:val="auto"/>
          <w:sz w:val="24"/>
          <w:szCs w:val="24"/>
          <w:highlight w:val="none"/>
          <w:lang w:val="en-US" w:eastAsia="zh-CN"/>
        </w:rPr>
        <w:tab/>
      </w:r>
    </w:p>
    <w:p w14:paraId="2DF30166">
      <w:pPr>
        <w:pStyle w:val="9"/>
        <w:numPr>
          <w:ilvl w:val="0"/>
          <w:numId w:val="0"/>
        </w:numPr>
        <w:ind w:right="1503" w:rightChars="0" w:firstLine="241" w:firstLineChars="100"/>
        <w:jc w:val="both"/>
        <w:rPr>
          <w:rFonts w:hint="default" w:cs="Times New Roman"/>
          <w:color w:val="auto"/>
          <w:sz w:val="24"/>
          <w:szCs w:val="24"/>
          <w:highlight w:val="none"/>
          <w:lang w:val="en-US" w:eastAsia="zh-CN"/>
        </w:rPr>
      </w:pPr>
      <w:bookmarkStart w:id="62" w:name="_Toc14564"/>
      <w:r>
        <w:rPr>
          <w:rFonts w:hint="eastAsia" w:cs="Times New Roman"/>
          <w:color w:val="auto"/>
          <w:sz w:val="24"/>
          <w:szCs w:val="24"/>
          <w:highlight w:val="none"/>
          <w:lang w:val="en-US" w:eastAsia="zh-CN"/>
        </w:rPr>
        <w:t>三、服务需求</w:t>
      </w:r>
      <w:r>
        <w:rPr>
          <w:rFonts w:hint="eastAsia" w:cs="Times New Roman"/>
          <w:color w:val="auto"/>
          <w:sz w:val="24"/>
          <w:szCs w:val="24"/>
          <w:highlight w:val="none"/>
          <w:lang w:val="en-US" w:eastAsia="zh-CN"/>
        </w:rPr>
        <w:tab/>
      </w:r>
    </w:p>
    <w:p w14:paraId="59D7327C">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项目工作内容、深度及成果表达，参考相关规范要求开展进行。成果包括可行性研究报告。具体工作内容包括：</w:t>
      </w:r>
    </w:p>
    <w:p w14:paraId="4429B488">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(1)项目背景及必要性分析：论述项目提出的建设背景和项目建设的必要性；</w:t>
      </w:r>
    </w:p>
    <w:p w14:paraId="18EFF969">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(2)项目选址及建设条件：研究项目科技园区周边概况和拟建地址的建设条件；</w:t>
      </w:r>
    </w:p>
    <w:p w14:paraId="1997EB58">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(3)项目建设方案：确定项目建设方案及各子项详细建设内容；</w:t>
      </w:r>
    </w:p>
    <w:p w14:paraId="65CA8E44">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(4)投资估算及资金筹措：根据建设内容编制项目投资估算、资金筹措方式。</w:t>
      </w:r>
    </w:p>
    <w:p w14:paraId="02129511">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(5)论述项目社会效益评价、经济效益评价及其财务评价内容；</w:t>
      </w:r>
    </w:p>
    <w:p w14:paraId="53567C0A">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(6)结论与建议：根据评价内容，提出项目研究结论及建议；</w:t>
      </w:r>
    </w:p>
    <w:p w14:paraId="77342628">
      <w:pPr>
        <w:pStyle w:val="11"/>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color w:val="auto"/>
          <w:spacing w:val="12"/>
          <w:sz w:val="21"/>
          <w:szCs w:val="21"/>
          <w:lang w:val="en-US" w:eastAsia="zh-CN"/>
        </w:rPr>
      </w:pPr>
      <w:r>
        <w:rPr>
          <w:rFonts w:hint="eastAsia"/>
          <w:color w:val="auto"/>
          <w:spacing w:val="12"/>
          <w:sz w:val="21"/>
          <w:szCs w:val="21"/>
          <w:lang w:val="en-US" w:eastAsia="zh-CN"/>
        </w:rPr>
        <w:t>(7)采购人要求的其他与本项目有关的要求。</w:t>
      </w:r>
    </w:p>
    <w:p w14:paraId="3AC1ABB3">
      <w:pPr>
        <w:keepNext w:val="0"/>
        <w:keepLines w:val="0"/>
        <w:widowControl/>
        <w:suppressLineNumbers w:val="0"/>
        <w:ind w:firstLine="516" w:firstLineChars="200"/>
        <w:jc w:val="left"/>
        <w:rPr>
          <w:rFonts w:hint="default" w:ascii="宋体" w:hAnsi="宋体" w:eastAsia="宋体" w:cs="宋体"/>
          <w:color w:val="auto"/>
          <w:spacing w:val="9"/>
          <w:sz w:val="24"/>
          <w:szCs w:val="24"/>
          <w:lang w:val="en-US" w:eastAsia="zh-CN" w:bidi="zh-CN"/>
        </w:rPr>
      </w:pPr>
    </w:p>
    <w:p w14:paraId="0EFCC017">
      <w:pPr>
        <w:pStyle w:val="11"/>
        <w:spacing w:line="360" w:lineRule="auto"/>
        <w:ind w:firstLine="420"/>
        <w:rPr>
          <w:rFonts w:ascii="宋体" w:hAnsi="宋体" w:eastAsia="宋体" w:cs="宋体"/>
          <w:color w:val="auto"/>
          <w:spacing w:val="9"/>
          <w:sz w:val="24"/>
          <w:szCs w:val="24"/>
          <w:lang w:val="zh-CN" w:eastAsia="zh-CN" w:bidi="zh-CN"/>
        </w:rPr>
      </w:pPr>
      <w:r>
        <w:rPr>
          <w:rFonts w:hint="eastAsia" w:ascii="宋体" w:hAnsi="宋体" w:eastAsia="宋体" w:cs="宋体"/>
          <w:color w:val="auto"/>
          <w:spacing w:val="9"/>
          <w:sz w:val="24"/>
          <w:szCs w:val="24"/>
          <w:lang w:val="en-US" w:eastAsia="zh-CN" w:bidi="zh-CN"/>
        </w:rPr>
        <w:t xml:space="preserve"> </w:t>
      </w:r>
      <w:r>
        <w:rPr>
          <w:rFonts w:hint="eastAsia" w:ascii="宋体" w:hAnsi="宋体" w:eastAsia="宋体" w:cs="宋体"/>
          <w:color w:val="auto"/>
          <w:spacing w:val="9"/>
          <w:sz w:val="24"/>
          <w:szCs w:val="24"/>
          <w:lang w:val="zh-CN" w:eastAsia="zh-CN" w:bidi="zh-CN"/>
        </w:rPr>
        <w:t xml:space="preserve">                  </w:t>
      </w:r>
      <w:bookmarkStart w:id="63" w:name="_Toc16321"/>
    </w:p>
    <w:p w14:paraId="0392670E">
      <w:pPr>
        <w:pStyle w:val="8"/>
        <w:spacing w:before="120" w:beforeLines="50" w:after="120" w:afterLines="50" w:line="360" w:lineRule="auto"/>
        <w:ind w:firstLine="482" w:firstLineChars="200"/>
        <w:jc w:val="both"/>
        <w:rPr>
          <w:rFonts w:hint="eastAsia"/>
          <w:b/>
          <w:color w:val="auto"/>
          <w:sz w:val="24"/>
          <w:szCs w:val="24"/>
        </w:rPr>
      </w:pPr>
      <w:r>
        <w:rPr>
          <w:color w:val="auto"/>
          <w:sz w:val="24"/>
          <w:szCs w:val="24"/>
        </w:rPr>
        <w:t>四、报价要求</w:t>
      </w:r>
      <w:bookmarkEnd w:id="63"/>
    </w:p>
    <w:p w14:paraId="5DA3AE14">
      <w:pPr>
        <w:pStyle w:val="11"/>
        <w:spacing w:line="360" w:lineRule="auto"/>
        <w:ind w:firstLine="840" w:firstLineChars="40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报价方式：</w:t>
      </w:r>
      <w:r>
        <w:rPr>
          <w:rFonts w:hint="default" w:ascii="宋体" w:hAnsi="宋体" w:eastAsia="宋体" w:cs="宋体"/>
          <w:color w:val="auto"/>
          <w:sz w:val="21"/>
          <w:szCs w:val="21"/>
          <w:lang w:val="en-US" w:eastAsia="zh-CN" w:bidi="zh-CN"/>
        </w:rPr>
        <w:t xml:space="preserve"> </w:t>
      </w:r>
    </w:p>
    <w:p w14:paraId="1B9BF08D">
      <w:pPr>
        <w:pStyle w:val="11"/>
        <w:spacing w:line="360" w:lineRule="auto"/>
        <w:ind w:firstLine="840" w:firstLineChars="400"/>
        <w:rPr>
          <w:rFonts w:hint="default"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☑总价报价：含完成对应包所需的一切费用总和，包括但不限于人员工资、办公费、通讯费、差旅费、食宿费、专家评审费用等为完成各包所发生的所有费用。采购人后期不再增加任何费用；</w:t>
      </w:r>
      <w:r>
        <w:rPr>
          <w:rFonts w:hint="default" w:ascii="宋体" w:hAnsi="宋体" w:eastAsia="宋体" w:cs="宋体"/>
          <w:color w:val="auto"/>
          <w:sz w:val="21"/>
          <w:szCs w:val="21"/>
          <w:lang w:val="en-US" w:eastAsia="zh-CN" w:bidi="zh-CN"/>
        </w:rPr>
        <w:t xml:space="preserve"> </w:t>
      </w:r>
    </w:p>
    <w:p w14:paraId="79BC944E">
      <w:pPr>
        <w:pStyle w:val="8"/>
        <w:spacing w:before="120" w:beforeLines="50" w:after="120" w:afterLines="50" w:line="360" w:lineRule="auto"/>
        <w:ind w:firstLine="482" w:firstLineChars="200"/>
        <w:jc w:val="both"/>
        <w:rPr>
          <w:rFonts w:ascii="Times New Roman" w:hAnsi="Times New Roman" w:eastAsia="宋体" w:cs="Times New Roman"/>
          <w:color w:val="auto"/>
          <w:sz w:val="24"/>
          <w:szCs w:val="24"/>
        </w:rPr>
      </w:pPr>
      <w:bookmarkStart w:id="64" w:name="_Toc14677"/>
      <w:r>
        <w:rPr>
          <w:rFonts w:hint="eastAsia" w:ascii="Times New Roman" w:hAnsi="Times New Roman" w:eastAsia="宋体" w:cs="Times New Roman"/>
          <w:color w:val="auto"/>
          <w:sz w:val="24"/>
          <w:szCs w:val="24"/>
          <w:lang w:eastAsia="zh-CN"/>
        </w:rPr>
        <w:t>五、</w:t>
      </w:r>
      <w:r>
        <w:rPr>
          <w:rFonts w:ascii="Times New Roman" w:hAnsi="Times New Roman" w:eastAsia="宋体" w:cs="Times New Roman"/>
          <w:color w:val="auto"/>
          <w:sz w:val="24"/>
          <w:szCs w:val="24"/>
        </w:rPr>
        <w:t>其他要求</w:t>
      </w:r>
      <w:bookmarkEnd w:id="64"/>
    </w:p>
    <w:p w14:paraId="445454AA">
      <w:pPr>
        <w:pStyle w:val="11"/>
        <w:numPr>
          <w:ilvl w:val="0"/>
          <w:numId w:val="0"/>
        </w:numPr>
        <w:spacing w:line="360" w:lineRule="auto"/>
        <w:ind w:left="1366" w:leftChars="0"/>
        <w:rPr>
          <w:rFonts w:hint="eastAsia" w:eastAsia="宋体"/>
          <w:color w:val="auto"/>
          <w:sz w:val="24"/>
          <w:szCs w:val="24"/>
          <w:lang w:val="en-US" w:eastAsia="zh-CN"/>
        </w:rPr>
      </w:pPr>
      <w:r>
        <w:rPr>
          <w:rFonts w:hint="eastAsia"/>
          <w:color w:val="auto"/>
          <w:sz w:val="24"/>
          <w:szCs w:val="24"/>
          <w:lang w:val="en-US" w:eastAsia="zh-CN"/>
        </w:rPr>
        <w:t>无</w:t>
      </w:r>
    </w:p>
    <w:p w14:paraId="56B08093">
      <w:pPr>
        <w:pStyle w:val="11"/>
        <w:spacing w:line="360" w:lineRule="auto"/>
        <w:ind w:firstLine="240" w:firstLineChars="100"/>
        <w:rPr>
          <w:color w:val="auto"/>
          <w:sz w:val="24"/>
          <w:szCs w:val="24"/>
        </w:rPr>
      </w:pPr>
    </w:p>
    <w:p w14:paraId="2207E67C">
      <w:pPr>
        <w:pStyle w:val="6"/>
        <w:numPr>
          <w:ilvl w:val="0"/>
          <w:numId w:val="0"/>
        </w:numPr>
        <w:tabs>
          <w:tab w:val="left" w:pos="0"/>
        </w:tabs>
        <w:autoSpaceDE w:val="0"/>
        <w:autoSpaceDN w:val="0"/>
        <w:adjustRightInd w:val="0"/>
        <w:spacing w:before="0" w:after="0" w:line="360" w:lineRule="auto"/>
        <w:ind w:firstLine="765"/>
        <w:jc w:val="both"/>
        <w:rPr>
          <w:rFonts w:hint="eastAsia" w:ascii="宋体" w:hAnsi="宋体" w:eastAsia="宋体" w:cs="宋体"/>
          <w:color w:val="auto"/>
          <w:kern w:val="0"/>
          <w:sz w:val="21"/>
          <w:szCs w:val="21"/>
          <w:lang w:val="en-US" w:eastAsia="zh-CN" w:bidi="ar"/>
        </w:rPr>
      </w:pPr>
    </w:p>
    <w:p w14:paraId="532CD1D8">
      <w:pPr>
        <w:rPr>
          <w:rFonts w:hint="eastAsia" w:ascii="宋体" w:hAnsi="宋体" w:eastAsia="宋体" w:cs="宋体"/>
          <w:color w:val="auto"/>
          <w:kern w:val="0"/>
          <w:sz w:val="21"/>
          <w:szCs w:val="21"/>
          <w:lang w:val="en-US" w:eastAsia="zh-CN" w:bidi="ar"/>
        </w:rPr>
      </w:pPr>
    </w:p>
    <w:p w14:paraId="65515842">
      <w:pPr>
        <w:pStyle w:val="3"/>
        <w:rPr>
          <w:rFonts w:hint="eastAsia" w:ascii="宋体" w:hAnsi="宋体" w:eastAsia="宋体" w:cs="宋体"/>
          <w:color w:val="auto"/>
          <w:kern w:val="0"/>
          <w:sz w:val="21"/>
          <w:szCs w:val="21"/>
          <w:lang w:val="en-US" w:eastAsia="zh-CN" w:bidi="ar"/>
        </w:rPr>
      </w:pPr>
    </w:p>
    <w:p w14:paraId="4D5C5887">
      <w:pPr>
        <w:pStyle w:val="4"/>
        <w:rPr>
          <w:rFonts w:hint="eastAsia" w:ascii="宋体" w:hAnsi="宋体" w:eastAsia="宋体" w:cs="宋体"/>
          <w:color w:val="auto"/>
          <w:kern w:val="0"/>
          <w:sz w:val="21"/>
          <w:szCs w:val="21"/>
          <w:lang w:val="en-US" w:eastAsia="zh-CN" w:bidi="ar"/>
        </w:rPr>
      </w:pPr>
    </w:p>
    <w:p w14:paraId="06C33DDE">
      <w:pPr>
        <w:pStyle w:val="4"/>
        <w:rPr>
          <w:rFonts w:hint="eastAsia" w:ascii="宋体" w:hAnsi="宋体" w:eastAsia="宋体" w:cs="宋体"/>
          <w:color w:val="auto"/>
          <w:kern w:val="0"/>
          <w:sz w:val="21"/>
          <w:szCs w:val="21"/>
          <w:lang w:val="en-US" w:eastAsia="zh-CN" w:bidi="ar"/>
        </w:rPr>
      </w:pPr>
    </w:p>
    <w:p w14:paraId="120FEE4D">
      <w:pPr>
        <w:pStyle w:val="4"/>
        <w:rPr>
          <w:rFonts w:hint="eastAsia" w:ascii="宋体" w:hAnsi="宋体" w:eastAsia="宋体" w:cs="宋体"/>
          <w:color w:val="auto"/>
          <w:kern w:val="0"/>
          <w:sz w:val="21"/>
          <w:szCs w:val="21"/>
          <w:lang w:val="en-US" w:eastAsia="zh-CN" w:bidi="ar"/>
        </w:rPr>
      </w:pPr>
    </w:p>
    <w:p w14:paraId="0DF818F4">
      <w:pPr>
        <w:pStyle w:val="4"/>
        <w:rPr>
          <w:rFonts w:hint="eastAsia" w:ascii="宋体" w:hAnsi="宋体" w:eastAsia="宋体" w:cs="宋体"/>
          <w:color w:val="auto"/>
          <w:kern w:val="0"/>
          <w:sz w:val="21"/>
          <w:szCs w:val="21"/>
          <w:lang w:val="en-US" w:eastAsia="zh-CN" w:bidi="ar"/>
        </w:rPr>
      </w:pPr>
    </w:p>
    <w:p w14:paraId="72DD8ECB">
      <w:pPr>
        <w:pStyle w:val="4"/>
        <w:rPr>
          <w:rFonts w:hint="eastAsia" w:ascii="宋体" w:hAnsi="宋体" w:eastAsia="宋体" w:cs="宋体"/>
          <w:color w:val="auto"/>
          <w:kern w:val="0"/>
          <w:sz w:val="21"/>
          <w:szCs w:val="21"/>
          <w:lang w:val="en-US" w:eastAsia="zh-CN" w:bidi="ar"/>
        </w:rPr>
      </w:pPr>
    </w:p>
    <w:p w14:paraId="69C5F599">
      <w:pPr>
        <w:pStyle w:val="4"/>
        <w:rPr>
          <w:rFonts w:hint="eastAsia" w:ascii="宋体" w:hAnsi="宋体" w:eastAsia="宋体" w:cs="宋体"/>
          <w:color w:val="auto"/>
          <w:kern w:val="0"/>
          <w:sz w:val="21"/>
          <w:szCs w:val="21"/>
          <w:lang w:val="en-US" w:eastAsia="zh-CN" w:bidi="ar"/>
        </w:rPr>
      </w:pPr>
    </w:p>
    <w:p w14:paraId="109CDE09">
      <w:pPr>
        <w:pStyle w:val="4"/>
        <w:rPr>
          <w:rFonts w:hint="eastAsia" w:ascii="宋体" w:hAnsi="宋体" w:eastAsia="宋体" w:cs="宋体"/>
          <w:color w:val="auto"/>
          <w:kern w:val="0"/>
          <w:sz w:val="21"/>
          <w:szCs w:val="21"/>
          <w:lang w:val="en-US" w:eastAsia="zh-CN" w:bidi="ar"/>
        </w:rPr>
      </w:pPr>
    </w:p>
    <w:p w14:paraId="50C92AF0">
      <w:pPr>
        <w:pStyle w:val="4"/>
        <w:rPr>
          <w:rFonts w:hint="eastAsia" w:ascii="宋体" w:hAnsi="宋体" w:eastAsia="宋体" w:cs="宋体"/>
          <w:color w:val="auto"/>
          <w:kern w:val="0"/>
          <w:sz w:val="21"/>
          <w:szCs w:val="21"/>
          <w:lang w:val="en-US" w:eastAsia="zh-CN" w:bidi="ar"/>
        </w:rPr>
      </w:pPr>
    </w:p>
    <w:p w14:paraId="40BCEA8E">
      <w:pPr>
        <w:pStyle w:val="4"/>
        <w:rPr>
          <w:rFonts w:hint="eastAsia" w:ascii="宋体" w:hAnsi="宋体" w:eastAsia="宋体" w:cs="宋体"/>
          <w:color w:val="auto"/>
          <w:kern w:val="0"/>
          <w:sz w:val="21"/>
          <w:szCs w:val="21"/>
          <w:lang w:val="en-US" w:eastAsia="zh-CN" w:bidi="ar"/>
        </w:rPr>
      </w:pPr>
    </w:p>
    <w:p w14:paraId="70DDE5F0">
      <w:pPr>
        <w:pStyle w:val="4"/>
        <w:rPr>
          <w:rFonts w:hint="eastAsia" w:ascii="宋体" w:hAnsi="宋体" w:eastAsia="宋体" w:cs="宋体"/>
          <w:color w:val="auto"/>
          <w:kern w:val="0"/>
          <w:sz w:val="21"/>
          <w:szCs w:val="21"/>
          <w:lang w:val="en-US" w:eastAsia="zh-CN" w:bidi="ar"/>
        </w:rPr>
      </w:pPr>
    </w:p>
    <w:p w14:paraId="6F3D9E9B">
      <w:pPr>
        <w:pStyle w:val="4"/>
        <w:rPr>
          <w:rFonts w:hint="eastAsia" w:ascii="宋体" w:hAnsi="宋体" w:eastAsia="宋体" w:cs="宋体"/>
          <w:color w:val="auto"/>
          <w:kern w:val="0"/>
          <w:sz w:val="21"/>
          <w:szCs w:val="21"/>
          <w:lang w:val="en-US" w:eastAsia="zh-CN" w:bidi="ar"/>
        </w:rPr>
      </w:pPr>
    </w:p>
    <w:p w14:paraId="7C270B76">
      <w:pPr>
        <w:pStyle w:val="4"/>
        <w:rPr>
          <w:rFonts w:hint="eastAsia" w:ascii="宋体" w:hAnsi="宋体" w:eastAsia="宋体" w:cs="宋体"/>
          <w:color w:val="auto"/>
          <w:kern w:val="0"/>
          <w:sz w:val="21"/>
          <w:szCs w:val="21"/>
          <w:lang w:val="en-US" w:eastAsia="zh-CN" w:bidi="ar"/>
        </w:rPr>
      </w:pPr>
    </w:p>
    <w:p w14:paraId="72098E73">
      <w:pPr>
        <w:pStyle w:val="4"/>
        <w:rPr>
          <w:rFonts w:hint="eastAsia" w:ascii="宋体" w:hAnsi="宋体" w:eastAsia="宋体" w:cs="宋体"/>
          <w:color w:val="auto"/>
          <w:kern w:val="0"/>
          <w:sz w:val="21"/>
          <w:szCs w:val="21"/>
          <w:lang w:val="en-US" w:eastAsia="zh-CN" w:bidi="ar"/>
        </w:rPr>
      </w:pPr>
    </w:p>
    <w:p w14:paraId="3399C4C7">
      <w:pPr>
        <w:pStyle w:val="4"/>
        <w:rPr>
          <w:rFonts w:hint="eastAsia" w:ascii="宋体" w:hAnsi="宋体" w:eastAsia="宋体" w:cs="宋体"/>
          <w:color w:val="auto"/>
          <w:kern w:val="0"/>
          <w:sz w:val="21"/>
          <w:szCs w:val="21"/>
          <w:lang w:val="en-US" w:eastAsia="zh-CN" w:bidi="ar"/>
        </w:rPr>
      </w:pPr>
    </w:p>
    <w:p w14:paraId="067D82B6">
      <w:pPr>
        <w:pStyle w:val="4"/>
        <w:rPr>
          <w:rFonts w:hint="eastAsia" w:ascii="宋体" w:hAnsi="宋体" w:eastAsia="宋体" w:cs="宋体"/>
          <w:color w:val="auto"/>
          <w:kern w:val="0"/>
          <w:sz w:val="21"/>
          <w:szCs w:val="21"/>
          <w:lang w:val="en-US" w:eastAsia="zh-CN" w:bidi="ar"/>
        </w:rPr>
      </w:pPr>
    </w:p>
    <w:p w14:paraId="71ED6141">
      <w:pPr>
        <w:pStyle w:val="4"/>
        <w:rPr>
          <w:rFonts w:hint="eastAsia" w:ascii="宋体" w:hAnsi="宋体" w:eastAsia="宋体" w:cs="宋体"/>
          <w:color w:val="auto"/>
          <w:kern w:val="0"/>
          <w:sz w:val="21"/>
          <w:szCs w:val="21"/>
          <w:lang w:val="en-US" w:eastAsia="zh-CN" w:bidi="ar"/>
        </w:rPr>
      </w:pPr>
    </w:p>
    <w:p w14:paraId="293DC763">
      <w:pPr>
        <w:pStyle w:val="4"/>
        <w:rPr>
          <w:rFonts w:hint="eastAsia" w:ascii="宋体" w:hAnsi="宋体" w:eastAsia="宋体" w:cs="宋体"/>
          <w:color w:val="auto"/>
          <w:kern w:val="0"/>
          <w:sz w:val="21"/>
          <w:szCs w:val="21"/>
          <w:lang w:val="en-US" w:eastAsia="zh-CN" w:bidi="ar"/>
        </w:rPr>
      </w:pPr>
    </w:p>
    <w:p w14:paraId="263A4A3B">
      <w:pPr>
        <w:pStyle w:val="4"/>
        <w:rPr>
          <w:rFonts w:hint="eastAsia" w:ascii="宋体" w:hAnsi="宋体" w:eastAsia="宋体" w:cs="宋体"/>
          <w:color w:val="auto"/>
          <w:kern w:val="0"/>
          <w:sz w:val="21"/>
          <w:szCs w:val="21"/>
          <w:lang w:val="en-US" w:eastAsia="zh-CN" w:bidi="ar"/>
        </w:rPr>
      </w:pPr>
    </w:p>
    <w:p w14:paraId="57DEA21C">
      <w:pPr>
        <w:pStyle w:val="4"/>
        <w:rPr>
          <w:rFonts w:hint="eastAsia" w:ascii="宋体" w:hAnsi="宋体" w:eastAsia="宋体" w:cs="宋体"/>
          <w:color w:val="auto"/>
          <w:kern w:val="0"/>
          <w:sz w:val="21"/>
          <w:szCs w:val="21"/>
          <w:lang w:val="en-US" w:eastAsia="zh-CN" w:bidi="ar"/>
        </w:rPr>
      </w:pPr>
    </w:p>
    <w:p w14:paraId="33C88EDD">
      <w:pPr>
        <w:pStyle w:val="4"/>
        <w:rPr>
          <w:rFonts w:hint="eastAsia" w:ascii="宋体" w:hAnsi="宋体" w:eastAsia="宋体" w:cs="宋体"/>
          <w:color w:val="auto"/>
          <w:kern w:val="0"/>
          <w:sz w:val="21"/>
          <w:szCs w:val="21"/>
          <w:lang w:val="en-US" w:eastAsia="zh-CN" w:bidi="ar"/>
        </w:rPr>
      </w:pPr>
    </w:p>
    <w:p w14:paraId="251C76EE">
      <w:pPr>
        <w:pStyle w:val="4"/>
        <w:rPr>
          <w:rFonts w:hint="eastAsia" w:ascii="宋体" w:hAnsi="宋体" w:eastAsia="宋体" w:cs="宋体"/>
          <w:color w:val="auto"/>
          <w:kern w:val="0"/>
          <w:sz w:val="21"/>
          <w:szCs w:val="21"/>
          <w:lang w:val="en-US" w:eastAsia="zh-CN" w:bidi="ar"/>
        </w:rPr>
      </w:pPr>
    </w:p>
    <w:p w14:paraId="55E537BF">
      <w:pPr>
        <w:rPr>
          <w:rFonts w:hint="eastAsia" w:ascii="宋体" w:hAnsi="宋体"/>
          <w:color w:val="auto"/>
          <w:sz w:val="32"/>
          <w:szCs w:val="32"/>
          <w:highlight w:val="none"/>
        </w:rPr>
      </w:pPr>
      <w:r>
        <w:rPr>
          <w:rFonts w:hint="eastAsia" w:ascii="宋体" w:hAnsi="宋体"/>
          <w:color w:val="auto"/>
          <w:sz w:val="32"/>
          <w:szCs w:val="32"/>
          <w:highlight w:val="none"/>
        </w:rPr>
        <w:br w:type="page"/>
      </w:r>
    </w:p>
    <w:p w14:paraId="1D3DA8D7">
      <w:pPr>
        <w:pStyle w:val="6"/>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评审方法和标准</w:t>
      </w:r>
      <w:bookmarkEnd w:id="62"/>
    </w:p>
    <w:p w14:paraId="7F6D91AC">
      <w:pPr>
        <w:pStyle w:val="9"/>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rPr>
        <w:t>一、总则</w:t>
      </w:r>
    </w:p>
    <w:p w14:paraId="0B86024B">
      <w:pPr>
        <w:pStyle w:val="11"/>
        <w:spacing w:before="160" w:line="360" w:lineRule="auto"/>
        <w:ind w:left="671" w:right="413" w:hanging="3"/>
        <w:rPr>
          <w:color w:val="auto"/>
          <w:sz w:val="21"/>
          <w:szCs w:val="21"/>
          <w:highlight w:val="none"/>
        </w:rPr>
      </w:pPr>
      <w:r>
        <w:rPr>
          <w:color w:val="auto"/>
          <w:sz w:val="21"/>
          <w:szCs w:val="21"/>
          <w:highlight w:val="none"/>
        </w:rPr>
        <w:t>本项目将按照磋商文件</w:t>
      </w:r>
      <w:r>
        <w:rPr>
          <w:rFonts w:hint="eastAsia"/>
          <w:color w:val="auto"/>
          <w:sz w:val="21"/>
          <w:szCs w:val="21"/>
          <w:highlight w:val="none"/>
          <w:lang w:val="en-US" w:eastAsia="zh-CN"/>
        </w:rPr>
        <w:t xml:space="preserve"> </w:t>
      </w:r>
      <w:r>
        <w:rPr>
          <w:color w:val="auto"/>
          <w:sz w:val="21"/>
          <w:szCs w:val="21"/>
          <w:highlight w:val="none"/>
        </w:rPr>
        <w:t>第二章 供应商须知的相关要求及本章的规定评审。</w:t>
      </w:r>
    </w:p>
    <w:p w14:paraId="556D2505">
      <w:pPr>
        <w:pStyle w:val="9"/>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lang w:val="en-US"/>
        </w:rPr>
        <w:t>二、评审方法</w:t>
      </w:r>
    </w:p>
    <w:p w14:paraId="35E74A9A">
      <w:pPr>
        <w:pStyle w:val="37"/>
        <w:numPr>
          <w:ilvl w:val="1"/>
          <w:numId w:val="21"/>
        </w:numPr>
        <w:tabs>
          <w:tab w:val="left" w:pos="1090"/>
        </w:tabs>
        <w:spacing w:before="5" w:line="360" w:lineRule="auto"/>
        <w:ind w:hanging="421"/>
        <w:rPr>
          <w:color w:val="auto"/>
          <w:sz w:val="21"/>
          <w:szCs w:val="21"/>
          <w:highlight w:val="none"/>
        </w:rPr>
      </w:pPr>
      <w:r>
        <w:rPr>
          <w:color w:val="auto"/>
          <w:sz w:val="21"/>
          <w:szCs w:val="21"/>
          <w:highlight w:val="none"/>
        </w:rPr>
        <w:t>初审</w:t>
      </w:r>
    </w:p>
    <w:p w14:paraId="0C43AFA5">
      <w:pPr>
        <w:pStyle w:val="11"/>
        <w:spacing w:before="159" w:line="360" w:lineRule="auto"/>
        <w:ind w:left="234" w:right="373" w:firstLine="434"/>
        <w:rPr>
          <w:color w:val="auto"/>
          <w:sz w:val="21"/>
          <w:szCs w:val="21"/>
          <w:highlight w:val="none"/>
        </w:rPr>
      </w:pPr>
      <w:r>
        <w:rPr>
          <w:color w:val="auto"/>
          <w:spacing w:val="-6"/>
          <w:sz w:val="21"/>
          <w:szCs w:val="21"/>
          <w:highlight w:val="none"/>
        </w:rPr>
        <w:t>磋商小组对供应商的响应文件进行初审，以确定其是否满足磋商文件的实质</w:t>
      </w:r>
      <w:r>
        <w:rPr>
          <w:color w:val="auto"/>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62E4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573CCB71">
            <w:pPr>
              <w:pStyle w:val="35"/>
              <w:spacing w:before="28" w:line="360" w:lineRule="auto"/>
              <w:ind w:left="3870" w:right="3853"/>
              <w:jc w:val="center"/>
              <w:rPr>
                <w:b/>
                <w:color w:val="auto"/>
                <w:sz w:val="21"/>
                <w:szCs w:val="21"/>
                <w:highlight w:val="none"/>
                <w:lang w:eastAsia="en-US"/>
              </w:rPr>
            </w:pPr>
            <w:r>
              <w:rPr>
                <w:b/>
                <w:color w:val="auto"/>
                <w:sz w:val="21"/>
                <w:szCs w:val="21"/>
                <w:highlight w:val="none"/>
                <w:lang w:eastAsia="en-US"/>
              </w:rPr>
              <w:t>初审表</w:t>
            </w:r>
          </w:p>
        </w:tc>
      </w:tr>
      <w:tr w14:paraId="5C9A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59AB80FB">
            <w:pPr>
              <w:pStyle w:val="35"/>
              <w:spacing w:line="360" w:lineRule="auto"/>
              <w:ind w:left="102" w:right="83"/>
              <w:jc w:val="center"/>
              <w:rPr>
                <w:color w:val="auto"/>
                <w:sz w:val="21"/>
                <w:szCs w:val="21"/>
                <w:highlight w:val="none"/>
                <w:lang w:eastAsia="en-US"/>
              </w:rPr>
            </w:pPr>
            <w:r>
              <w:rPr>
                <w:color w:val="auto"/>
                <w:sz w:val="21"/>
                <w:szCs w:val="21"/>
                <w:highlight w:val="none"/>
                <w:lang w:eastAsia="en-US"/>
              </w:rPr>
              <w:t>序号</w:t>
            </w:r>
          </w:p>
        </w:tc>
        <w:tc>
          <w:tcPr>
            <w:tcW w:w="1763" w:type="dxa"/>
            <w:shd w:val="clear" w:color="auto" w:fill="auto"/>
            <w:vAlign w:val="center"/>
          </w:tcPr>
          <w:p w14:paraId="21BBE938">
            <w:pPr>
              <w:pStyle w:val="35"/>
              <w:spacing w:line="360" w:lineRule="auto"/>
              <w:ind w:left="107" w:right="91"/>
              <w:jc w:val="center"/>
              <w:rPr>
                <w:color w:val="auto"/>
                <w:sz w:val="21"/>
                <w:szCs w:val="21"/>
                <w:highlight w:val="none"/>
                <w:lang w:eastAsia="en-US"/>
              </w:rPr>
            </w:pPr>
            <w:r>
              <w:rPr>
                <w:color w:val="auto"/>
                <w:sz w:val="21"/>
                <w:szCs w:val="21"/>
                <w:highlight w:val="none"/>
                <w:lang w:eastAsia="en-US"/>
              </w:rPr>
              <w:t>评审指标</w:t>
            </w:r>
          </w:p>
        </w:tc>
        <w:tc>
          <w:tcPr>
            <w:tcW w:w="2417" w:type="dxa"/>
            <w:tcBorders>
              <w:right w:val="single" w:color="000000" w:sz="6" w:space="0"/>
            </w:tcBorders>
            <w:shd w:val="clear" w:color="auto" w:fill="auto"/>
            <w:vAlign w:val="center"/>
          </w:tcPr>
          <w:p w14:paraId="7C723F84">
            <w:pPr>
              <w:pStyle w:val="35"/>
              <w:spacing w:line="360" w:lineRule="auto"/>
              <w:ind w:left="170" w:right="150"/>
              <w:jc w:val="center"/>
              <w:rPr>
                <w:color w:val="auto"/>
                <w:sz w:val="21"/>
                <w:szCs w:val="21"/>
                <w:highlight w:val="none"/>
                <w:lang w:eastAsia="en-US"/>
              </w:rPr>
            </w:pPr>
            <w:r>
              <w:rPr>
                <w:color w:val="auto"/>
                <w:sz w:val="21"/>
                <w:szCs w:val="21"/>
                <w:highlight w:val="none"/>
                <w:lang w:eastAsia="en-US"/>
              </w:rPr>
              <w:t>评审标准</w:t>
            </w:r>
          </w:p>
        </w:tc>
        <w:tc>
          <w:tcPr>
            <w:tcW w:w="3601" w:type="dxa"/>
            <w:tcBorders>
              <w:left w:val="single" w:color="000000" w:sz="6" w:space="0"/>
            </w:tcBorders>
            <w:shd w:val="clear" w:color="auto" w:fill="auto"/>
            <w:vAlign w:val="center"/>
          </w:tcPr>
          <w:p w14:paraId="5F17764C">
            <w:pPr>
              <w:pStyle w:val="35"/>
              <w:spacing w:line="360" w:lineRule="auto"/>
              <w:ind w:left="1095"/>
              <w:rPr>
                <w:color w:val="auto"/>
                <w:sz w:val="21"/>
                <w:szCs w:val="21"/>
                <w:highlight w:val="none"/>
                <w:lang w:eastAsia="en-US"/>
              </w:rPr>
            </w:pPr>
            <w:r>
              <w:rPr>
                <w:color w:val="auto"/>
                <w:sz w:val="21"/>
                <w:szCs w:val="21"/>
                <w:highlight w:val="none"/>
                <w:lang w:eastAsia="en-US"/>
              </w:rPr>
              <w:t>格式及材料要求</w:t>
            </w:r>
          </w:p>
        </w:tc>
      </w:tr>
      <w:tr w14:paraId="0F98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6568194F">
            <w:pPr>
              <w:pStyle w:val="35"/>
              <w:spacing w:line="360" w:lineRule="auto"/>
              <w:ind w:left="19"/>
              <w:jc w:val="center"/>
              <w:rPr>
                <w:color w:val="auto"/>
                <w:sz w:val="21"/>
                <w:szCs w:val="21"/>
                <w:highlight w:val="none"/>
                <w:lang w:eastAsia="en-US"/>
              </w:rPr>
            </w:pPr>
            <w:r>
              <w:rPr>
                <w:color w:val="auto"/>
                <w:sz w:val="21"/>
                <w:szCs w:val="21"/>
                <w:highlight w:val="none"/>
                <w:lang w:eastAsia="en-US"/>
              </w:rPr>
              <w:t>1</w:t>
            </w:r>
          </w:p>
        </w:tc>
        <w:tc>
          <w:tcPr>
            <w:tcW w:w="1763" w:type="dxa"/>
            <w:shd w:val="clear" w:color="auto" w:fill="auto"/>
            <w:vAlign w:val="center"/>
          </w:tcPr>
          <w:p w14:paraId="31625E54">
            <w:pPr>
              <w:pStyle w:val="35"/>
              <w:spacing w:line="360" w:lineRule="auto"/>
              <w:ind w:right="91"/>
              <w:jc w:val="center"/>
              <w:rPr>
                <w:color w:val="auto"/>
                <w:sz w:val="21"/>
                <w:szCs w:val="21"/>
                <w:highlight w:val="none"/>
                <w:lang w:eastAsia="en-US"/>
              </w:rPr>
            </w:pPr>
            <w:r>
              <w:rPr>
                <w:color w:val="auto"/>
                <w:sz w:val="21"/>
                <w:szCs w:val="21"/>
                <w:highlight w:val="none"/>
                <w:lang w:eastAsia="en-US"/>
              </w:rPr>
              <w:t>营业执照</w:t>
            </w:r>
          </w:p>
        </w:tc>
        <w:tc>
          <w:tcPr>
            <w:tcW w:w="2417" w:type="dxa"/>
            <w:tcBorders>
              <w:right w:val="single" w:color="000000" w:sz="6" w:space="0"/>
            </w:tcBorders>
            <w:shd w:val="clear" w:color="auto" w:fill="auto"/>
            <w:vAlign w:val="center"/>
          </w:tcPr>
          <w:p w14:paraId="35ED6DC2">
            <w:pPr>
              <w:pStyle w:val="35"/>
              <w:spacing w:line="360" w:lineRule="auto"/>
              <w:ind w:right="150"/>
              <w:jc w:val="center"/>
              <w:rPr>
                <w:color w:val="auto"/>
                <w:sz w:val="21"/>
                <w:szCs w:val="21"/>
                <w:highlight w:val="none"/>
                <w:lang w:eastAsia="en-US"/>
              </w:rPr>
            </w:pPr>
            <w:r>
              <w:rPr>
                <w:color w:val="auto"/>
                <w:sz w:val="21"/>
                <w:szCs w:val="21"/>
                <w:highlight w:val="none"/>
                <w:lang w:eastAsia="en-US"/>
              </w:rPr>
              <w:t>合法有效</w:t>
            </w:r>
          </w:p>
        </w:tc>
        <w:tc>
          <w:tcPr>
            <w:tcW w:w="3601" w:type="dxa"/>
            <w:tcBorders>
              <w:left w:val="single" w:color="000000" w:sz="6" w:space="0"/>
            </w:tcBorders>
            <w:shd w:val="clear" w:color="auto" w:fill="auto"/>
            <w:vAlign w:val="center"/>
          </w:tcPr>
          <w:p w14:paraId="30434D32">
            <w:pPr>
              <w:pStyle w:val="35"/>
              <w:spacing w:line="360" w:lineRule="auto"/>
              <w:ind w:left="106" w:right="-29"/>
              <w:rPr>
                <w:color w:val="auto"/>
                <w:sz w:val="21"/>
                <w:szCs w:val="21"/>
                <w:highlight w:val="none"/>
                <w:lang w:eastAsia="en-US"/>
              </w:rPr>
            </w:pPr>
          </w:p>
        </w:tc>
      </w:tr>
      <w:tr w14:paraId="6F6E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0B05CE74">
            <w:pPr>
              <w:pStyle w:val="35"/>
              <w:spacing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1763" w:type="dxa"/>
            <w:shd w:val="clear" w:color="auto" w:fill="auto"/>
            <w:vAlign w:val="center"/>
          </w:tcPr>
          <w:p w14:paraId="29DC34B6">
            <w:pPr>
              <w:pStyle w:val="35"/>
              <w:spacing w:before="209" w:line="360" w:lineRule="auto"/>
              <w:ind w:left="107" w:right="91"/>
              <w:jc w:val="center"/>
              <w:rPr>
                <w:color w:val="auto"/>
                <w:sz w:val="21"/>
                <w:szCs w:val="21"/>
                <w:highlight w:val="none"/>
                <w:lang w:eastAsia="en-US"/>
              </w:rPr>
            </w:pPr>
            <w:r>
              <w:rPr>
                <w:color w:val="auto"/>
                <w:sz w:val="21"/>
                <w:szCs w:val="21"/>
                <w:highlight w:val="none"/>
                <w:lang w:eastAsia="en-US"/>
              </w:rPr>
              <w:t>磋商响应函</w:t>
            </w:r>
          </w:p>
        </w:tc>
        <w:tc>
          <w:tcPr>
            <w:tcW w:w="2417" w:type="dxa"/>
            <w:tcBorders>
              <w:right w:val="single" w:color="000000" w:sz="6" w:space="0"/>
            </w:tcBorders>
            <w:shd w:val="clear" w:color="auto" w:fill="auto"/>
            <w:vAlign w:val="center"/>
          </w:tcPr>
          <w:p w14:paraId="3AF81712">
            <w:pPr>
              <w:pStyle w:val="35"/>
              <w:spacing w:line="360" w:lineRule="auto"/>
              <w:ind w:right="150"/>
              <w:jc w:val="center"/>
              <w:rPr>
                <w:color w:val="auto"/>
                <w:sz w:val="21"/>
                <w:szCs w:val="21"/>
                <w:highlight w:val="none"/>
              </w:rPr>
            </w:pPr>
            <w:r>
              <w:rPr>
                <w:color w:val="auto"/>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70147FCA">
            <w:pPr>
              <w:pStyle w:val="3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605A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08972472">
            <w:pPr>
              <w:pStyle w:val="35"/>
              <w:spacing w:before="184"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763" w:type="dxa"/>
            <w:shd w:val="clear" w:color="auto" w:fill="auto"/>
            <w:vAlign w:val="center"/>
          </w:tcPr>
          <w:p w14:paraId="29CF6F69">
            <w:pPr>
              <w:pStyle w:val="35"/>
              <w:spacing w:before="158" w:line="360" w:lineRule="auto"/>
              <w:ind w:left="107" w:right="91"/>
              <w:jc w:val="center"/>
              <w:rPr>
                <w:color w:val="auto"/>
                <w:sz w:val="21"/>
                <w:szCs w:val="21"/>
                <w:highlight w:val="none"/>
                <w:lang w:eastAsia="en-US"/>
              </w:rPr>
            </w:pPr>
            <w:r>
              <w:rPr>
                <w:color w:val="auto"/>
                <w:sz w:val="21"/>
                <w:szCs w:val="21"/>
                <w:highlight w:val="none"/>
                <w:lang w:eastAsia="en-US"/>
              </w:rPr>
              <w:t>磋商授权书</w:t>
            </w:r>
          </w:p>
        </w:tc>
        <w:tc>
          <w:tcPr>
            <w:tcW w:w="2417" w:type="dxa"/>
            <w:tcBorders>
              <w:right w:val="single" w:color="000000" w:sz="6" w:space="0"/>
            </w:tcBorders>
            <w:shd w:val="clear" w:color="auto" w:fill="auto"/>
            <w:vAlign w:val="center"/>
          </w:tcPr>
          <w:p w14:paraId="0F9777C0">
            <w:pPr>
              <w:pStyle w:val="35"/>
              <w:spacing w:line="360" w:lineRule="auto"/>
              <w:ind w:left="172" w:right="83" w:hanging="68"/>
              <w:jc w:val="center"/>
              <w:rPr>
                <w:color w:val="auto"/>
                <w:sz w:val="21"/>
                <w:szCs w:val="21"/>
                <w:highlight w:val="none"/>
              </w:rPr>
            </w:pPr>
            <w:r>
              <w:rPr>
                <w:color w:val="auto"/>
                <w:highlight w:val="none"/>
              </w:rPr>
              <w:t>格式、填写要求符合磋商文件规定并加盖供应商公章</w:t>
            </w:r>
          </w:p>
        </w:tc>
        <w:tc>
          <w:tcPr>
            <w:tcW w:w="3601" w:type="dxa"/>
            <w:tcBorders>
              <w:left w:val="single" w:color="000000" w:sz="6" w:space="0"/>
            </w:tcBorders>
            <w:shd w:val="clear" w:color="auto" w:fill="auto"/>
            <w:vAlign w:val="center"/>
          </w:tcPr>
          <w:p w14:paraId="3975E629">
            <w:pPr>
              <w:pStyle w:val="3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color w:val="auto"/>
                <w:sz w:val="21"/>
                <w:szCs w:val="21"/>
                <w:highlight w:val="none"/>
              </w:rPr>
            </w:pPr>
            <w:r>
              <w:rPr>
                <w:color w:val="auto"/>
                <w:sz w:val="21"/>
                <w:szCs w:val="21"/>
                <w:highlight w:val="none"/>
              </w:rPr>
              <w:t>法定代表人参加磋商的无需此件， 提供身份证明即可。详见第六章响应文件格式</w:t>
            </w:r>
          </w:p>
        </w:tc>
      </w:tr>
      <w:tr w14:paraId="7B53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77464AD7">
            <w:pPr>
              <w:pStyle w:val="35"/>
              <w:spacing w:before="184" w:line="360" w:lineRule="auto"/>
              <w:ind w:left="19" w:left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1763" w:type="dxa"/>
            <w:shd w:val="clear" w:color="auto" w:fill="auto"/>
            <w:vAlign w:val="center"/>
          </w:tcPr>
          <w:p w14:paraId="5A9A9EA3">
            <w:pPr>
              <w:pStyle w:val="35"/>
              <w:spacing w:before="158" w:line="360" w:lineRule="auto"/>
              <w:ind w:left="107" w:leftChars="0" w:right="91" w:rightChars="0"/>
              <w:jc w:val="center"/>
              <w:rPr>
                <w:color w:val="auto"/>
                <w:sz w:val="21"/>
                <w:szCs w:val="21"/>
                <w:highlight w:val="none"/>
                <w:lang w:eastAsia="en-US"/>
              </w:rPr>
            </w:pPr>
            <w:r>
              <w:rPr>
                <w:rFonts w:hint="eastAsia"/>
                <w:color w:val="auto"/>
                <w:sz w:val="21"/>
                <w:szCs w:val="21"/>
                <w:highlight w:val="none"/>
                <w:lang w:val="en-US" w:eastAsia="zh-CN"/>
              </w:rPr>
              <w:t>电子响应文件</w:t>
            </w:r>
          </w:p>
        </w:tc>
        <w:tc>
          <w:tcPr>
            <w:tcW w:w="2417" w:type="dxa"/>
            <w:tcBorders>
              <w:right w:val="single" w:color="000000" w:sz="6" w:space="0"/>
            </w:tcBorders>
            <w:shd w:val="clear" w:color="auto" w:fill="auto"/>
            <w:vAlign w:val="center"/>
          </w:tcPr>
          <w:p w14:paraId="4F618E2E">
            <w:pPr>
              <w:pStyle w:val="35"/>
              <w:spacing w:line="360" w:lineRule="auto"/>
              <w:ind w:left="141" w:leftChars="0" w:right="121" w:rightChars="0" w:firstLine="2" w:firstLineChars="0"/>
              <w:jc w:val="center"/>
              <w:rPr>
                <w:color w:val="auto"/>
                <w:sz w:val="21"/>
                <w:szCs w:val="21"/>
                <w:highlight w:val="none"/>
              </w:rPr>
            </w:pPr>
            <w:r>
              <w:rPr>
                <w:color w:val="auto"/>
                <w:sz w:val="21"/>
                <w:szCs w:val="21"/>
                <w:highlight w:val="none"/>
              </w:rPr>
              <w:t>符合磋商文件</w:t>
            </w:r>
            <w:r>
              <w:rPr>
                <w:color w:val="auto"/>
                <w:spacing w:val="-15"/>
                <w:sz w:val="21"/>
                <w:szCs w:val="21"/>
                <w:highlight w:val="none"/>
              </w:rPr>
              <w:t>要求</w:t>
            </w:r>
          </w:p>
        </w:tc>
        <w:tc>
          <w:tcPr>
            <w:tcW w:w="3601" w:type="dxa"/>
            <w:tcBorders>
              <w:left w:val="single" w:color="000000" w:sz="6" w:space="0"/>
            </w:tcBorders>
            <w:shd w:val="clear" w:color="auto" w:fill="auto"/>
            <w:vAlign w:val="center"/>
          </w:tcPr>
          <w:p w14:paraId="7015BF46">
            <w:pPr>
              <w:pStyle w:val="3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rightChars="0"/>
              <w:textAlignment w:val="auto"/>
              <w:rPr>
                <w:color w:val="auto"/>
                <w:sz w:val="21"/>
                <w:szCs w:val="21"/>
                <w:highlight w:val="none"/>
              </w:rPr>
            </w:pPr>
          </w:p>
        </w:tc>
      </w:tr>
      <w:tr w14:paraId="7DDF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09B75496">
            <w:pPr>
              <w:pStyle w:val="35"/>
              <w:spacing w:before="184" w:line="360" w:lineRule="auto"/>
              <w:ind w:left="19" w:left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5</w:t>
            </w:r>
          </w:p>
        </w:tc>
        <w:tc>
          <w:tcPr>
            <w:tcW w:w="1763" w:type="dxa"/>
            <w:shd w:val="clear" w:color="auto" w:fill="auto"/>
            <w:vAlign w:val="center"/>
          </w:tcPr>
          <w:p w14:paraId="451D9162">
            <w:pPr>
              <w:pStyle w:val="35"/>
              <w:spacing w:before="158" w:line="360" w:lineRule="auto"/>
              <w:ind w:left="107" w:leftChars="0" w:right="91" w:rightChars="0"/>
              <w:jc w:val="center"/>
              <w:rPr>
                <w:color w:val="auto"/>
                <w:sz w:val="21"/>
                <w:szCs w:val="21"/>
                <w:highlight w:val="none"/>
                <w:lang w:eastAsia="en-US"/>
              </w:rPr>
            </w:pPr>
            <w:r>
              <w:rPr>
                <w:color w:val="auto"/>
                <w:sz w:val="21"/>
                <w:szCs w:val="21"/>
                <w:highlight w:val="none"/>
                <w:lang w:eastAsia="en-US"/>
              </w:rPr>
              <w:t>磋商报价</w:t>
            </w:r>
          </w:p>
        </w:tc>
        <w:tc>
          <w:tcPr>
            <w:tcW w:w="2417" w:type="dxa"/>
            <w:tcBorders>
              <w:right w:val="single" w:color="000000" w:sz="6" w:space="0"/>
            </w:tcBorders>
            <w:shd w:val="clear" w:color="auto" w:fill="auto"/>
            <w:vAlign w:val="center"/>
          </w:tcPr>
          <w:p w14:paraId="7D1F4D7E">
            <w:pPr>
              <w:pStyle w:val="35"/>
              <w:spacing w:line="360" w:lineRule="auto"/>
              <w:ind w:left="141" w:leftChars="0" w:right="121" w:rightChars="0" w:firstLine="2" w:firstLineChars="0"/>
              <w:jc w:val="center"/>
              <w:rPr>
                <w:color w:val="auto"/>
                <w:sz w:val="21"/>
                <w:szCs w:val="21"/>
                <w:highlight w:val="none"/>
              </w:rPr>
            </w:pPr>
            <w:r>
              <w:rPr>
                <w:color w:val="auto"/>
                <w:sz w:val="21"/>
                <w:szCs w:val="21"/>
                <w:highlight w:val="none"/>
              </w:rPr>
              <w:t>符合磋商文件</w:t>
            </w:r>
            <w:r>
              <w:rPr>
                <w:color w:val="auto"/>
                <w:spacing w:val="-15"/>
                <w:sz w:val="21"/>
                <w:szCs w:val="21"/>
                <w:highlight w:val="none"/>
              </w:rPr>
              <w:t>要求</w:t>
            </w:r>
          </w:p>
        </w:tc>
        <w:tc>
          <w:tcPr>
            <w:tcW w:w="3601" w:type="dxa"/>
            <w:tcBorders>
              <w:left w:val="single" w:color="000000" w:sz="6" w:space="0"/>
            </w:tcBorders>
            <w:shd w:val="clear" w:color="auto" w:fill="auto"/>
            <w:vAlign w:val="center"/>
          </w:tcPr>
          <w:p w14:paraId="0D87E26F">
            <w:pPr>
              <w:pStyle w:val="3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rightChars="0"/>
              <w:textAlignment w:val="auto"/>
              <w:rPr>
                <w:color w:val="auto"/>
                <w:sz w:val="21"/>
                <w:szCs w:val="21"/>
                <w:highlight w:val="none"/>
              </w:rPr>
            </w:pPr>
            <w:r>
              <w:rPr>
                <w:color w:val="auto"/>
                <w:sz w:val="21"/>
                <w:szCs w:val="21"/>
                <w:highlight w:val="none"/>
              </w:rPr>
              <w:t>详见第六章响应文件格式</w:t>
            </w:r>
          </w:p>
        </w:tc>
      </w:tr>
      <w:tr w14:paraId="08DFC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7EE939A8">
            <w:pPr>
              <w:pStyle w:val="35"/>
              <w:spacing w:line="360" w:lineRule="auto"/>
              <w:ind w:left="19"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1763" w:type="dxa"/>
            <w:shd w:val="clear" w:color="auto" w:fill="auto"/>
            <w:vAlign w:val="center"/>
          </w:tcPr>
          <w:p w14:paraId="75548F2D">
            <w:pPr>
              <w:pStyle w:val="35"/>
              <w:spacing w:line="360" w:lineRule="auto"/>
              <w:ind w:right="74" w:rightChars="0"/>
              <w:jc w:val="center"/>
              <w:rPr>
                <w:rFonts w:ascii="宋体" w:hAnsi="宋体" w:eastAsia="宋体" w:cs="宋体"/>
                <w:color w:val="auto"/>
                <w:kern w:val="0"/>
                <w:sz w:val="21"/>
                <w:szCs w:val="21"/>
                <w:highlight w:val="none"/>
                <w:lang w:val="zh-CN" w:eastAsia="en-US" w:bidi="zh-CN"/>
              </w:rPr>
            </w:pPr>
            <w:r>
              <w:rPr>
                <w:color w:val="auto"/>
                <w:sz w:val="21"/>
                <w:szCs w:val="21"/>
                <w:highlight w:val="none"/>
                <w:lang w:eastAsia="en-US"/>
              </w:rPr>
              <w:t>商务响应情况</w:t>
            </w:r>
          </w:p>
        </w:tc>
        <w:tc>
          <w:tcPr>
            <w:tcW w:w="2417" w:type="dxa"/>
            <w:tcBorders>
              <w:right w:val="single" w:color="000000" w:sz="6" w:space="0"/>
            </w:tcBorders>
            <w:shd w:val="clear" w:color="auto" w:fill="auto"/>
            <w:vAlign w:val="center"/>
          </w:tcPr>
          <w:p w14:paraId="3760BC29">
            <w:pPr>
              <w:pStyle w:val="35"/>
              <w:spacing w:line="360" w:lineRule="auto"/>
              <w:ind w:left="105" w:leftChars="0" w:right="83" w:rightChars="0"/>
              <w:jc w:val="center"/>
              <w:rPr>
                <w:rFonts w:ascii="宋体" w:hAnsi="宋体" w:eastAsia="宋体" w:cs="宋体"/>
                <w:color w:val="auto"/>
                <w:kern w:val="0"/>
                <w:sz w:val="21"/>
                <w:szCs w:val="21"/>
                <w:highlight w:val="none"/>
                <w:lang w:val="zh-CN" w:eastAsia="en-US" w:bidi="zh-CN"/>
              </w:rPr>
            </w:pPr>
            <w:r>
              <w:rPr>
                <w:color w:val="auto"/>
                <w:sz w:val="21"/>
                <w:szCs w:val="21"/>
                <w:highlight w:val="none"/>
              </w:rPr>
              <w:t>符合磋商文件要求</w:t>
            </w:r>
          </w:p>
        </w:tc>
        <w:tc>
          <w:tcPr>
            <w:tcW w:w="3601" w:type="dxa"/>
            <w:tcBorders>
              <w:left w:val="single" w:color="000000" w:sz="6" w:space="0"/>
            </w:tcBorders>
            <w:shd w:val="clear" w:color="auto" w:fill="auto"/>
            <w:vAlign w:val="center"/>
          </w:tcPr>
          <w:p w14:paraId="51B2B923">
            <w:pPr>
              <w:pStyle w:val="3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rightChars="0"/>
              <w:textAlignment w:val="auto"/>
              <w:rPr>
                <w:rFonts w:ascii="宋体" w:hAnsi="宋体" w:eastAsia="宋体" w:cs="宋体"/>
                <w:color w:val="auto"/>
                <w:sz w:val="21"/>
                <w:szCs w:val="21"/>
                <w:highlight w:val="none"/>
                <w:lang w:eastAsia="en-US"/>
              </w:rPr>
            </w:pPr>
            <w:r>
              <w:rPr>
                <w:color w:val="auto"/>
                <w:sz w:val="21"/>
                <w:szCs w:val="21"/>
                <w:highlight w:val="none"/>
              </w:rPr>
              <w:t>详见第六章响应文件格式</w:t>
            </w:r>
          </w:p>
        </w:tc>
      </w:tr>
      <w:tr w14:paraId="7B36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0B7D547B">
            <w:pPr>
              <w:pStyle w:val="35"/>
              <w:spacing w:line="360" w:lineRule="auto"/>
              <w:ind w:left="102" w:leftChars="0" w:right="83" w:right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1763" w:type="dxa"/>
            <w:shd w:val="clear" w:color="auto" w:fill="auto"/>
            <w:vAlign w:val="center"/>
          </w:tcPr>
          <w:p w14:paraId="471E3883">
            <w:pPr>
              <w:pStyle w:val="35"/>
              <w:spacing w:line="360" w:lineRule="auto"/>
              <w:ind w:left="107" w:leftChars="0" w:right="91" w:rightChars="0"/>
              <w:jc w:val="center"/>
              <w:rPr>
                <w:color w:val="auto"/>
                <w:sz w:val="21"/>
                <w:szCs w:val="21"/>
                <w:highlight w:val="none"/>
                <w:lang w:eastAsia="en-US"/>
              </w:rPr>
            </w:pPr>
            <w:r>
              <w:rPr>
                <w:color w:val="auto"/>
                <w:sz w:val="21"/>
                <w:szCs w:val="21"/>
                <w:highlight w:val="none"/>
                <w:lang w:eastAsia="en-US"/>
              </w:rPr>
              <w:t>其他要求</w:t>
            </w:r>
          </w:p>
        </w:tc>
        <w:tc>
          <w:tcPr>
            <w:tcW w:w="2417" w:type="dxa"/>
            <w:tcBorders>
              <w:right w:val="single" w:color="000000" w:sz="6" w:space="0"/>
            </w:tcBorders>
            <w:shd w:val="clear" w:color="auto" w:fill="auto"/>
            <w:vAlign w:val="center"/>
          </w:tcPr>
          <w:p w14:paraId="640775C1">
            <w:pPr>
              <w:pStyle w:val="35"/>
              <w:spacing w:line="360" w:lineRule="auto"/>
              <w:ind w:left="105" w:leftChars="0" w:right="83" w:rightChars="0"/>
              <w:jc w:val="center"/>
              <w:rPr>
                <w:color w:val="auto"/>
                <w:sz w:val="21"/>
                <w:szCs w:val="21"/>
                <w:highlight w:val="none"/>
              </w:rPr>
            </w:pPr>
            <w:r>
              <w:rPr>
                <w:color w:val="auto"/>
                <w:spacing w:val="-16"/>
                <w:sz w:val="21"/>
                <w:szCs w:val="21"/>
                <w:highlight w:val="none"/>
              </w:rPr>
              <w:t>符合法律、行政法规</w:t>
            </w:r>
            <w:r>
              <w:rPr>
                <w:color w:val="auto"/>
                <w:sz w:val="21"/>
                <w:szCs w:val="21"/>
                <w:highlight w:val="none"/>
              </w:rPr>
              <w:t>规定的其他条件或磋商文件列明的其他要求</w:t>
            </w:r>
          </w:p>
        </w:tc>
        <w:tc>
          <w:tcPr>
            <w:tcW w:w="3601" w:type="dxa"/>
            <w:tcBorders>
              <w:left w:val="single" w:color="000000" w:sz="6" w:space="0"/>
            </w:tcBorders>
            <w:shd w:val="clear" w:color="auto" w:fill="auto"/>
            <w:vAlign w:val="center"/>
          </w:tcPr>
          <w:p w14:paraId="47E257F2">
            <w:pPr>
              <w:pStyle w:val="35"/>
              <w:spacing w:line="360" w:lineRule="auto"/>
              <w:rPr>
                <w:color w:val="auto"/>
                <w:sz w:val="21"/>
                <w:szCs w:val="21"/>
                <w:highlight w:val="none"/>
              </w:rPr>
            </w:pPr>
            <w:r>
              <w:rPr>
                <w:rFonts w:hint="eastAsia"/>
                <w:color w:val="auto"/>
                <w:sz w:val="21"/>
                <w:szCs w:val="21"/>
                <w:highlight w:val="none"/>
              </w:rPr>
              <w:t xml:space="preserve">    </w:t>
            </w:r>
          </w:p>
        </w:tc>
      </w:tr>
    </w:tbl>
    <w:p w14:paraId="0CD2AFA4">
      <w:pPr>
        <w:spacing w:before="1" w:line="360" w:lineRule="auto"/>
        <w:ind w:left="669"/>
        <w:rPr>
          <w:rFonts w:ascii="宋体" w:hAnsi="宋体"/>
          <w:color w:val="auto"/>
          <w:highlight w:val="none"/>
        </w:rPr>
      </w:pPr>
      <w:r>
        <w:rPr>
          <w:rFonts w:ascii="宋体" w:hAnsi="宋体"/>
          <w:b/>
          <w:color w:val="auto"/>
          <w:highlight w:val="none"/>
        </w:rPr>
        <w:t>初审指标通过标准：</w:t>
      </w:r>
      <w:r>
        <w:rPr>
          <w:rFonts w:ascii="宋体" w:hAnsi="宋体"/>
          <w:color w:val="auto"/>
          <w:highlight w:val="none"/>
        </w:rPr>
        <w:t>供应商必须通过初审表中的全部评审指标。</w:t>
      </w:r>
    </w:p>
    <w:p w14:paraId="56DE8197">
      <w:pPr>
        <w:pStyle w:val="11"/>
        <w:rPr>
          <w:rFonts w:ascii="宋体" w:hAnsi="宋体"/>
          <w:color w:val="auto"/>
          <w:highlight w:val="none"/>
        </w:rPr>
      </w:pPr>
    </w:p>
    <w:p w14:paraId="56E9FF55">
      <w:pPr>
        <w:pStyle w:val="9"/>
        <w:numPr>
          <w:ilvl w:val="1"/>
          <w:numId w:val="21"/>
        </w:numPr>
        <w:rPr>
          <w:color w:val="auto"/>
          <w:highlight w:val="none"/>
        </w:rPr>
      </w:pPr>
      <w:r>
        <w:rPr>
          <w:rFonts w:hint="eastAsia"/>
          <w:color w:val="auto"/>
          <w:highlight w:val="none"/>
        </w:rPr>
        <w:t xml:space="preserve"> </w:t>
      </w:r>
      <w:r>
        <w:rPr>
          <w:color w:val="auto"/>
          <w:highlight w:val="none"/>
        </w:rPr>
        <w:t>综合评分</w:t>
      </w:r>
    </w:p>
    <w:p w14:paraId="15DABD95">
      <w:pPr>
        <w:pStyle w:val="37"/>
        <w:numPr>
          <w:ilvl w:val="2"/>
          <w:numId w:val="21"/>
        </w:numPr>
        <w:tabs>
          <w:tab w:val="left" w:pos="1313"/>
        </w:tabs>
        <w:spacing w:before="158" w:line="360" w:lineRule="auto"/>
        <w:rPr>
          <w:color w:val="auto"/>
          <w:sz w:val="21"/>
          <w:szCs w:val="21"/>
          <w:highlight w:val="none"/>
        </w:rPr>
      </w:pPr>
      <w:r>
        <w:rPr>
          <w:color w:val="auto"/>
          <w:sz w:val="21"/>
          <w:szCs w:val="21"/>
          <w:highlight w:val="none"/>
        </w:rPr>
        <w:t>磋商小组按照下表对进入综合评分的所有供应商的响应文件进行综合</w:t>
      </w:r>
      <w:r>
        <w:rPr>
          <w:rFonts w:hint="eastAsia"/>
          <w:color w:val="auto"/>
          <w:sz w:val="21"/>
          <w:szCs w:val="21"/>
          <w:highlight w:val="none"/>
        </w:rPr>
        <w:t>评分。</w:t>
      </w:r>
    </w:p>
    <w:p w14:paraId="481A6E59">
      <w:pPr>
        <w:pStyle w:val="37"/>
        <w:numPr>
          <w:ilvl w:val="2"/>
          <w:numId w:val="21"/>
        </w:numPr>
        <w:tabs>
          <w:tab w:val="left" w:pos="834"/>
          <w:tab w:val="left" w:pos="1330"/>
          <w:tab w:val="left" w:pos="4435"/>
        </w:tabs>
        <w:spacing w:before="160" w:after="6" w:line="360" w:lineRule="auto"/>
        <w:ind w:left="234" w:right="371" w:firstLine="434"/>
        <w:rPr>
          <w:color w:val="auto"/>
          <w:sz w:val="21"/>
          <w:szCs w:val="21"/>
          <w:highlight w:val="none"/>
        </w:rPr>
      </w:pPr>
      <w:r>
        <w:rPr>
          <w:color w:val="auto"/>
          <w:sz w:val="21"/>
          <w:szCs w:val="21"/>
          <w:highlight w:val="none"/>
        </w:rPr>
        <w:t>本项目综合评分满分为</w:t>
      </w:r>
      <w:r>
        <w:rPr>
          <w:color w:val="auto"/>
          <w:spacing w:val="-60"/>
          <w:sz w:val="21"/>
          <w:szCs w:val="21"/>
          <w:highlight w:val="none"/>
        </w:rPr>
        <w:t xml:space="preserve"> </w:t>
      </w:r>
      <w:r>
        <w:rPr>
          <w:color w:val="auto"/>
          <w:sz w:val="21"/>
          <w:szCs w:val="21"/>
          <w:highlight w:val="none"/>
        </w:rPr>
        <w:t>100</w:t>
      </w:r>
      <w:r>
        <w:rPr>
          <w:color w:val="auto"/>
          <w:spacing w:val="-60"/>
          <w:sz w:val="21"/>
          <w:szCs w:val="21"/>
          <w:highlight w:val="none"/>
        </w:rPr>
        <w:t xml:space="preserve"> </w:t>
      </w:r>
      <w:r>
        <w:rPr>
          <w:color w:val="auto"/>
          <w:sz w:val="21"/>
          <w:szCs w:val="21"/>
          <w:highlight w:val="none"/>
        </w:rPr>
        <w:t>分</w:t>
      </w:r>
      <w:r>
        <w:rPr>
          <w:color w:val="auto"/>
          <w:spacing w:val="-8"/>
          <w:sz w:val="21"/>
          <w:szCs w:val="21"/>
          <w:highlight w:val="none"/>
        </w:rPr>
        <w:t>，</w:t>
      </w:r>
      <w:r>
        <w:rPr>
          <w:color w:val="auto"/>
          <w:sz w:val="21"/>
          <w:szCs w:val="21"/>
          <w:highlight w:val="none"/>
        </w:rPr>
        <w:t>其中</w:t>
      </w:r>
      <w:r>
        <w:rPr>
          <w:color w:val="auto"/>
          <w:spacing w:val="-10"/>
          <w:sz w:val="21"/>
          <w:szCs w:val="21"/>
          <w:highlight w:val="none"/>
        </w:rPr>
        <w:t>：</w:t>
      </w:r>
      <w:r>
        <w:rPr>
          <w:color w:val="auto"/>
          <w:sz w:val="21"/>
          <w:szCs w:val="21"/>
          <w:highlight w:val="none"/>
        </w:rPr>
        <w:t>技术资信分值占总分值的权</w:t>
      </w:r>
      <w:r>
        <w:rPr>
          <w:color w:val="auto"/>
          <w:spacing w:val="-15"/>
          <w:sz w:val="21"/>
          <w:szCs w:val="21"/>
          <w:highlight w:val="none"/>
        </w:rPr>
        <w:t>重</w:t>
      </w:r>
      <w:r>
        <w:rPr>
          <w:color w:val="auto"/>
          <w:sz w:val="21"/>
          <w:szCs w:val="21"/>
          <w:highlight w:val="none"/>
        </w:rPr>
        <w:t>为</w:t>
      </w:r>
      <w:r>
        <w:rPr>
          <w:rFonts w:hint="eastAsia"/>
          <w:color w:val="auto"/>
          <w:sz w:val="21"/>
          <w:szCs w:val="21"/>
          <w:highlight w:val="none"/>
          <w:u w:val="single"/>
          <w:lang w:val="en-US" w:eastAsia="zh-CN"/>
        </w:rPr>
        <w:t>90</w:t>
      </w:r>
      <w:r>
        <w:rPr>
          <w:color w:val="auto"/>
          <w:sz w:val="21"/>
          <w:szCs w:val="21"/>
          <w:highlight w:val="none"/>
          <w:u w:val="single"/>
        </w:rPr>
        <w:t>%</w:t>
      </w:r>
      <w:r>
        <w:rPr>
          <w:color w:val="auto"/>
          <w:sz w:val="21"/>
          <w:szCs w:val="21"/>
          <w:highlight w:val="none"/>
        </w:rPr>
        <w:t>，价格分值占总分值的权重为</w:t>
      </w:r>
      <w:r>
        <w:rPr>
          <w:rFonts w:hint="eastAsia"/>
          <w:color w:val="auto"/>
          <w:sz w:val="21"/>
          <w:szCs w:val="21"/>
          <w:highlight w:val="none"/>
          <w:u w:val="single"/>
          <w:lang w:val="en-US" w:eastAsia="zh-CN"/>
        </w:rPr>
        <w:t>10</w:t>
      </w:r>
      <w:r>
        <w:rPr>
          <w:color w:val="auto"/>
          <w:sz w:val="21"/>
          <w:szCs w:val="21"/>
          <w:highlight w:val="none"/>
          <w:u w:val="single"/>
        </w:rPr>
        <w:t>%</w:t>
      </w:r>
      <w:r>
        <w:rPr>
          <w:color w:val="auto"/>
          <w:sz w:val="21"/>
          <w:szCs w:val="21"/>
          <w:highlight w:val="none"/>
        </w:rPr>
        <w:t>。具体评分细则如下：</w:t>
      </w:r>
    </w:p>
    <w:tbl>
      <w:tblPr>
        <w:tblStyle w:val="1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388"/>
        <w:gridCol w:w="4606"/>
        <w:gridCol w:w="1194"/>
      </w:tblGrid>
      <w:tr w14:paraId="4246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tcBorders>
              <w:top w:val="single" w:color="auto" w:sz="4" w:space="0"/>
              <w:left w:val="single" w:color="auto" w:sz="4" w:space="0"/>
              <w:bottom w:val="single" w:color="auto" w:sz="4" w:space="0"/>
              <w:right w:val="single" w:color="auto" w:sz="4" w:space="0"/>
            </w:tcBorders>
            <w:vAlign w:val="center"/>
          </w:tcPr>
          <w:p w14:paraId="7F0FDC4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4010791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438ABA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89" w:type="pct"/>
            <w:tcBorders>
              <w:top w:val="single" w:color="auto" w:sz="4" w:space="0"/>
              <w:left w:val="single" w:color="auto" w:sz="4" w:space="0"/>
              <w:bottom w:val="single" w:color="auto" w:sz="4" w:space="0"/>
              <w:right w:val="single" w:color="auto" w:sz="4" w:space="0"/>
            </w:tcBorders>
            <w:vAlign w:val="center"/>
          </w:tcPr>
          <w:p w14:paraId="0D20C53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5F27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5" w:type="pct"/>
            <w:vMerge w:val="restart"/>
            <w:tcBorders>
              <w:top w:val="single" w:color="auto" w:sz="4" w:space="0"/>
              <w:left w:val="single" w:color="auto" w:sz="4" w:space="0"/>
              <w:right w:val="single" w:color="auto" w:sz="4" w:space="0"/>
            </w:tcBorders>
            <w:vAlign w:val="center"/>
          </w:tcPr>
          <w:p w14:paraId="72E330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32FD83A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802" w:type="pct"/>
            <w:tcBorders>
              <w:top w:val="single" w:color="auto" w:sz="4" w:space="0"/>
              <w:left w:val="single" w:color="auto" w:sz="4" w:space="0"/>
              <w:bottom w:val="single" w:color="auto" w:sz="4" w:space="0"/>
              <w:right w:val="single" w:color="auto" w:sz="4" w:space="0"/>
            </w:tcBorders>
            <w:vAlign w:val="center"/>
          </w:tcPr>
          <w:p w14:paraId="27F0C7B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38F52E69">
            <w:pPr>
              <w:keepNext w:val="0"/>
              <w:keepLines w:val="0"/>
              <w:pageBreakBefore w:val="0"/>
              <w:widowControl w:val="0"/>
              <w:numPr>
                <w:ilvl w:val="0"/>
                <w:numId w:val="22"/>
              </w:numPr>
              <w:kinsoku/>
              <w:wordWrap/>
              <w:overflowPunct/>
              <w:topLinePunct w:val="0"/>
              <w:autoSpaceDE/>
              <w:autoSpaceDN/>
              <w:bidi w:val="0"/>
              <w:adjustRightInd/>
              <w:snapToGrid/>
              <w:spacing w:before="181" w:line="240" w:lineRule="auto"/>
              <w:ind w:right="283" w:rightChars="0"/>
              <w:textAlignment w:val="auto"/>
              <w:rPr>
                <w:rFonts w:hint="eastAsia"/>
                <w:color w:val="auto"/>
                <w:lang w:val="zh-CN"/>
              </w:rPr>
            </w:pPr>
            <w:r>
              <w:rPr>
                <w:rFonts w:hint="eastAsia" w:asciiTheme="minorEastAsia" w:hAnsiTheme="minorEastAsia" w:eastAsiaTheme="minorEastAsia" w:cstheme="minorEastAsia"/>
                <w:b/>
                <w:bCs/>
                <w:color w:val="auto"/>
                <w:sz w:val="21"/>
                <w:szCs w:val="21"/>
                <w:highlight w:val="none"/>
                <w:lang w:val="zh-CN" w:eastAsia="zh-CN"/>
              </w:rPr>
              <w:t>对项目整体情况、目标、任务的理解</w:t>
            </w:r>
            <w:r>
              <w:rPr>
                <w:rFonts w:hint="eastAsia" w:asciiTheme="minorEastAsia" w:hAnsiTheme="minorEastAsia" w:eastAsiaTheme="minorEastAsia" w:cstheme="minorEastAsia"/>
                <w:b/>
                <w:bCs/>
                <w:color w:val="auto"/>
                <w:sz w:val="21"/>
                <w:szCs w:val="21"/>
                <w:highlight w:val="none"/>
                <w:lang w:val="zh-CN"/>
              </w:rPr>
              <w:t>；</w:t>
            </w:r>
          </w:p>
          <w:p w14:paraId="2EEBCCAD">
            <w:pPr>
              <w:keepNext w:val="0"/>
              <w:keepLines w:val="0"/>
              <w:pageBreakBefore w:val="0"/>
              <w:widowControl w:val="0"/>
              <w:numPr>
                <w:ilvl w:val="0"/>
                <w:numId w:val="22"/>
              </w:numPr>
              <w:kinsoku/>
              <w:wordWrap/>
              <w:overflowPunct/>
              <w:topLinePunct w:val="0"/>
              <w:autoSpaceDE/>
              <w:autoSpaceDN/>
              <w:bidi w:val="0"/>
              <w:adjustRightInd/>
              <w:snapToGrid/>
              <w:spacing w:before="181" w:line="240" w:lineRule="auto"/>
              <w:ind w:left="0" w:leftChars="0" w:right="283" w:rightChars="0" w:firstLine="0" w:firstLineChars="0"/>
              <w:textAlignment w:val="auto"/>
              <w:rPr>
                <w:rFonts w:hint="default"/>
                <w:color w:val="auto"/>
                <w:lang w:val="en-US" w:eastAsia="zh-CN"/>
              </w:rPr>
            </w:pPr>
            <w:r>
              <w:rPr>
                <w:rFonts w:hint="eastAsia" w:asciiTheme="minorEastAsia" w:hAnsiTheme="minorEastAsia" w:eastAsiaTheme="minorEastAsia" w:cstheme="minorEastAsia"/>
                <w:b/>
                <w:bCs/>
                <w:color w:val="auto"/>
                <w:sz w:val="21"/>
                <w:szCs w:val="21"/>
                <w:highlight w:val="none"/>
                <w:lang w:val="en-US" w:eastAsia="zh-CN"/>
              </w:rPr>
              <w:t>编制依据；</w:t>
            </w:r>
          </w:p>
          <w:p w14:paraId="5697CAD5">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right="283" w:right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3、质量保证</w:t>
            </w:r>
            <w:r>
              <w:rPr>
                <w:rFonts w:hint="eastAsia" w:asciiTheme="minorEastAsia" w:hAnsiTheme="minorEastAsia" w:eastAsiaTheme="minorEastAsia" w:cstheme="minorEastAsia"/>
                <w:b/>
                <w:bCs/>
                <w:color w:val="auto"/>
                <w:sz w:val="21"/>
                <w:szCs w:val="21"/>
                <w:highlight w:val="none"/>
                <w:lang w:val="zh-CN"/>
              </w:rPr>
              <w:t>措施；</w:t>
            </w:r>
          </w:p>
          <w:p w14:paraId="44B283BB">
            <w:pPr>
              <w:keepNext w:val="0"/>
              <w:keepLines w:val="0"/>
              <w:pageBreakBefore w:val="0"/>
              <w:widowControl w:val="0"/>
              <w:kinsoku/>
              <w:wordWrap/>
              <w:overflowPunct/>
              <w:topLinePunct w:val="0"/>
              <w:autoSpaceDE/>
              <w:autoSpaceDN/>
              <w:bidi w:val="0"/>
              <w:adjustRightInd/>
              <w:snapToGrid/>
              <w:spacing w:before="181" w:line="360" w:lineRule="auto"/>
              <w:ind w:right="283"/>
              <w:textAlignment w:val="auto"/>
              <w:rPr>
                <w:rFonts w:hint="eastAsia"/>
                <w:color w:val="auto"/>
                <w:lang w:val="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zh-CN"/>
              </w:rPr>
              <w:t>成果文件的移交及存档方案；</w:t>
            </w:r>
          </w:p>
          <w:p w14:paraId="164858C2">
            <w:pPr>
              <w:pStyle w:val="3"/>
              <w:spacing w:line="360" w:lineRule="auto"/>
              <w:ind w:left="0" w:leftChars="0" w:firstLine="0" w:firstLineChars="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5、风险控制方案及措施；</w:t>
            </w:r>
          </w:p>
          <w:p w14:paraId="4B6BE3FE">
            <w:pPr>
              <w:pStyle w:val="3"/>
              <w:spacing w:line="360" w:lineRule="auto"/>
              <w:ind w:left="0" w:leftChars="0" w:firstLine="0" w:firstLineChars="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zh-CN"/>
              </w:rPr>
              <w:t>重难点分析</w:t>
            </w:r>
            <w:r>
              <w:rPr>
                <w:rFonts w:hint="eastAsia" w:asciiTheme="minorEastAsia" w:hAnsiTheme="minorEastAsia" w:eastAsiaTheme="minorEastAsia" w:cstheme="minorEastAsia"/>
                <w:b/>
                <w:bCs/>
                <w:color w:val="auto"/>
                <w:sz w:val="21"/>
                <w:szCs w:val="21"/>
                <w:highlight w:val="none"/>
              </w:rPr>
              <w:t>及应对措施</w:t>
            </w:r>
            <w:r>
              <w:rPr>
                <w:rFonts w:hint="eastAsia" w:asciiTheme="minorEastAsia" w:hAnsiTheme="minorEastAsia" w:eastAsiaTheme="minorEastAsia" w:cstheme="minorEastAsia"/>
                <w:b/>
                <w:bCs/>
                <w:color w:val="auto"/>
                <w:sz w:val="21"/>
                <w:szCs w:val="21"/>
                <w:highlight w:val="none"/>
                <w:lang w:eastAsia="zh-CN"/>
              </w:rPr>
              <w:t>。</w:t>
            </w:r>
          </w:p>
          <w:p w14:paraId="6DF82E9A">
            <w:pPr>
              <w:spacing w:before="181" w:line="377" w:lineRule="auto"/>
              <w:ind w:left="113" w:right="10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kern w:val="2"/>
                <w:sz w:val="21"/>
                <w:szCs w:val="21"/>
                <w:highlight w:val="none"/>
                <w:lang w:val="en-US" w:eastAsia="zh-CN" w:bidi="ar-SA"/>
              </w:rPr>
              <w:t>以上6个小项，每项各9分，满分54分。磋商小组根据供应商提供的以上内容对每项进行综合评分：</w:t>
            </w:r>
            <w:r>
              <w:rPr>
                <w:rFonts w:hint="eastAsia" w:asciiTheme="minorEastAsia" w:hAnsiTheme="minorEastAsia" w:eastAsiaTheme="minorEastAsia" w:cstheme="minorEastAsia"/>
                <w:b/>
                <w:bCs/>
                <w:color w:val="auto"/>
              </w:rPr>
              <w:t xml:space="preserve"> </w:t>
            </w:r>
          </w:p>
          <w:p w14:paraId="313705AF">
            <w:pPr>
              <w:spacing w:before="181" w:line="377"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①</w:t>
            </w:r>
            <w:r>
              <w:rPr>
                <w:rFonts w:hint="eastAsia" w:asciiTheme="minorEastAsia" w:hAnsiTheme="minorEastAsia" w:eastAsiaTheme="minorEastAsia" w:cstheme="minorEastAsia"/>
                <w:color w:val="auto"/>
                <w:sz w:val="21"/>
                <w:szCs w:val="21"/>
                <w:highlight w:val="none"/>
                <w:lang w:val="zh-CN"/>
              </w:rPr>
              <w:t>方案完全覆盖采购需求要求并对项目内容进行补充，各项内容制定具体的实施方案，且方案条理清晰，利于项目实施，得</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zh-CN"/>
              </w:rPr>
              <w:t>分；</w:t>
            </w:r>
          </w:p>
          <w:p w14:paraId="59D89DB8">
            <w:pPr>
              <w:spacing w:before="181" w:line="377"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②</w:t>
            </w:r>
            <w:r>
              <w:rPr>
                <w:rFonts w:hint="eastAsia" w:asciiTheme="minorEastAsia" w:hAnsiTheme="minorEastAsia" w:eastAsiaTheme="minorEastAsia" w:cstheme="minorEastAsia"/>
                <w:color w:val="auto"/>
                <w:sz w:val="21"/>
                <w:szCs w:val="21"/>
                <w:highlight w:val="none"/>
                <w:lang w:val="zh-CN"/>
              </w:rPr>
              <w:t>方案完全覆盖采购需求要求并对内容进行补充，虽制定各项实施方案，但方案条理不清，得</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rPr>
              <w:t>-4</w:t>
            </w:r>
            <w:r>
              <w:rPr>
                <w:rFonts w:hint="eastAsia" w:asciiTheme="minorEastAsia" w:hAnsiTheme="minorEastAsia" w:eastAsiaTheme="minorEastAsia" w:cstheme="minorEastAsia"/>
                <w:color w:val="auto"/>
                <w:sz w:val="21"/>
                <w:szCs w:val="21"/>
                <w:highlight w:val="none"/>
                <w:lang w:val="zh-CN"/>
              </w:rPr>
              <w:t>分；</w:t>
            </w:r>
          </w:p>
          <w:p w14:paraId="7204AD58">
            <w:pPr>
              <w:spacing w:before="181" w:line="377"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③</w:t>
            </w:r>
            <w:r>
              <w:rPr>
                <w:rFonts w:hint="eastAsia" w:asciiTheme="minorEastAsia" w:hAnsiTheme="minorEastAsia" w:eastAsiaTheme="minorEastAsia" w:cstheme="minorEastAsia"/>
                <w:color w:val="auto"/>
                <w:sz w:val="21"/>
                <w:szCs w:val="21"/>
                <w:highlight w:val="none"/>
                <w:lang w:val="zh-CN"/>
              </w:rPr>
              <w:t>方案未完全覆盖采购需求要求，有缺项漏项的，且所提供方案条理不清，不适用本项目，得</w:t>
            </w:r>
            <w:r>
              <w:rPr>
                <w:rFonts w:hint="eastAsia" w:asciiTheme="minorEastAsia" w:hAnsiTheme="minorEastAsia" w:eastAsiaTheme="minorEastAsia" w:cstheme="minorEastAsia"/>
                <w:color w:val="auto"/>
                <w:sz w:val="21"/>
                <w:szCs w:val="21"/>
                <w:highlight w:val="none"/>
                <w:lang w:val="en-US"/>
              </w:rPr>
              <w:t>3-1</w:t>
            </w:r>
            <w:r>
              <w:rPr>
                <w:rFonts w:hint="eastAsia" w:asciiTheme="minorEastAsia" w:hAnsiTheme="minorEastAsia" w:eastAsiaTheme="minorEastAsia" w:cstheme="minorEastAsia"/>
                <w:color w:val="auto"/>
                <w:sz w:val="21"/>
                <w:szCs w:val="21"/>
                <w:highlight w:val="none"/>
                <w:lang w:val="zh-CN"/>
              </w:rPr>
              <w:t>分；</w:t>
            </w:r>
          </w:p>
          <w:p w14:paraId="1E012645">
            <w:pPr>
              <w:spacing w:line="240" w:lineRule="auto"/>
              <w:jc w:val="left"/>
              <w:rPr>
                <w:rFonts w:hint="eastAsia" w:ascii="宋体" w:hAnsi="宋体" w:eastAsia="宋体" w:cs="宋体"/>
                <w:color w:val="auto"/>
                <w:sz w:val="21"/>
                <w:szCs w:val="21"/>
                <w:highlight w:val="none"/>
                <w:lang w:bidi="zh-CN"/>
              </w:rPr>
            </w:pPr>
            <w:r>
              <w:rPr>
                <w:rFonts w:hint="eastAsia" w:asciiTheme="minorEastAsia" w:hAnsiTheme="minorEastAsia" w:eastAsiaTheme="minorEastAsia" w:cstheme="minorEastAsia"/>
                <w:color w:val="auto"/>
                <w:sz w:val="21"/>
                <w:szCs w:val="21"/>
                <w:highlight w:val="none"/>
                <w:lang w:val="en-US"/>
              </w:rPr>
              <w:t>④</w:t>
            </w:r>
            <w:r>
              <w:rPr>
                <w:rFonts w:hint="eastAsia" w:asciiTheme="minorEastAsia" w:hAnsiTheme="minorEastAsia" w:eastAsiaTheme="minorEastAsia" w:cstheme="minorEastAsia"/>
                <w:color w:val="auto"/>
                <w:sz w:val="21"/>
                <w:szCs w:val="21"/>
                <w:highlight w:val="none"/>
                <w:lang w:val="zh-CN"/>
              </w:rPr>
              <w:t>未提供的不得分。</w:t>
            </w:r>
          </w:p>
        </w:tc>
        <w:tc>
          <w:tcPr>
            <w:tcW w:w="689" w:type="pct"/>
            <w:tcBorders>
              <w:top w:val="single" w:color="auto" w:sz="4" w:space="0"/>
              <w:left w:val="single" w:color="auto" w:sz="4" w:space="0"/>
              <w:bottom w:val="single" w:color="auto" w:sz="4" w:space="0"/>
              <w:right w:val="single" w:color="auto" w:sz="4" w:space="0"/>
            </w:tcBorders>
            <w:vAlign w:val="center"/>
          </w:tcPr>
          <w:p w14:paraId="67A07C28">
            <w:pPr>
              <w:spacing w:line="360" w:lineRule="auto"/>
              <w:jc w:val="center"/>
              <w:rPr>
                <w:rFonts w:hint="default"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cs="宋体"/>
                <w:b/>
                <w:color w:val="auto"/>
                <w:kern w:val="0"/>
                <w:sz w:val="21"/>
                <w:szCs w:val="21"/>
                <w:highlight w:val="none"/>
                <w:lang w:val="en-US" w:eastAsia="en-US" w:bidi="zh-CN"/>
              </w:rPr>
              <w:t>54</w:t>
            </w:r>
          </w:p>
        </w:tc>
      </w:tr>
      <w:tr w14:paraId="2B11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vMerge w:val="continue"/>
            <w:tcBorders>
              <w:left w:val="single" w:color="auto" w:sz="4" w:space="0"/>
              <w:right w:val="single" w:color="auto" w:sz="4" w:space="0"/>
            </w:tcBorders>
            <w:vAlign w:val="center"/>
          </w:tcPr>
          <w:p w14:paraId="0000230D">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152A3A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58ACCB3C">
            <w:pPr>
              <w:pStyle w:val="49"/>
              <w:spacing w:before="32" w:line="378" w:lineRule="auto"/>
              <w:ind w:left="10" w:firstLine="9"/>
              <w:rPr>
                <w:rFonts w:hint="eastAsia"/>
                <w:color w:val="auto"/>
                <w:spacing w:val="4"/>
                <w:sz w:val="21"/>
                <w:szCs w:val="21"/>
                <w:lang w:val="en-US" w:eastAsia="zh-CN"/>
              </w:rPr>
            </w:pPr>
            <w:r>
              <w:rPr>
                <w:rFonts w:hint="eastAsia"/>
                <w:color w:val="auto"/>
                <w:spacing w:val="4"/>
                <w:sz w:val="21"/>
                <w:szCs w:val="21"/>
                <w:lang w:val="en-US" w:eastAsia="zh-CN"/>
              </w:rPr>
              <w:t>1.项目负责人（1人，本项满分5分）</w:t>
            </w:r>
          </w:p>
          <w:p w14:paraId="65F82AAE">
            <w:pPr>
              <w:pStyle w:val="49"/>
              <w:spacing w:before="32" w:line="378" w:lineRule="auto"/>
              <w:ind w:left="10" w:firstLine="9"/>
              <w:rPr>
                <w:rFonts w:hint="eastAsia"/>
                <w:color w:val="auto"/>
                <w:spacing w:val="4"/>
                <w:sz w:val="21"/>
                <w:szCs w:val="21"/>
                <w:lang w:val="en-US" w:eastAsia="zh-CN"/>
              </w:rPr>
            </w:pPr>
            <w:r>
              <w:rPr>
                <w:rFonts w:hint="eastAsia"/>
                <w:color w:val="auto"/>
                <w:spacing w:val="4"/>
                <w:sz w:val="21"/>
                <w:szCs w:val="21"/>
                <w:lang w:val="en-US" w:eastAsia="zh-CN"/>
              </w:rPr>
              <w:t>①项目负责人具有咨询工程师（投资）证书的得2分；</w:t>
            </w:r>
          </w:p>
          <w:p w14:paraId="587975B4">
            <w:pPr>
              <w:pStyle w:val="49"/>
              <w:spacing w:before="32" w:line="378" w:lineRule="auto"/>
              <w:ind w:left="10" w:firstLine="9"/>
              <w:rPr>
                <w:rFonts w:hint="eastAsia"/>
                <w:color w:val="auto"/>
                <w:spacing w:val="4"/>
                <w:sz w:val="21"/>
                <w:szCs w:val="21"/>
                <w:lang w:val="en-US" w:eastAsia="zh-CN"/>
              </w:rPr>
            </w:pPr>
            <w:r>
              <w:rPr>
                <w:rFonts w:hint="eastAsia"/>
                <w:color w:val="auto"/>
                <w:spacing w:val="4"/>
                <w:sz w:val="21"/>
                <w:szCs w:val="21"/>
                <w:lang w:val="en-US" w:eastAsia="zh-CN"/>
              </w:rPr>
              <w:t>②项目负责人具有相关专业的中级职称的得2分,高级职称的得3分；</w:t>
            </w:r>
          </w:p>
          <w:p w14:paraId="7BCB98FE">
            <w:pPr>
              <w:pStyle w:val="49"/>
              <w:spacing w:before="32" w:line="378" w:lineRule="auto"/>
              <w:ind w:left="10" w:firstLine="9"/>
              <w:rPr>
                <w:rFonts w:hint="eastAsia"/>
                <w:color w:val="auto"/>
                <w:spacing w:val="4"/>
                <w:sz w:val="21"/>
                <w:szCs w:val="21"/>
                <w:lang w:val="en-US" w:eastAsia="zh-CN"/>
              </w:rPr>
            </w:pPr>
            <w:r>
              <w:rPr>
                <w:rFonts w:hint="eastAsia"/>
                <w:color w:val="auto"/>
                <w:spacing w:val="4"/>
                <w:sz w:val="21"/>
                <w:szCs w:val="21"/>
                <w:lang w:val="en-US" w:eastAsia="zh-CN"/>
              </w:rPr>
              <w:t>2.项目组成员（不含项目负责人，本项满分10分）</w:t>
            </w:r>
          </w:p>
          <w:p w14:paraId="330BC192">
            <w:pPr>
              <w:pStyle w:val="49"/>
              <w:spacing w:before="32" w:line="378" w:lineRule="auto"/>
              <w:ind w:left="10" w:firstLine="9"/>
              <w:rPr>
                <w:color w:val="auto"/>
                <w:sz w:val="21"/>
                <w:szCs w:val="21"/>
              </w:rPr>
            </w:pPr>
            <w:r>
              <w:rPr>
                <w:color w:val="auto"/>
                <w:spacing w:val="4"/>
                <w:sz w:val="21"/>
                <w:szCs w:val="21"/>
              </w:rPr>
              <w:t>除项目负责人外，项目服务团队人员中每配备一个咨询工程师（投资）</w:t>
            </w:r>
            <w:r>
              <w:rPr>
                <w:rFonts w:hint="eastAsia"/>
                <w:color w:val="auto"/>
                <w:spacing w:val="4"/>
                <w:sz w:val="21"/>
                <w:szCs w:val="21"/>
                <w:lang w:eastAsia="zh-CN"/>
              </w:rPr>
              <w:t>得</w:t>
            </w:r>
            <w:r>
              <w:rPr>
                <w:color w:val="auto"/>
                <w:spacing w:val="4"/>
                <w:sz w:val="21"/>
                <w:szCs w:val="21"/>
              </w:rPr>
              <w:t>2分，最多</w:t>
            </w:r>
            <w:r>
              <w:rPr>
                <w:rFonts w:hint="eastAsia"/>
                <w:color w:val="auto"/>
                <w:spacing w:val="4"/>
                <w:sz w:val="21"/>
                <w:szCs w:val="21"/>
                <w:lang w:eastAsia="zh-CN"/>
              </w:rPr>
              <w:t>得</w:t>
            </w:r>
            <w:r>
              <w:rPr>
                <w:rFonts w:hint="eastAsia"/>
                <w:color w:val="auto"/>
                <w:spacing w:val="4"/>
                <w:sz w:val="21"/>
                <w:szCs w:val="21"/>
                <w:lang w:val="en-US" w:eastAsia="zh-CN"/>
              </w:rPr>
              <w:t>10</w:t>
            </w:r>
            <w:r>
              <w:rPr>
                <w:color w:val="auto"/>
                <w:spacing w:val="4"/>
                <w:sz w:val="21"/>
                <w:szCs w:val="21"/>
              </w:rPr>
              <w:t>分。</w:t>
            </w:r>
          </w:p>
          <w:p w14:paraId="7797E9CF">
            <w:pPr>
              <w:keepNext w:val="0"/>
              <w:keepLines w:val="0"/>
              <w:widowControl/>
              <w:suppressLineNumbers w:val="0"/>
              <w:jc w:val="left"/>
              <w:rPr>
                <w:rFonts w:hint="default" w:eastAsia="仿宋_GB2312"/>
                <w:color w:val="auto"/>
                <w:lang w:val="en-US" w:eastAsia="zh-CN"/>
              </w:rPr>
            </w:pPr>
            <w:r>
              <w:rPr>
                <w:b/>
                <w:bCs/>
                <w:color w:val="auto"/>
                <w:spacing w:val="10"/>
                <w:sz w:val="21"/>
                <w:szCs w:val="21"/>
              </w:rPr>
              <w:t>注：提供</w:t>
            </w:r>
            <w:r>
              <w:rPr>
                <w:rFonts w:hint="eastAsia"/>
                <w:b/>
                <w:bCs/>
                <w:color w:val="auto"/>
                <w:spacing w:val="10"/>
                <w:sz w:val="21"/>
                <w:szCs w:val="21"/>
                <w:lang w:eastAsia="zh-CN"/>
              </w:rPr>
              <w:t>相关</w:t>
            </w:r>
            <w:r>
              <w:rPr>
                <w:b/>
                <w:bCs/>
                <w:color w:val="auto"/>
                <w:spacing w:val="10"/>
                <w:sz w:val="21"/>
                <w:szCs w:val="21"/>
              </w:rPr>
              <w:t>证书</w:t>
            </w:r>
            <w:r>
              <w:rPr>
                <w:rFonts w:hint="eastAsia"/>
                <w:b/>
                <w:bCs/>
                <w:color w:val="auto"/>
                <w:spacing w:val="10"/>
                <w:sz w:val="21"/>
                <w:szCs w:val="21"/>
                <w:lang w:eastAsia="zh-CN"/>
              </w:rPr>
              <w:t>扫描件或复印件</w:t>
            </w:r>
            <w:r>
              <w:rPr>
                <w:b/>
                <w:bCs/>
                <w:color w:val="auto"/>
                <w:spacing w:val="10"/>
                <w:sz w:val="21"/>
                <w:szCs w:val="21"/>
              </w:rPr>
              <w:t>及</w:t>
            </w:r>
            <w:r>
              <w:rPr>
                <w:rFonts w:hint="eastAsia"/>
                <w:b/>
                <w:bCs/>
                <w:color w:val="auto"/>
                <w:spacing w:val="10"/>
                <w:sz w:val="21"/>
                <w:szCs w:val="21"/>
                <w:lang w:eastAsia="zh-CN"/>
              </w:rPr>
              <w:t>近六个月</w:t>
            </w:r>
            <w:r>
              <w:rPr>
                <w:b/>
                <w:bCs/>
                <w:color w:val="auto"/>
                <w:spacing w:val="10"/>
                <w:sz w:val="21"/>
                <w:szCs w:val="21"/>
              </w:rPr>
              <w:t>任意一个</w:t>
            </w:r>
            <w:r>
              <w:rPr>
                <w:b/>
                <w:bCs/>
                <w:color w:val="auto"/>
                <w:spacing w:val="9"/>
                <w:sz w:val="21"/>
                <w:szCs w:val="21"/>
              </w:rPr>
              <w:t>月养</w:t>
            </w:r>
            <w:r>
              <w:rPr>
                <w:b/>
                <w:bCs/>
                <w:color w:val="auto"/>
                <w:spacing w:val="11"/>
                <w:sz w:val="21"/>
                <w:szCs w:val="21"/>
              </w:rPr>
              <w:t>老保险，在供应商分支机构（非独立法人）缴纳的视同在本单位缴纳。如因相关政策原因未及时缴纳的，需同时提供已缴纳的最近一个月社保证明及政</w:t>
            </w:r>
            <w:r>
              <w:rPr>
                <w:b/>
                <w:bCs/>
                <w:color w:val="auto"/>
                <w:spacing w:val="17"/>
                <w:sz w:val="21"/>
                <w:szCs w:val="21"/>
              </w:rPr>
              <w:t>府部门发布的相关政策文件，公司成立不足一个月的可不提供养老保险证</w:t>
            </w:r>
            <w:r>
              <w:rPr>
                <w:b/>
                <w:bCs/>
                <w:color w:val="auto"/>
                <w:spacing w:val="4"/>
                <w:sz w:val="21"/>
                <w:szCs w:val="21"/>
              </w:rPr>
              <w:t>明</w:t>
            </w:r>
            <w:r>
              <w:rPr>
                <w:b/>
                <w:bCs/>
                <w:color w:val="auto"/>
                <w:spacing w:val="1"/>
                <w:sz w:val="21"/>
                <w:szCs w:val="21"/>
              </w:rPr>
              <w:t>）</w:t>
            </w:r>
            <w:r>
              <w:rPr>
                <w:color w:val="auto"/>
                <w:spacing w:val="-54"/>
                <w:sz w:val="21"/>
                <w:szCs w:val="21"/>
              </w:rPr>
              <w:t xml:space="preserve"> </w:t>
            </w:r>
            <w:r>
              <w:rPr>
                <w:b/>
                <w:bCs/>
                <w:color w:val="auto"/>
                <w:spacing w:val="1"/>
                <w:sz w:val="21"/>
                <w:szCs w:val="21"/>
              </w:rPr>
              <w:t>），</w:t>
            </w:r>
            <w:r>
              <w:rPr>
                <w:b/>
                <w:bCs/>
                <w:color w:val="auto"/>
                <w:spacing w:val="4"/>
                <w:sz w:val="21"/>
                <w:szCs w:val="21"/>
              </w:rPr>
              <w:t>不提供不得分</w:t>
            </w:r>
            <w:r>
              <w:rPr>
                <w:rFonts w:hint="eastAsia"/>
                <w:b/>
                <w:bCs/>
                <w:color w:val="auto"/>
                <w:spacing w:val="4"/>
                <w:sz w:val="21"/>
                <w:szCs w:val="21"/>
                <w:lang w:eastAsia="zh-CN"/>
              </w:rPr>
              <w:t>；</w:t>
            </w:r>
          </w:p>
        </w:tc>
        <w:tc>
          <w:tcPr>
            <w:tcW w:w="689" w:type="pct"/>
            <w:tcBorders>
              <w:top w:val="single" w:color="auto" w:sz="4" w:space="0"/>
              <w:left w:val="single" w:color="auto" w:sz="4" w:space="0"/>
              <w:bottom w:val="single" w:color="auto" w:sz="4" w:space="0"/>
              <w:right w:val="single" w:color="auto" w:sz="4" w:space="0"/>
            </w:tcBorders>
            <w:vAlign w:val="center"/>
          </w:tcPr>
          <w:p w14:paraId="517D7D1C">
            <w:pPr>
              <w:spacing w:line="360" w:lineRule="auto"/>
              <w:jc w:val="center"/>
              <w:rPr>
                <w:rFonts w:hint="default"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cs="宋体"/>
                <w:b/>
                <w:color w:val="auto"/>
                <w:kern w:val="0"/>
                <w:sz w:val="21"/>
                <w:szCs w:val="21"/>
                <w:highlight w:val="none"/>
                <w:lang w:val="en-US" w:eastAsia="en-US" w:bidi="zh-CN"/>
              </w:rPr>
              <w:t>15</w:t>
            </w:r>
          </w:p>
        </w:tc>
      </w:tr>
      <w:tr w14:paraId="464F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vMerge w:val="continue"/>
            <w:tcBorders>
              <w:left w:val="single" w:color="auto" w:sz="4" w:space="0"/>
              <w:right w:val="single" w:color="auto" w:sz="4" w:space="0"/>
            </w:tcBorders>
            <w:vAlign w:val="center"/>
          </w:tcPr>
          <w:p w14:paraId="3875B5A2">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44E58C3A">
            <w:pPr>
              <w:spacing w:line="360" w:lineRule="auto"/>
              <w:jc w:val="center"/>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71C2F7D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年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 xml:space="preserve">1 月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 日以来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以合同签订时间为准，含正在履约业绩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，供应商具有</w:t>
            </w:r>
            <w:r>
              <w:rPr>
                <w:rFonts w:hint="eastAsia" w:ascii="宋体" w:hAnsi="宋体" w:cs="宋体"/>
                <w:color w:val="auto"/>
                <w:sz w:val="21"/>
                <w:szCs w:val="21"/>
                <w:highlight w:val="none"/>
                <w:lang w:val="en-US" w:eastAsia="zh-CN"/>
              </w:rPr>
              <w:t>综合能源项目或同类新能源项目</w:t>
            </w:r>
            <w:r>
              <w:rPr>
                <w:rFonts w:hint="eastAsia" w:ascii="宋体" w:hAnsi="宋体" w:eastAsia="宋体" w:cs="宋体"/>
                <w:color w:val="auto"/>
                <w:sz w:val="21"/>
                <w:szCs w:val="21"/>
                <w:highlight w:val="none"/>
                <w:lang w:val="en-US" w:eastAsia="zh-CN"/>
              </w:rPr>
              <w:t>业绩每提供一个得 5分，本小项满分 15 分。</w:t>
            </w:r>
          </w:p>
          <w:p w14:paraId="64AF998F">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注：响应文件中提供合同扫描件或影印件，如合同不能体现服务内容、签订时间、供应商名称等关键内容的，须另附业主单位相关证明材料，否则磋商小组不予认可；</w:t>
            </w:r>
          </w:p>
        </w:tc>
        <w:tc>
          <w:tcPr>
            <w:tcW w:w="689" w:type="pct"/>
            <w:tcBorders>
              <w:top w:val="single" w:color="auto" w:sz="4" w:space="0"/>
              <w:left w:val="single" w:color="auto" w:sz="4" w:space="0"/>
              <w:bottom w:val="single" w:color="auto" w:sz="4" w:space="0"/>
              <w:right w:val="single" w:color="auto" w:sz="4" w:space="0"/>
            </w:tcBorders>
            <w:vAlign w:val="center"/>
          </w:tcPr>
          <w:p w14:paraId="65FFC3F3">
            <w:pPr>
              <w:spacing w:line="360" w:lineRule="auto"/>
              <w:jc w:val="center"/>
              <w:rPr>
                <w:rFonts w:hint="eastAsia" w:ascii="宋体" w:hAnsi="宋体" w:eastAsia="宋体" w:cs="宋体"/>
                <w:b/>
                <w:color w:val="auto"/>
                <w:kern w:val="0"/>
                <w:sz w:val="21"/>
                <w:szCs w:val="21"/>
                <w:highlight w:val="none"/>
                <w:lang w:val="en-US" w:eastAsia="en-US" w:bidi="zh-CN"/>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eastAsia="宋体" w:cs="宋体"/>
                <w:b/>
                <w:color w:val="auto"/>
                <w:kern w:val="0"/>
                <w:sz w:val="21"/>
                <w:szCs w:val="21"/>
                <w:highlight w:val="none"/>
                <w:lang w:val="en-US" w:eastAsia="en-US" w:bidi="zh-CN"/>
              </w:rPr>
              <w:t>15</w:t>
            </w:r>
          </w:p>
        </w:tc>
      </w:tr>
      <w:tr w14:paraId="490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vMerge w:val="continue"/>
            <w:tcBorders>
              <w:left w:val="single" w:color="auto" w:sz="4" w:space="0"/>
              <w:right w:val="single" w:color="auto" w:sz="4" w:space="0"/>
            </w:tcBorders>
            <w:vAlign w:val="center"/>
          </w:tcPr>
          <w:p w14:paraId="7DDBF299">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33BE60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lang w:val="en-US" w:eastAsia="zh-CN" w:bidi="ar"/>
              </w:rPr>
              <w:t>合理化建议</w:t>
            </w:r>
          </w:p>
        </w:tc>
        <w:tc>
          <w:tcPr>
            <w:tcW w:w="2662" w:type="pct"/>
            <w:tcBorders>
              <w:top w:val="single" w:color="auto" w:sz="4" w:space="0"/>
              <w:left w:val="single" w:color="auto" w:sz="4" w:space="0"/>
              <w:bottom w:val="single" w:color="auto" w:sz="4" w:space="0"/>
              <w:right w:val="single" w:color="auto" w:sz="4" w:space="0"/>
            </w:tcBorders>
            <w:vAlign w:val="center"/>
          </w:tcPr>
          <w:p w14:paraId="31EEB4D0">
            <w:pPr>
              <w:spacing w:before="181" w:line="377"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 xml:space="preserve">针对本项目提出各方面合理化建议，内容包括： </w:t>
            </w:r>
          </w:p>
          <w:p w14:paraId="4649A2F5">
            <w:pPr>
              <w:spacing w:before="181" w:line="240"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①</w:t>
            </w:r>
            <w:r>
              <w:rPr>
                <w:rFonts w:hint="eastAsia" w:asciiTheme="minorEastAsia" w:hAnsiTheme="minorEastAsia" w:eastAsiaTheme="minorEastAsia" w:cstheme="minorEastAsia"/>
                <w:color w:val="auto"/>
                <w:sz w:val="21"/>
                <w:szCs w:val="21"/>
                <w:highlight w:val="none"/>
                <w:lang w:val="zh-CN"/>
              </w:rPr>
              <w:t xml:space="preserve">对项目前期工作的建议； </w:t>
            </w:r>
          </w:p>
          <w:p w14:paraId="0BA9A7F5">
            <w:pPr>
              <w:spacing w:before="181" w:line="240"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②</w:t>
            </w:r>
            <w:r>
              <w:rPr>
                <w:rFonts w:hint="eastAsia" w:asciiTheme="minorEastAsia" w:hAnsiTheme="minorEastAsia" w:eastAsiaTheme="minorEastAsia" w:cstheme="minorEastAsia"/>
                <w:color w:val="auto"/>
                <w:sz w:val="21"/>
                <w:szCs w:val="21"/>
                <w:highlight w:val="none"/>
                <w:lang w:val="zh-CN"/>
              </w:rPr>
              <w:t>对项目保障措施的建议；</w:t>
            </w:r>
          </w:p>
          <w:p w14:paraId="35A9B0F0">
            <w:pPr>
              <w:spacing w:before="181" w:line="240"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③</w:t>
            </w:r>
            <w:r>
              <w:rPr>
                <w:rFonts w:hint="eastAsia" w:asciiTheme="minorEastAsia" w:hAnsiTheme="minorEastAsia" w:eastAsiaTheme="minorEastAsia" w:cstheme="minorEastAsia"/>
                <w:color w:val="auto"/>
                <w:sz w:val="21"/>
                <w:szCs w:val="21"/>
                <w:highlight w:val="none"/>
                <w:lang w:val="zh-CN"/>
              </w:rPr>
              <w:t xml:space="preserve">对项目后期实施工作的建议； </w:t>
            </w:r>
          </w:p>
          <w:p w14:paraId="7122D769">
            <w:pPr>
              <w:spacing w:before="181" w:line="377" w:lineRule="auto"/>
              <w:ind w:right="10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符合文件采购需求的，每 1 项得 2 分，不符合或未提供的不得分。</w:t>
            </w:r>
          </w:p>
          <w:p w14:paraId="235FEA27">
            <w:pPr>
              <w:spacing w:before="181" w:line="377" w:lineRule="auto"/>
              <w:ind w:right="105"/>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 xml:space="preserve">本项满分 6 分。 </w:t>
            </w:r>
          </w:p>
        </w:tc>
        <w:tc>
          <w:tcPr>
            <w:tcW w:w="689" w:type="pct"/>
            <w:tcBorders>
              <w:top w:val="single" w:color="auto" w:sz="4" w:space="0"/>
              <w:left w:val="single" w:color="auto" w:sz="4" w:space="0"/>
              <w:bottom w:val="single" w:color="auto" w:sz="4" w:space="0"/>
              <w:right w:val="single" w:color="auto" w:sz="4" w:space="0"/>
            </w:tcBorders>
            <w:vAlign w:val="center"/>
          </w:tcPr>
          <w:p w14:paraId="4DAC52BB">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cs="宋体"/>
                <w:b/>
                <w:color w:val="auto"/>
                <w:kern w:val="0"/>
                <w:sz w:val="21"/>
                <w:szCs w:val="21"/>
                <w:highlight w:val="none"/>
                <w:lang w:val="en-US" w:eastAsia="en-US" w:bidi="zh-CN"/>
              </w:rPr>
              <w:t>0-6</w:t>
            </w:r>
          </w:p>
        </w:tc>
      </w:tr>
      <w:tr w14:paraId="57C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5" w:type="pct"/>
            <w:tcBorders>
              <w:left w:val="single" w:color="auto" w:sz="4" w:space="0"/>
              <w:right w:val="single" w:color="auto" w:sz="4" w:space="0"/>
            </w:tcBorders>
            <w:vAlign w:val="center"/>
          </w:tcPr>
          <w:p w14:paraId="4A9D10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50E18E1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4154" w:type="pct"/>
            <w:gridSpan w:val="3"/>
            <w:tcBorders>
              <w:top w:val="single" w:color="auto" w:sz="4" w:space="0"/>
              <w:left w:val="single" w:color="auto" w:sz="4" w:space="0"/>
              <w:bottom w:val="single" w:color="auto" w:sz="4" w:space="0"/>
              <w:right w:val="single" w:color="auto" w:sz="4" w:space="0"/>
            </w:tcBorders>
            <w:vAlign w:val="center"/>
          </w:tcPr>
          <w:p w14:paraId="5DE71E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分。其他供应商的价格分统一按照下列公式计算：</w:t>
            </w:r>
          </w:p>
          <w:p w14:paraId="5D938C9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％×100</w:t>
            </w:r>
          </w:p>
        </w:tc>
      </w:tr>
    </w:tbl>
    <w:p w14:paraId="78A73070">
      <w:pPr>
        <w:pStyle w:val="37"/>
        <w:tabs>
          <w:tab w:val="left" w:pos="834"/>
          <w:tab w:val="left" w:pos="1330"/>
          <w:tab w:val="left" w:pos="4435"/>
        </w:tabs>
        <w:spacing w:before="160" w:after="6" w:line="360" w:lineRule="auto"/>
        <w:ind w:left="0" w:leftChars="0" w:right="371" w:firstLine="0" w:firstLineChars="0"/>
        <w:rPr>
          <w:color w:val="auto"/>
          <w:sz w:val="21"/>
          <w:szCs w:val="21"/>
          <w:highlight w:val="none"/>
          <w:lang w:val="en-US"/>
        </w:rPr>
      </w:pPr>
    </w:p>
    <w:p w14:paraId="269B6DE3">
      <w:pPr>
        <w:pStyle w:val="37"/>
        <w:numPr>
          <w:ilvl w:val="2"/>
          <w:numId w:val="21"/>
        </w:numPr>
        <w:tabs>
          <w:tab w:val="left" w:pos="1330"/>
        </w:tabs>
        <w:spacing w:line="360" w:lineRule="auto"/>
        <w:ind w:left="1329" w:hanging="661"/>
        <w:jc w:val="both"/>
        <w:rPr>
          <w:color w:val="auto"/>
          <w:sz w:val="21"/>
          <w:szCs w:val="21"/>
          <w:highlight w:val="none"/>
        </w:rPr>
      </w:pPr>
      <w:r>
        <w:rPr>
          <w:color w:val="auto"/>
          <w:sz w:val="21"/>
          <w:szCs w:val="21"/>
          <w:highlight w:val="none"/>
        </w:rPr>
        <w:t>分值汇总</w:t>
      </w:r>
    </w:p>
    <w:p w14:paraId="4B79B2A7">
      <w:pPr>
        <w:pStyle w:val="37"/>
        <w:numPr>
          <w:ilvl w:val="0"/>
          <w:numId w:val="23"/>
        </w:numPr>
        <w:tabs>
          <w:tab w:val="left" w:pos="1275"/>
        </w:tabs>
        <w:spacing w:before="160" w:line="360" w:lineRule="auto"/>
        <w:ind w:right="368" w:firstLine="434"/>
        <w:jc w:val="both"/>
        <w:rPr>
          <w:color w:val="auto"/>
          <w:sz w:val="21"/>
          <w:szCs w:val="21"/>
          <w:highlight w:val="none"/>
        </w:rPr>
      </w:pPr>
      <w:r>
        <w:rPr>
          <w:color w:val="auto"/>
          <w:sz w:val="21"/>
          <w:szCs w:val="21"/>
          <w:highlight w:val="none"/>
        </w:rPr>
        <w:t>磋商小组各成员应当独立对每个有效响应的文件进行评价、打分，然后汇总每个供应商每项评分因素的得分（四舍五入保留至小数点后两位数</w:t>
      </w:r>
      <w:r>
        <w:rPr>
          <w:rFonts w:hint="eastAsia"/>
          <w:color w:val="auto"/>
          <w:sz w:val="21"/>
          <w:szCs w:val="21"/>
          <w:highlight w:val="none"/>
          <w:lang w:eastAsia="zh-CN"/>
        </w:rPr>
        <w:t>）</w:t>
      </w:r>
      <w:r>
        <w:rPr>
          <w:color w:val="auto"/>
          <w:spacing w:val="-9"/>
          <w:sz w:val="21"/>
          <w:szCs w:val="21"/>
          <w:highlight w:val="none"/>
        </w:rPr>
        <w:t>再</w:t>
      </w:r>
      <w:r>
        <w:rPr>
          <w:color w:val="auto"/>
          <w:sz w:val="21"/>
          <w:szCs w:val="21"/>
          <w:highlight w:val="none"/>
        </w:rPr>
        <w:t>将供应商每项评分因素的得分进行汇总，得到该供应商的技术资信分之和。</w:t>
      </w:r>
    </w:p>
    <w:p w14:paraId="39C2935F">
      <w:pPr>
        <w:pStyle w:val="37"/>
        <w:numPr>
          <w:ilvl w:val="0"/>
          <w:numId w:val="23"/>
        </w:numPr>
        <w:tabs>
          <w:tab w:val="left" w:pos="1275"/>
        </w:tabs>
        <w:spacing w:line="360" w:lineRule="auto"/>
        <w:ind w:right="369" w:firstLine="434"/>
        <w:rPr>
          <w:color w:val="auto"/>
          <w:sz w:val="21"/>
          <w:szCs w:val="21"/>
          <w:highlight w:val="none"/>
        </w:rPr>
      </w:pPr>
      <w:r>
        <w:rPr>
          <w:color w:val="auto"/>
          <w:spacing w:val="-1"/>
          <w:sz w:val="21"/>
          <w:szCs w:val="21"/>
          <w:highlight w:val="none"/>
        </w:rPr>
        <w:t xml:space="preserve">将每个供应商的技术资信分之和加上根据上述标准计算出的价格分， </w:t>
      </w:r>
      <w:r>
        <w:rPr>
          <w:color w:val="auto"/>
          <w:sz w:val="21"/>
          <w:szCs w:val="21"/>
          <w:highlight w:val="none"/>
        </w:rPr>
        <w:t>即为该供应商的综合总得分。</w:t>
      </w:r>
    </w:p>
    <w:p w14:paraId="4FD4847E">
      <w:pPr>
        <w:spacing w:line="360" w:lineRule="auto"/>
        <w:rPr>
          <w:rFonts w:ascii="宋体" w:hAnsi="宋体"/>
          <w:color w:val="auto"/>
          <w:highlight w:val="none"/>
        </w:rPr>
      </w:pPr>
    </w:p>
    <w:p w14:paraId="1A031F6B">
      <w:pPr>
        <w:widowControl/>
        <w:spacing w:line="360" w:lineRule="auto"/>
        <w:jc w:val="left"/>
        <w:rPr>
          <w:rFonts w:ascii="宋体" w:hAnsi="宋体"/>
          <w:color w:val="auto"/>
          <w:highlight w:val="none"/>
        </w:rPr>
      </w:pPr>
      <w:r>
        <w:rPr>
          <w:rFonts w:ascii="宋体" w:hAnsi="宋体"/>
          <w:color w:val="auto"/>
          <w:highlight w:val="none"/>
        </w:rPr>
        <w:br w:type="page"/>
      </w:r>
    </w:p>
    <w:p w14:paraId="2E193E10">
      <w:pPr>
        <w:pStyle w:val="6"/>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5" w:name="_Toc15159"/>
      <w:r>
        <w:rPr>
          <w:rFonts w:hint="eastAsia" w:ascii="宋体" w:hAnsi="宋体"/>
          <w:color w:val="auto"/>
          <w:sz w:val="32"/>
          <w:szCs w:val="32"/>
          <w:highlight w:val="none"/>
        </w:rPr>
        <w:t>采购合同</w:t>
      </w:r>
      <w:bookmarkEnd w:id="65"/>
    </w:p>
    <w:p w14:paraId="546C1F63">
      <w:pPr>
        <w:pStyle w:val="11"/>
        <w:rPr>
          <w:b/>
          <w:color w:val="auto"/>
          <w:sz w:val="32"/>
          <w:highlight w:val="none"/>
        </w:rPr>
      </w:pPr>
    </w:p>
    <w:p w14:paraId="2E659F40">
      <w:pPr>
        <w:pStyle w:val="11"/>
        <w:spacing w:before="10"/>
        <w:rPr>
          <w:b/>
          <w:color w:val="auto"/>
          <w:sz w:val="32"/>
          <w:highlight w:val="none"/>
        </w:rPr>
      </w:pPr>
    </w:p>
    <w:p w14:paraId="288115FD">
      <w:pPr>
        <w:pStyle w:val="8"/>
        <w:spacing w:before="0"/>
        <w:ind w:left="1367" w:right="1503"/>
        <w:jc w:val="center"/>
        <w:rPr>
          <w:color w:val="auto"/>
          <w:sz w:val="21"/>
          <w:szCs w:val="21"/>
          <w:highlight w:val="none"/>
        </w:rPr>
      </w:pPr>
      <w:r>
        <w:rPr>
          <w:color w:val="auto"/>
          <w:spacing w:val="-1"/>
          <w:sz w:val="21"/>
          <w:szCs w:val="21"/>
          <w:highlight w:val="none"/>
        </w:rPr>
        <w:t>第一部分 合同书</w:t>
      </w:r>
    </w:p>
    <w:p w14:paraId="13D7E04D">
      <w:pPr>
        <w:pStyle w:val="11"/>
        <w:rPr>
          <w:b/>
          <w:color w:val="auto"/>
          <w:sz w:val="21"/>
          <w:szCs w:val="21"/>
          <w:highlight w:val="none"/>
        </w:rPr>
      </w:pPr>
    </w:p>
    <w:p w14:paraId="6A7CB135">
      <w:pPr>
        <w:pStyle w:val="11"/>
        <w:rPr>
          <w:b/>
          <w:color w:val="auto"/>
          <w:sz w:val="21"/>
          <w:szCs w:val="21"/>
          <w:highlight w:val="none"/>
        </w:rPr>
      </w:pPr>
    </w:p>
    <w:p w14:paraId="0475A744">
      <w:pPr>
        <w:pStyle w:val="11"/>
        <w:rPr>
          <w:b/>
          <w:color w:val="auto"/>
          <w:sz w:val="21"/>
          <w:szCs w:val="21"/>
          <w:highlight w:val="none"/>
        </w:rPr>
      </w:pPr>
    </w:p>
    <w:p w14:paraId="4F354108">
      <w:pPr>
        <w:pStyle w:val="11"/>
        <w:rPr>
          <w:b/>
          <w:color w:val="auto"/>
          <w:sz w:val="21"/>
          <w:szCs w:val="21"/>
          <w:highlight w:val="none"/>
        </w:rPr>
      </w:pPr>
    </w:p>
    <w:p w14:paraId="423E520C">
      <w:pPr>
        <w:pStyle w:val="11"/>
        <w:rPr>
          <w:b/>
          <w:color w:val="auto"/>
          <w:sz w:val="21"/>
          <w:szCs w:val="21"/>
          <w:highlight w:val="none"/>
        </w:rPr>
      </w:pPr>
    </w:p>
    <w:p w14:paraId="270EC800">
      <w:pPr>
        <w:pStyle w:val="11"/>
        <w:rPr>
          <w:b/>
          <w:color w:val="auto"/>
          <w:sz w:val="21"/>
          <w:szCs w:val="21"/>
          <w:highlight w:val="none"/>
        </w:rPr>
      </w:pPr>
    </w:p>
    <w:p w14:paraId="7B2FAF1E">
      <w:pPr>
        <w:pStyle w:val="11"/>
        <w:spacing w:before="5"/>
        <w:rPr>
          <w:b/>
          <w:color w:val="auto"/>
          <w:sz w:val="21"/>
          <w:szCs w:val="21"/>
          <w:highlight w:val="none"/>
        </w:rPr>
      </w:pPr>
    </w:p>
    <w:p w14:paraId="6D38F4BF">
      <w:pPr>
        <w:spacing w:before="1"/>
        <w:ind w:left="330" w:right="135" w:firstLine="1260" w:firstLineChars="600"/>
        <w:jc w:val="both"/>
        <w:rPr>
          <w:rFonts w:hint="default" w:ascii="宋体" w:hAnsi="宋体" w:eastAsia="宋体"/>
          <w:color w:val="auto"/>
          <w:highlight w:val="none"/>
          <w:lang w:val="en-US" w:eastAsia="zh-CN"/>
        </w:rPr>
      </w:pPr>
      <w:r>
        <w:rPr>
          <w:rFonts w:ascii="宋体" w:hAnsi="宋体"/>
          <w:color w:val="auto"/>
          <w:highlight w:val="none"/>
        </w:rPr>
        <w:t>项目名称：</w:t>
      </w:r>
      <w:r>
        <w:rPr>
          <w:rFonts w:hint="eastAsia" w:ascii="宋体" w:hAnsi="宋体"/>
          <w:color w:val="auto"/>
          <w:highlight w:val="none"/>
          <w:u w:val="single"/>
          <w:lang w:val="en-US" w:eastAsia="zh-CN"/>
        </w:rPr>
        <w:t xml:space="preserve">                                       </w:t>
      </w:r>
    </w:p>
    <w:p w14:paraId="331CEFCF">
      <w:pPr>
        <w:pStyle w:val="11"/>
        <w:spacing w:before="8"/>
        <w:rPr>
          <w:color w:val="auto"/>
          <w:sz w:val="21"/>
          <w:szCs w:val="21"/>
          <w:highlight w:val="none"/>
        </w:rPr>
      </w:pPr>
    </w:p>
    <w:p w14:paraId="6413C664">
      <w:pPr>
        <w:pStyle w:val="11"/>
        <w:spacing w:before="3"/>
        <w:rPr>
          <w:color w:val="auto"/>
          <w:sz w:val="21"/>
          <w:szCs w:val="21"/>
          <w:highlight w:val="none"/>
        </w:rPr>
      </w:pPr>
    </w:p>
    <w:p w14:paraId="2B91B123">
      <w:pPr>
        <w:pStyle w:val="11"/>
        <w:tabs>
          <w:tab w:val="left" w:pos="6636"/>
        </w:tabs>
        <w:spacing w:before="74"/>
        <w:ind w:left="1180" w:firstLine="420" w:firstLineChars="200"/>
        <w:rPr>
          <w:color w:val="auto"/>
          <w:sz w:val="21"/>
          <w:szCs w:val="21"/>
          <w:highlight w:val="none"/>
        </w:rPr>
      </w:pPr>
      <w:r>
        <w:rPr>
          <w:color w:val="auto"/>
          <w:sz w:val="21"/>
          <w:szCs w:val="21"/>
          <w:highlight w:val="none"/>
        </w:rPr>
        <w:t>甲方（采购人</w:t>
      </w:r>
      <w:r>
        <w:rPr>
          <w:color w:val="auto"/>
          <w:spacing w:val="-120"/>
          <w:sz w:val="21"/>
          <w:szCs w:val="21"/>
          <w:highlight w:val="none"/>
        </w:rPr>
        <w:t>）</w:t>
      </w:r>
      <w:r>
        <w:rPr>
          <w:rFonts w:hint="eastAsia"/>
          <w:color w:val="auto"/>
          <w:spacing w:val="-120"/>
          <w:sz w:val="21"/>
          <w:szCs w:val="21"/>
          <w:highlight w:val="none"/>
          <w:lang w:eastAsia="zh-CN"/>
        </w:rPr>
        <w:t>：</w:t>
      </w:r>
      <w:r>
        <w:rPr>
          <w:color w:val="auto"/>
          <w:sz w:val="21"/>
          <w:szCs w:val="21"/>
          <w:highlight w:val="none"/>
          <w:u w:val="single"/>
        </w:rPr>
        <w:t xml:space="preserve"> </w:t>
      </w:r>
      <w:r>
        <w:rPr>
          <w:color w:val="auto"/>
          <w:sz w:val="21"/>
          <w:szCs w:val="21"/>
          <w:highlight w:val="none"/>
          <w:u w:val="single"/>
        </w:rPr>
        <w:tab/>
      </w:r>
    </w:p>
    <w:p w14:paraId="073A5BCA">
      <w:pPr>
        <w:pStyle w:val="11"/>
        <w:rPr>
          <w:color w:val="auto"/>
          <w:sz w:val="21"/>
          <w:szCs w:val="21"/>
          <w:highlight w:val="none"/>
        </w:rPr>
      </w:pPr>
    </w:p>
    <w:p w14:paraId="6642F0F5">
      <w:pPr>
        <w:pStyle w:val="11"/>
        <w:tabs>
          <w:tab w:val="left" w:pos="6636"/>
        </w:tabs>
        <w:spacing w:before="207"/>
        <w:ind w:left="1180" w:firstLine="420" w:firstLineChars="200"/>
        <w:rPr>
          <w:color w:val="auto"/>
          <w:sz w:val="21"/>
          <w:szCs w:val="21"/>
          <w:highlight w:val="none"/>
        </w:rPr>
      </w:pPr>
      <w:r>
        <w:rPr>
          <w:color w:val="auto"/>
          <w:sz w:val="21"/>
          <w:szCs w:val="21"/>
          <w:highlight w:val="none"/>
        </w:rPr>
        <w:t>乙方（中标人</w:t>
      </w:r>
      <w:r>
        <w:rPr>
          <w:color w:val="auto"/>
          <w:spacing w:val="-120"/>
          <w:sz w:val="21"/>
          <w:szCs w:val="21"/>
          <w:highlight w:val="none"/>
        </w:rPr>
        <w:t>）</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p>
    <w:p w14:paraId="0BA1D05F">
      <w:pPr>
        <w:pStyle w:val="11"/>
        <w:rPr>
          <w:color w:val="auto"/>
          <w:sz w:val="21"/>
          <w:szCs w:val="21"/>
          <w:highlight w:val="none"/>
        </w:rPr>
      </w:pPr>
    </w:p>
    <w:p w14:paraId="3BC57503">
      <w:pPr>
        <w:pStyle w:val="11"/>
        <w:tabs>
          <w:tab w:val="left" w:pos="6636"/>
        </w:tabs>
        <w:spacing w:before="207"/>
        <w:ind w:left="1180" w:firstLine="420" w:firstLineChars="200"/>
        <w:rPr>
          <w:color w:val="auto"/>
          <w:sz w:val="21"/>
          <w:szCs w:val="21"/>
          <w:highlight w:val="none"/>
        </w:rPr>
      </w:pPr>
      <w:r>
        <w:rPr>
          <w:color w:val="auto"/>
          <w:sz w:val="21"/>
          <w:szCs w:val="21"/>
          <w:highlight w:val="none"/>
        </w:rPr>
        <w:t>签订地：</w:t>
      </w:r>
      <w:r>
        <w:rPr>
          <w:color w:val="auto"/>
          <w:sz w:val="21"/>
          <w:szCs w:val="21"/>
          <w:highlight w:val="none"/>
          <w:u w:val="single"/>
        </w:rPr>
        <w:t xml:space="preserve"> </w:t>
      </w:r>
      <w:r>
        <w:rPr>
          <w:color w:val="auto"/>
          <w:sz w:val="21"/>
          <w:szCs w:val="21"/>
          <w:highlight w:val="none"/>
          <w:u w:val="single"/>
        </w:rPr>
        <w:tab/>
      </w:r>
    </w:p>
    <w:p w14:paraId="65ED1C84">
      <w:pPr>
        <w:pStyle w:val="11"/>
        <w:rPr>
          <w:color w:val="auto"/>
          <w:sz w:val="21"/>
          <w:szCs w:val="21"/>
          <w:highlight w:val="none"/>
        </w:rPr>
      </w:pPr>
    </w:p>
    <w:p w14:paraId="725D2C9F">
      <w:pPr>
        <w:pStyle w:val="11"/>
        <w:tabs>
          <w:tab w:val="left" w:pos="4180"/>
          <w:tab w:val="left" w:pos="5261"/>
          <w:tab w:val="left" w:pos="6341"/>
        </w:tabs>
        <w:spacing w:before="206"/>
        <w:ind w:left="1180" w:firstLine="420" w:firstLineChars="200"/>
        <w:rPr>
          <w:color w:val="auto"/>
          <w:sz w:val="21"/>
          <w:szCs w:val="21"/>
          <w:highlight w:val="none"/>
        </w:rPr>
      </w:pPr>
      <w:r>
        <w:rPr>
          <w:color w:val="auto"/>
          <w:sz w:val="21"/>
          <w:szCs w:val="21"/>
          <w:highlight w:val="none"/>
        </w:rPr>
        <w:t>签订日期：</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796A1F32">
      <w:pPr>
        <w:rPr>
          <w:rFonts w:ascii="宋体" w:hAnsi="宋体"/>
          <w:color w:val="auto"/>
          <w:highlight w:val="none"/>
        </w:rPr>
        <w:sectPr>
          <w:footerReference r:id="rId3" w:type="default"/>
          <w:pgSz w:w="11910" w:h="16840"/>
          <w:pgMar w:top="1380" w:right="1440" w:bottom="1500" w:left="1580" w:header="877" w:footer="1304" w:gutter="0"/>
          <w:pgNumType w:fmt="decimal" w:start="1"/>
          <w:cols w:space="720" w:num="1"/>
        </w:sectPr>
      </w:pPr>
    </w:p>
    <w:p w14:paraId="0800BECB">
      <w:pPr>
        <w:pStyle w:val="11"/>
        <w:spacing w:before="10" w:line="360" w:lineRule="auto"/>
        <w:ind w:right="359" w:firstLine="434"/>
        <w:jc w:val="both"/>
        <w:rPr>
          <w:color w:val="auto"/>
          <w:sz w:val="21"/>
          <w:szCs w:val="21"/>
          <w:highlight w:val="none"/>
        </w:rPr>
      </w:pPr>
      <w:r>
        <w:rPr>
          <w:color w:val="auto"/>
          <w:sz w:val="21"/>
          <w:szCs w:val="21"/>
          <w:highlight w:val="none"/>
        </w:rPr>
        <w:t>根据</w:t>
      </w:r>
      <w:r>
        <w:rPr>
          <w:rFonts w:hint="eastAsia"/>
          <w:color w:val="auto"/>
          <w:sz w:val="21"/>
          <w:szCs w:val="21"/>
          <w:highlight w:val="none"/>
        </w:rPr>
        <w:t>《中华人民共和国民法典》</w:t>
      </w:r>
      <w:r>
        <w:rPr>
          <w:color w:val="auto"/>
          <w:sz w:val="21"/>
          <w:szCs w:val="21"/>
          <w:highlight w:val="none"/>
        </w:rPr>
        <w:t>、《中华人民共和国政府采购法》等相关法律法规之规定，按照平等、自愿、公平和诚实信用的原则，经甲方和乙方协商一致， 约定以下合同条款，以兹共同遵守、全面履行。</w:t>
      </w:r>
    </w:p>
    <w:p w14:paraId="437AFFE1">
      <w:pPr>
        <w:pStyle w:val="8"/>
        <w:numPr>
          <w:ilvl w:val="1"/>
          <w:numId w:val="24"/>
        </w:numPr>
        <w:tabs>
          <w:tab w:val="left" w:pos="1142"/>
        </w:tabs>
        <w:spacing w:before="2" w:line="360" w:lineRule="auto"/>
        <w:rPr>
          <w:color w:val="auto"/>
          <w:sz w:val="21"/>
          <w:szCs w:val="21"/>
          <w:highlight w:val="none"/>
        </w:rPr>
      </w:pPr>
      <w:r>
        <w:rPr>
          <w:color w:val="auto"/>
          <w:sz w:val="21"/>
          <w:szCs w:val="21"/>
          <w:highlight w:val="none"/>
        </w:rPr>
        <w:t>合同组成部分</w:t>
      </w:r>
    </w:p>
    <w:p w14:paraId="245992C0">
      <w:pPr>
        <w:pStyle w:val="11"/>
        <w:spacing w:before="161" w:line="360" w:lineRule="auto"/>
        <w:ind w:right="237" w:firstLine="434"/>
        <w:rPr>
          <w:color w:val="auto"/>
          <w:sz w:val="21"/>
          <w:szCs w:val="21"/>
          <w:highlight w:val="none"/>
        </w:rPr>
      </w:pPr>
      <w:r>
        <w:rPr>
          <w:color w:val="auto"/>
          <w:sz w:val="21"/>
          <w:szCs w:val="21"/>
          <w:highlight w:val="none"/>
        </w:rPr>
        <w:t>下列文件为本合同的组成部分，并构成一个整体，需综合解释、相互补充。</w:t>
      </w:r>
      <w:r>
        <w:rPr>
          <w:color w:val="auto"/>
          <w:spacing w:val="-6"/>
          <w:sz w:val="21"/>
          <w:szCs w:val="21"/>
          <w:highlight w:val="none"/>
        </w:rPr>
        <w:t>如果下列文件内容出现不一致的情形，那么在保证按照采购文件确定的事项前提下，组成本合同的多个文件的优先适用顺序如下：</w:t>
      </w:r>
    </w:p>
    <w:p w14:paraId="6B868FC5">
      <w:pPr>
        <w:pStyle w:val="36"/>
        <w:numPr>
          <w:ilvl w:val="2"/>
          <w:numId w:val="24"/>
        </w:numPr>
        <w:tabs>
          <w:tab w:val="left" w:pos="131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本合同及其补充合同、变更协议；</w:t>
      </w:r>
    </w:p>
    <w:p w14:paraId="4F84C5B1">
      <w:pPr>
        <w:pStyle w:val="36"/>
        <w:numPr>
          <w:ilvl w:val="2"/>
          <w:numId w:val="24"/>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成交</w:t>
      </w:r>
      <w:r>
        <w:rPr>
          <w:rFonts w:ascii="宋体" w:hAnsi="宋体"/>
          <w:color w:val="auto"/>
          <w:highlight w:val="none"/>
        </w:rPr>
        <w:t>通知书；</w:t>
      </w:r>
    </w:p>
    <w:p w14:paraId="2CDC0B51">
      <w:pPr>
        <w:pStyle w:val="36"/>
        <w:numPr>
          <w:ilvl w:val="2"/>
          <w:numId w:val="24"/>
        </w:numPr>
        <w:tabs>
          <w:tab w:val="left" w:pos="1315"/>
        </w:tabs>
        <w:autoSpaceDE w:val="0"/>
        <w:autoSpaceDN w:val="0"/>
        <w:spacing w:before="161" w:line="360" w:lineRule="auto"/>
        <w:ind w:hanging="661" w:firstLineChars="0"/>
        <w:rPr>
          <w:rFonts w:ascii="宋体" w:hAnsi="宋体"/>
          <w:color w:val="auto"/>
          <w:highlight w:val="none"/>
        </w:rPr>
      </w:pPr>
      <w:r>
        <w:rPr>
          <w:rFonts w:hint="eastAsia" w:ascii="宋体" w:hAnsi="宋体"/>
          <w:color w:val="auto"/>
          <w:highlight w:val="none"/>
        </w:rPr>
        <w:t>响应</w:t>
      </w:r>
      <w:r>
        <w:rPr>
          <w:rFonts w:ascii="宋体" w:hAnsi="宋体"/>
          <w:color w:val="auto"/>
          <w:highlight w:val="none"/>
        </w:rPr>
        <w:t>文件（含澄清或者说明文件）；</w:t>
      </w:r>
    </w:p>
    <w:p w14:paraId="6B257533">
      <w:pPr>
        <w:pStyle w:val="36"/>
        <w:numPr>
          <w:ilvl w:val="2"/>
          <w:numId w:val="24"/>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磋商</w:t>
      </w:r>
      <w:r>
        <w:rPr>
          <w:rFonts w:ascii="宋体" w:hAnsi="宋体"/>
          <w:color w:val="auto"/>
          <w:highlight w:val="none"/>
        </w:rPr>
        <w:t>文件（含澄清或者修改文件）；</w:t>
      </w:r>
    </w:p>
    <w:p w14:paraId="26C1B1C5">
      <w:pPr>
        <w:pStyle w:val="36"/>
        <w:numPr>
          <w:ilvl w:val="2"/>
          <w:numId w:val="24"/>
        </w:numPr>
        <w:tabs>
          <w:tab w:val="left" w:pos="1315"/>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其他相关采购文件。</w:t>
      </w:r>
    </w:p>
    <w:p w14:paraId="61EC81CE">
      <w:pPr>
        <w:pStyle w:val="8"/>
        <w:numPr>
          <w:ilvl w:val="1"/>
          <w:numId w:val="24"/>
        </w:numPr>
        <w:tabs>
          <w:tab w:val="left" w:pos="1142"/>
        </w:tabs>
        <w:spacing w:before="161" w:line="360" w:lineRule="auto"/>
        <w:rPr>
          <w:color w:val="auto"/>
          <w:sz w:val="21"/>
          <w:szCs w:val="21"/>
          <w:highlight w:val="none"/>
        </w:rPr>
      </w:pPr>
      <w:r>
        <w:rPr>
          <w:color w:val="auto"/>
          <w:sz w:val="21"/>
          <w:szCs w:val="21"/>
          <w:highlight w:val="none"/>
        </w:rPr>
        <w:t>服务</w:t>
      </w:r>
    </w:p>
    <w:p w14:paraId="2F7BA8BD">
      <w:pPr>
        <w:pStyle w:val="36"/>
        <w:numPr>
          <w:ilvl w:val="2"/>
          <w:numId w:val="24"/>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服务名称：</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1A076DF5">
      <w:pPr>
        <w:pStyle w:val="36"/>
        <w:numPr>
          <w:ilvl w:val="2"/>
          <w:numId w:val="24"/>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服务内容：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24AC9383">
      <w:pPr>
        <w:pStyle w:val="36"/>
        <w:numPr>
          <w:ilvl w:val="2"/>
          <w:numId w:val="24"/>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服务质量：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432AFEA5">
      <w:pPr>
        <w:pStyle w:val="8"/>
        <w:numPr>
          <w:ilvl w:val="1"/>
          <w:numId w:val="24"/>
        </w:numPr>
        <w:tabs>
          <w:tab w:val="left" w:pos="1142"/>
        </w:tabs>
        <w:spacing w:before="161" w:line="360" w:lineRule="auto"/>
        <w:rPr>
          <w:color w:val="auto"/>
          <w:sz w:val="21"/>
          <w:szCs w:val="21"/>
          <w:highlight w:val="none"/>
        </w:rPr>
      </w:pPr>
      <w:r>
        <w:rPr>
          <w:color w:val="auto"/>
          <w:sz w:val="21"/>
          <w:szCs w:val="21"/>
          <w:highlight w:val="none"/>
        </w:rPr>
        <w:t>价款</w:t>
      </w:r>
    </w:p>
    <w:p w14:paraId="5B40C7A1">
      <w:pPr>
        <w:pStyle w:val="11"/>
        <w:tabs>
          <w:tab w:val="left" w:pos="3895"/>
          <w:tab w:val="left" w:pos="7856"/>
        </w:tabs>
        <w:spacing w:before="160" w:line="360" w:lineRule="auto"/>
        <w:ind w:left="654" w:right="428"/>
        <w:rPr>
          <w:color w:val="auto"/>
          <w:sz w:val="21"/>
          <w:szCs w:val="21"/>
          <w:highlight w:val="none"/>
        </w:rPr>
      </w:pPr>
      <w:r>
        <w:rPr>
          <w:color w:val="auto"/>
          <w:sz w:val="21"/>
          <w:szCs w:val="21"/>
          <w:highlight w:val="none"/>
        </w:rPr>
        <w:t>本合同总价为：￥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元（大写：人民币</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w:t>
      </w:r>
      <w:r>
        <w:rPr>
          <w:color w:val="auto"/>
          <w:spacing w:val="-120"/>
          <w:sz w:val="21"/>
          <w:szCs w:val="21"/>
          <w:highlight w:val="none"/>
        </w:rPr>
        <w:t>）</w:t>
      </w:r>
      <w:r>
        <w:rPr>
          <w:color w:val="auto"/>
          <w:spacing w:val="-18"/>
          <w:sz w:val="21"/>
          <w:szCs w:val="21"/>
          <w:highlight w:val="none"/>
        </w:rPr>
        <w:t>。</w:t>
      </w:r>
      <w:r>
        <w:rPr>
          <w:color w:val="auto"/>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673C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02B4BE9">
            <w:pPr>
              <w:pStyle w:val="35"/>
              <w:spacing w:before="28"/>
              <w:ind w:left="217" w:right="211"/>
              <w:jc w:val="center"/>
              <w:rPr>
                <w:color w:val="auto"/>
                <w:sz w:val="24"/>
                <w:highlight w:val="none"/>
                <w:lang w:eastAsia="en-US"/>
              </w:rPr>
            </w:pPr>
            <w:r>
              <w:rPr>
                <w:color w:val="auto"/>
                <w:sz w:val="24"/>
                <w:highlight w:val="none"/>
                <w:lang w:eastAsia="en-US"/>
              </w:rPr>
              <w:t>序号</w:t>
            </w:r>
          </w:p>
        </w:tc>
        <w:tc>
          <w:tcPr>
            <w:tcW w:w="4317" w:type="dxa"/>
          </w:tcPr>
          <w:p w14:paraId="2727F1F6">
            <w:pPr>
              <w:pStyle w:val="35"/>
              <w:spacing w:before="28"/>
              <w:ind w:left="1755" w:right="1551"/>
              <w:jc w:val="center"/>
              <w:rPr>
                <w:color w:val="auto"/>
                <w:sz w:val="24"/>
                <w:highlight w:val="none"/>
                <w:lang w:eastAsia="en-US"/>
              </w:rPr>
            </w:pPr>
            <w:r>
              <w:rPr>
                <w:color w:val="auto"/>
                <w:sz w:val="24"/>
                <w:highlight w:val="none"/>
                <w:lang w:eastAsia="en-US"/>
              </w:rPr>
              <w:t>分项名称</w:t>
            </w:r>
          </w:p>
        </w:tc>
        <w:tc>
          <w:tcPr>
            <w:tcW w:w="3239" w:type="dxa"/>
          </w:tcPr>
          <w:p w14:paraId="12403A1A">
            <w:pPr>
              <w:pStyle w:val="35"/>
              <w:spacing w:before="28"/>
              <w:ind w:left="1116" w:right="1113"/>
              <w:jc w:val="center"/>
              <w:rPr>
                <w:color w:val="auto"/>
                <w:sz w:val="24"/>
                <w:highlight w:val="none"/>
                <w:lang w:eastAsia="en-US"/>
              </w:rPr>
            </w:pPr>
            <w:r>
              <w:rPr>
                <w:color w:val="auto"/>
                <w:sz w:val="24"/>
                <w:highlight w:val="none"/>
                <w:lang w:eastAsia="en-US"/>
              </w:rPr>
              <w:t>分项价格</w:t>
            </w:r>
          </w:p>
        </w:tc>
      </w:tr>
      <w:tr w14:paraId="2D44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0A7BB5E">
            <w:pPr>
              <w:pStyle w:val="35"/>
              <w:spacing w:line="307" w:lineRule="exact"/>
              <w:ind w:left="6"/>
              <w:jc w:val="center"/>
              <w:rPr>
                <w:color w:val="auto"/>
                <w:sz w:val="24"/>
                <w:highlight w:val="none"/>
                <w:lang w:eastAsia="en-US"/>
              </w:rPr>
            </w:pPr>
            <w:r>
              <w:rPr>
                <w:color w:val="auto"/>
                <w:sz w:val="24"/>
                <w:highlight w:val="none"/>
                <w:lang w:eastAsia="en-US"/>
              </w:rPr>
              <w:t>1</w:t>
            </w:r>
          </w:p>
        </w:tc>
        <w:tc>
          <w:tcPr>
            <w:tcW w:w="4317" w:type="dxa"/>
          </w:tcPr>
          <w:p w14:paraId="19A8B027">
            <w:pPr>
              <w:pStyle w:val="35"/>
              <w:rPr>
                <w:rFonts w:ascii="Times New Roman"/>
                <w:color w:val="auto"/>
                <w:highlight w:val="none"/>
                <w:lang w:eastAsia="en-US"/>
              </w:rPr>
            </w:pPr>
          </w:p>
        </w:tc>
        <w:tc>
          <w:tcPr>
            <w:tcW w:w="3239" w:type="dxa"/>
          </w:tcPr>
          <w:p w14:paraId="50838FC9">
            <w:pPr>
              <w:pStyle w:val="35"/>
              <w:rPr>
                <w:rFonts w:ascii="Times New Roman"/>
                <w:color w:val="auto"/>
                <w:highlight w:val="none"/>
                <w:lang w:eastAsia="en-US"/>
              </w:rPr>
            </w:pPr>
          </w:p>
        </w:tc>
      </w:tr>
      <w:tr w14:paraId="3CD3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C9BBB45">
            <w:pPr>
              <w:pStyle w:val="35"/>
              <w:ind w:left="6"/>
              <w:jc w:val="center"/>
              <w:rPr>
                <w:color w:val="auto"/>
                <w:sz w:val="24"/>
                <w:highlight w:val="none"/>
                <w:lang w:eastAsia="en-US"/>
              </w:rPr>
            </w:pPr>
            <w:r>
              <w:rPr>
                <w:color w:val="auto"/>
                <w:sz w:val="24"/>
                <w:highlight w:val="none"/>
                <w:lang w:eastAsia="en-US"/>
              </w:rPr>
              <w:t>2</w:t>
            </w:r>
          </w:p>
        </w:tc>
        <w:tc>
          <w:tcPr>
            <w:tcW w:w="4317" w:type="dxa"/>
          </w:tcPr>
          <w:p w14:paraId="578A3738">
            <w:pPr>
              <w:pStyle w:val="35"/>
              <w:rPr>
                <w:rFonts w:ascii="Times New Roman"/>
                <w:color w:val="auto"/>
                <w:highlight w:val="none"/>
                <w:lang w:eastAsia="en-US"/>
              </w:rPr>
            </w:pPr>
          </w:p>
        </w:tc>
        <w:tc>
          <w:tcPr>
            <w:tcW w:w="3239" w:type="dxa"/>
          </w:tcPr>
          <w:p w14:paraId="25F2B910">
            <w:pPr>
              <w:pStyle w:val="35"/>
              <w:rPr>
                <w:rFonts w:ascii="Times New Roman"/>
                <w:color w:val="auto"/>
                <w:highlight w:val="none"/>
                <w:lang w:eastAsia="en-US"/>
              </w:rPr>
            </w:pPr>
          </w:p>
        </w:tc>
      </w:tr>
      <w:tr w14:paraId="1E9A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29F0BB9">
            <w:pPr>
              <w:pStyle w:val="35"/>
              <w:spacing w:line="307" w:lineRule="exact"/>
              <w:ind w:left="6"/>
              <w:jc w:val="center"/>
              <w:rPr>
                <w:color w:val="auto"/>
                <w:sz w:val="24"/>
                <w:highlight w:val="none"/>
                <w:lang w:eastAsia="en-US"/>
              </w:rPr>
            </w:pPr>
            <w:r>
              <w:rPr>
                <w:color w:val="auto"/>
                <w:sz w:val="24"/>
                <w:highlight w:val="none"/>
                <w:lang w:eastAsia="en-US"/>
              </w:rPr>
              <w:t>3</w:t>
            </w:r>
          </w:p>
        </w:tc>
        <w:tc>
          <w:tcPr>
            <w:tcW w:w="4317" w:type="dxa"/>
          </w:tcPr>
          <w:p w14:paraId="1B17FD9C">
            <w:pPr>
              <w:pStyle w:val="35"/>
              <w:rPr>
                <w:rFonts w:ascii="Times New Roman"/>
                <w:color w:val="auto"/>
                <w:highlight w:val="none"/>
                <w:lang w:eastAsia="en-US"/>
              </w:rPr>
            </w:pPr>
          </w:p>
        </w:tc>
        <w:tc>
          <w:tcPr>
            <w:tcW w:w="3239" w:type="dxa"/>
          </w:tcPr>
          <w:p w14:paraId="2BBE0058">
            <w:pPr>
              <w:pStyle w:val="35"/>
              <w:rPr>
                <w:rFonts w:ascii="Times New Roman"/>
                <w:color w:val="auto"/>
                <w:highlight w:val="none"/>
                <w:lang w:eastAsia="en-US"/>
              </w:rPr>
            </w:pPr>
          </w:p>
        </w:tc>
      </w:tr>
      <w:tr w14:paraId="1158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58A4972">
            <w:pPr>
              <w:pStyle w:val="35"/>
              <w:spacing w:line="307" w:lineRule="exact"/>
              <w:ind w:left="217" w:right="211"/>
              <w:jc w:val="center"/>
              <w:rPr>
                <w:color w:val="auto"/>
                <w:sz w:val="24"/>
                <w:highlight w:val="none"/>
                <w:lang w:eastAsia="en-US"/>
              </w:rPr>
            </w:pPr>
            <w:r>
              <w:rPr>
                <w:color w:val="auto"/>
                <w:w w:val="200"/>
                <w:sz w:val="24"/>
                <w:highlight w:val="none"/>
                <w:lang w:eastAsia="en-US"/>
              </w:rPr>
              <w:t>„„</w:t>
            </w:r>
          </w:p>
        </w:tc>
        <w:tc>
          <w:tcPr>
            <w:tcW w:w="4317" w:type="dxa"/>
          </w:tcPr>
          <w:p w14:paraId="0F41B8EB">
            <w:pPr>
              <w:pStyle w:val="35"/>
              <w:rPr>
                <w:rFonts w:ascii="Times New Roman"/>
                <w:color w:val="auto"/>
                <w:highlight w:val="none"/>
                <w:lang w:eastAsia="en-US"/>
              </w:rPr>
            </w:pPr>
          </w:p>
        </w:tc>
        <w:tc>
          <w:tcPr>
            <w:tcW w:w="3239" w:type="dxa"/>
          </w:tcPr>
          <w:p w14:paraId="314AB6CD">
            <w:pPr>
              <w:pStyle w:val="35"/>
              <w:rPr>
                <w:rFonts w:ascii="Times New Roman"/>
                <w:color w:val="auto"/>
                <w:highlight w:val="none"/>
                <w:lang w:eastAsia="en-US"/>
              </w:rPr>
            </w:pPr>
          </w:p>
        </w:tc>
      </w:tr>
      <w:tr w14:paraId="59E0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7A094537">
            <w:pPr>
              <w:pStyle w:val="35"/>
              <w:spacing w:before="28"/>
              <w:ind w:left="2481" w:right="2264"/>
              <w:jc w:val="center"/>
              <w:rPr>
                <w:color w:val="auto"/>
                <w:sz w:val="24"/>
                <w:highlight w:val="none"/>
                <w:lang w:eastAsia="en-US"/>
              </w:rPr>
            </w:pPr>
            <w:r>
              <w:rPr>
                <w:color w:val="auto"/>
                <w:sz w:val="24"/>
                <w:highlight w:val="none"/>
                <w:lang w:eastAsia="en-US"/>
              </w:rPr>
              <w:t>总价</w:t>
            </w:r>
          </w:p>
        </w:tc>
        <w:tc>
          <w:tcPr>
            <w:tcW w:w="3239" w:type="dxa"/>
            <w:tcBorders>
              <w:right w:val="single" w:color="000000" w:sz="6" w:space="0"/>
            </w:tcBorders>
          </w:tcPr>
          <w:p w14:paraId="6D279EC0">
            <w:pPr>
              <w:pStyle w:val="35"/>
              <w:rPr>
                <w:rFonts w:ascii="Times New Roman"/>
                <w:color w:val="auto"/>
                <w:highlight w:val="none"/>
                <w:lang w:eastAsia="en-US"/>
              </w:rPr>
            </w:pPr>
          </w:p>
        </w:tc>
      </w:tr>
    </w:tbl>
    <w:p w14:paraId="139CB77E">
      <w:pPr>
        <w:pStyle w:val="11"/>
        <w:spacing w:line="360" w:lineRule="auto"/>
        <w:rPr>
          <w:color w:val="auto"/>
          <w:sz w:val="21"/>
          <w:szCs w:val="21"/>
          <w:highlight w:val="none"/>
        </w:rPr>
      </w:pPr>
    </w:p>
    <w:p w14:paraId="53DF066D">
      <w:pPr>
        <w:pStyle w:val="11"/>
        <w:spacing w:before="6" w:line="360" w:lineRule="auto"/>
        <w:rPr>
          <w:color w:val="auto"/>
          <w:sz w:val="21"/>
          <w:szCs w:val="21"/>
          <w:highlight w:val="none"/>
        </w:rPr>
      </w:pPr>
    </w:p>
    <w:p w14:paraId="7C549C6D">
      <w:pPr>
        <w:pStyle w:val="8"/>
        <w:numPr>
          <w:ilvl w:val="1"/>
          <w:numId w:val="24"/>
        </w:numPr>
        <w:tabs>
          <w:tab w:val="left" w:pos="1142"/>
        </w:tabs>
        <w:spacing w:before="0" w:line="360" w:lineRule="auto"/>
        <w:rPr>
          <w:color w:val="auto"/>
          <w:sz w:val="21"/>
          <w:szCs w:val="21"/>
          <w:highlight w:val="none"/>
        </w:rPr>
      </w:pPr>
      <w:r>
        <w:rPr>
          <w:color w:val="auto"/>
          <w:sz w:val="21"/>
          <w:szCs w:val="21"/>
          <w:highlight w:val="none"/>
        </w:rPr>
        <w:t>付款方式和发票开具方式</w:t>
      </w:r>
    </w:p>
    <w:p w14:paraId="014333B5">
      <w:pPr>
        <w:pStyle w:val="36"/>
        <w:numPr>
          <w:ilvl w:val="2"/>
          <w:numId w:val="24"/>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付款方式：</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ab/>
      </w:r>
      <w:r>
        <w:rPr>
          <w:rFonts w:ascii="宋体" w:hAnsi="宋体"/>
          <w:color w:val="auto"/>
          <w:highlight w:val="none"/>
        </w:rPr>
        <w:t>；</w:t>
      </w:r>
    </w:p>
    <w:p w14:paraId="40CC5E8C">
      <w:pPr>
        <w:pStyle w:val="36"/>
        <w:numPr>
          <w:ilvl w:val="2"/>
          <w:numId w:val="24"/>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发票开具方式：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8187AE3">
      <w:pPr>
        <w:pStyle w:val="8"/>
        <w:numPr>
          <w:ilvl w:val="1"/>
          <w:numId w:val="24"/>
        </w:numPr>
        <w:tabs>
          <w:tab w:val="left" w:pos="1142"/>
        </w:tabs>
        <w:spacing w:before="160" w:line="360" w:lineRule="auto"/>
        <w:rPr>
          <w:color w:val="auto"/>
          <w:sz w:val="21"/>
          <w:szCs w:val="21"/>
          <w:highlight w:val="none"/>
        </w:rPr>
      </w:pPr>
      <w:r>
        <w:rPr>
          <w:color w:val="auto"/>
          <w:sz w:val="21"/>
          <w:szCs w:val="21"/>
          <w:highlight w:val="none"/>
        </w:rPr>
        <w:t>服务期限、地点和方式</w:t>
      </w:r>
    </w:p>
    <w:p w14:paraId="028B0E29">
      <w:pPr>
        <w:pStyle w:val="36"/>
        <w:numPr>
          <w:ilvl w:val="2"/>
          <w:numId w:val="24"/>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服务期限：</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174A72F">
      <w:pPr>
        <w:pStyle w:val="36"/>
        <w:numPr>
          <w:ilvl w:val="2"/>
          <w:numId w:val="24"/>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服务地点：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9CC7B9C">
      <w:pPr>
        <w:pStyle w:val="36"/>
        <w:numPr>
          <w:ilvl w:val="2"/>
          <w:numId w:val="24"/>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04115C4">
      <w:pPr>
        <w:pStyle w:val="8"/>
        <w:numPr>
          <w:ilvl w:val="1"/>
          <w:numId w:val="24"/>
        </w:numPr>
        <w:tabs>
          <w:tab w:val="left" w:pos="1142"/>
        </w:tabs>
        <w:spacing w:before="160" w:line="360" w:lineRule="auto"/>
        <w:rPr>
          <w:color w:val="auto"/>
          <w:sz w:val="21"/>
          <w:szCs w:val="21"/>
          <w:highlight w:val="none"/>
        </w:rPr>
      </w:pPr>
      <w:r>
        <w:rPr>
          <w:color w:val="auto"/>
          <w:sz w:val="21"/>
          <w:szCs w:val="21"/>
          <w:highlight w:val="none"/>
        </w:rPr>
        <w:t>违约责任</w:t>
      </w:r>
    </w:p>
    <w:p w14:paraId="4D62B4C1">
      <w:pPr>
        <w:pStyle w:val="36"/>
        <w:numPr>
          <w:ilvl w:val="2"/>
          <w:numId w:val="24"/>
        </w:numPr>
        <w:tabs>
          <w:tab w:val="left" w:pos="1327"/>
        </w:tabs>
        <w:autoSpaceDE w:val="0"/>
        <w:autoSpaceDN w:val="0"/>
        <w:spacing w:before="161" w:line="360" w:lineRule="auto"/>
        <w:ind w:left="220" w:right="356" w:firstLine="434" w:firstLineChars="0"/>
        <w:rPr>
          <w:rFonts w:ascii="宋体" w:hAnsi="宋体"/>
          <w:color w:val="auto"/>
          <w:highlight w:val="none"/>
        </w:rPr>
      </w:pPr>
      <w:r>
        <w:rPr>
          <w:rFonts w:ascii="宋体" w:hAnsi="宋体"/>
          <w:color w:val="auto"/>
          <w:spacing w:val="-1"/>
          <w:highlight w:val="none"/>
        </w:rPr>
        <w:t>除不可抗力外，如果乙方没有按照本合同约定的期限、地点和方式履</w:t>
      </w:r>
      <w:r>
        <w:rPr>
          <w:rFonts w:ascii="宋体" w:hAnsi="宋体"/>
          <w:color w:val="auto"/>
          <w:spacing w:val="-11"/>
          <w:highlight w:val="none"/>
        </w:rPr>
        <w:t>行，那么甲</w:t>
      </w:r>
      <w:r>
        <w:rPr>
          <w:rFonts w:ascii="宋体" w:hAnsi="宋体"/>
          <w:color w:val="auto"/>
          <w:spacing w:val="-1"/>
          <w:highlight w:val="none"/>
        </w:rPr>
        <w:t>方可要求乙方支付违约金，违约金按每迟延履行一日的应提供而未提</w:t>
      </w:r>
      <w:r>
        <w:rPr>
          <w:rFonts w:ascii="宋体" w:hAnsi="宋体"/>
          <w:color w:val="auto"/>
          <w:highlight w:val="none"/>
        </w:rPr>
        <w:t>供服务价格</w:t>
      </w:r>
      <w:r>
        <w:rPr>
          <w:rFonts w:ascii="宋体" w:hAnsi="宋体"/>
          <w:color w:val="auto"/>
          <w:spacing w:val="-11"/>
          <w:highlight w:val="none"/>
        </w:rPr>
        <w:t xml:space="preserve">的 </w:t>
      </w:r>
      <w:r>
        <w:rPr>
          <w:rFonts w:hint="eastAsia" w:ascii="宋体" w:hAnsi="宋体"/>
          <w:color w:val="auto"/>
          <w:spacing w:val="-11"/>
          <w:highlight w:val="none"/>
          <w:u w:val="single"/>
          <w:lang w:val="en-US" w:eastAsia="zh-CN"/>
        </w:rPr>
        <w:t>0.1</w:t>
      </w:r>
      <w:r>
        <w:rPr>
          <w:rFonts w:ascii="宋体" w:hAnsi="宋体"/>
          <w:color w:val="auto"/>
          <w:spacing w:val="-11"/>
          <w:highlight w:val="none"/>
          <w:u w:val="single"/>
        </w:rPr>
        <w:t xml:space="preserve"> </w:t>
      </w:r>
      <w:r>
        <w:rPr>
          <w:rFonts w:ascii="宋体" w:hAnsi="宋体"/>
          <w:color w:val="auto"/>
          <w:highlight w:val="none"/>
        </w:rPr>
        <w:t xml:space="preserve"> %计算，最高限额为本合同总价</w:t>
      </w:r>
      <w:r>
        <w:rPr>
          <w:rFonts w:ascii="宋体" w:hAnsi="宋体"/>
          <w:color w:val="auto"/>
          <w:spacing w:val="-11"/>
          <w:highlight w:val="none"/>
        </w:rPr>
        <w:t xml:space="preserve">的 </w:t>
      </w:r>
      <w:r>
        <w:rPr>
          <w:rFonts w:hint="eastAsia" w:ascii="宋体" w:hAnsi="宋体"/>
          <w:color w:val="auto"/>
          <w:spacing w:val="-11"/>
          <w:highlight w:val="none"/>
          <w:u w:val="single"/>
          <w:lang w:val="en-US" w:eastAsia="zh-CN"/>
        </w:rPr>
        <w:t xml:space="preserve"> 1</w:t>
      </w:r>
      <w:r>
        <w:rPr>
          <w:rFonts w:ascii="宋体" w:hAnsi="宋体"/>
          <w:color w:val="auto"/>
          <w:spacing w:val="-11"/>
          <w:highlight w:val="none"/>
          <w:u w:val="single"/>
        </w:rPr>
        <w:t xml:space="preserve"> </w:t>
      </w:r>
      <w:r>
        <w:rPr>
          <w:rFonts w:ascii="宋体" w:hAnsi="宋体"/>
          <w:color w:val="auto"/>
          <w:spacing w:val="-11"/>
          <w:highlight w:val="none"/>
        </w:rPr>
        <w:t xml:space="preserve"> %；迟</w:t>
      </w:r>
      <w:r>
        <w:rPr>
          <w:rFonts w:ascii="宋体" w:hAnsi="宋体"/>
          <w:color w:val="auto"/>
          <w:highlight w:val="none"/>
        </w:rPr>
        <w:t>延履行的违约金</w:t>
      </w:r>
      <w:r>
        <w:rPr>
          <w:rFonts w:ascii="宋体" w:hAnsi="宋体"/>
          <w:color w:val="auto"/>
          <w:spacing w:val="-7"/>
          <w:highlight w:val="none"/>
        </w:rPr>
        <w:t>计算数额达到前述最高限额之日起，甲</w:t>
      </w:r>
      <w:r>
        <w:rPr>
          <w:rFonts w:ascii="宋体" w:hAnsi="宋体"/>
          <w:color w:val="auto"/>
          <w:spacing w:val="-1"/>
          <w:highlight w:val="none"/>
        </w:rPr>
        <w:t>方有权在要求乙方支付违约金的同时，书面通知</w:t>
      </w:r>
      <w:r>
        <w:rPr>
          <w:rFonts w:ascii="宋体" w:hAnsi="宋体"/>
          <w:color w:val="auto"/>
          <w:highlight w:val="none"/>
        </w:rPr>
        <w:t>乙方解除本合同；</w:t>
      </w:r>
    </w:p>
    <w:p w14:paraId="568F50D8">
      <w:pPr>
        <w:pStyle w:val="36"/>
        <w:numPr>
          <w:ilvl w:val="2"/>
          <w:numId w:val="24"/>
        </w:numPr>
        <w:tabs>
          <w:tab w:val="left" w:pos="1327"/>
        </w:tabs>
        <w:autoSpaceDE w:val="0"/>
        <w:autoSpaceDN w:val="0"/>
        <w:spacing w:before="3" w:line="360" w:lineRule="auto"/>
        <w:ind w:left="220" w:right="357" w:firstLine="434" w:firstLineChars="0"/>
        <w:rPr>
          <w:rFonts w:ascii="宋体" w:hAnsi="宋体"/>
          <w:color w:val="auto"/>
          <w:highlight w:val="none"/>
        </w:rPr>
      </w:pPr>
      <w:r>
        <w:rPr>
          <w:rFonts w:ascii="宋体" w:hAnsi="宋体"/>
          <w:color w:val="auto"/>
          <w:spacing w:val="-1"/>
          <w:highlight w:val="none"/>
        </w:rPr>
        <w:t>除不可抗力外，如果甲方没有按照本合同约定的付款方式付款，那么</w:t>
      </w:r>
      <w:r>
        <w:rPr>
          <w:rFonts w:ascii="宋体" w:hAnsi="宋体"/>
          <w:color w:val="auto"/>
          <w:highlight w:val="none"/>
        </w:rPr>
        <w:t>乙方可要求甲方支付违约金，违约金按每迟延付款一日的应付而未付款的</w:t>
      </w:r>
      <w:r>
        <w:rPr>
          <w:rFonts w:ascii="宋体" w:hAnsi="宋体"/>
          <w:color w:val="auto"/>
          <w:highlight w:val="none"/>
          <w:u w:val="single"/>
        </w:rPr>
        <w:t xml:space="preserve"> </w:t>
      </w:r>
      <w:r>
        <w:rPr>
          <w:rFonts w:hint="eastAsia" w:ascii="宋体" w:hAnsi="宋体"/>
          <w:color w:val="auto"/>
          <w:highlight w:val="none"/>
          <w:u w:val="single"/>
          <w:lang w:val="en-US" w:eastAsia="zh-CN"/>
        </w:rPr>
        <w:t>0.1</w:t>
      </w:r>
      <w:r>
        <w:rPr>
          <w:rFonts w:ascii="宋体" w:hAnsi="宋体"/>
          <w:color w:val="auto"/>
          <w:spacing w:val="2"/>
          <w:highlight w:val="none"/>
        </w:rPr>
        <w:t xml:space="preserve"> % </w:t>
      </w:r>
      <w:r>
        <w:rPr>
          <w:rFonts w:ascii="宋体" w:hAnsi="宋体"/>
          <w:color w:val="auto"/>
          <w:spacing w:val="-7"/>
          <w:highlight w:val="none"/>
        </w:rPr>
        <w:t>计算，最高限额为本合同总价的</w:t>
      </w:r>
      <w:r>
        <w:rPr>
          <w:rFonts w:ascii="宋体" w:hAnsi="宋体"/>
          <w:color w:val="auto"/>
          <w:highlight w:val="none"/>
          <w:u w:val="single"/>
        </w:rPr>
        <w:t xml:space="preserve"> </w:t>
      </w:r>
      <w:r>
        <w:rPr>
          <w:rFonts w:hint="eastAsia" w:ascii="宋体" w:hAnsi="宋体"/>
          <w:color w:val="auto"/>
          <w:highlight w:val="none"/>
          <w:u w:val="single"/>
          <w:lang w:val="en-US" w:eastAsia="zh-CN"/>
        </w:rPr>
        <w:t>1</w:t>
      </w:r>
      <w:r>
        <w:rPr>
          <w:rFonts w:ascii="宋体" w:hAnsi="宋体"/>
          <w:color w:val="auto"/>
          <w:highlight w:val="none"/>
          <w:u w:val="single"/>
        </w:rPr>
        <w:t xml:space="preserve"> </w:t>
      </w:r>
      <w:r>
        <w:rPr>
          <w:rFonts w:ascii="宋体" w:hAnsi="宋体"/>
          <w:color w:val="auto"/>
          <w:spacing w:val="-1"/>
          <w:highlight w:val="none"/>
        </w:rPr>
        <w:t xml:space="preserve"> %；迟延付款的违约金计算数额达到前述最</w:t>
      </w:r>
      <w:r>
        <w:rPr>
          <w:rFonts w:ascii="宋体" w:hAnsi="宋体"/>
          <w:color w:val="auto"/>
          <w:spacing w:val="-10"/>
          <w:highlight w:val="none"/>
        </w:rPr>
        <w:t>高限额之日起，乙方有权在要求甲方支</w:t>
      </w:r>
      <w:r>
        <w:rPr>
          <w:rFonts w:ascii="宋体" w:hAnsi="宋体"/>
          <w:color w:val="auto"/>
          <w:spacing w:val="-1"/>
          <w:highlight w:val="none"/>
        </w:rPr>
        <w:t>付违约金的同时，书面通知甲方解除本合同；</w:t>
      </w:r>
    </w:p>
    <w:p w14:paraId="3E7E3032">
      <w:pPr>
        <w:pStyle w:val="36"/>
        <w:numPr>
          <w:ilvl w:val="2"/>
          <w:numId w:val="24"/>
        </w:numPr>
        <w:tabs>
          <w:tab w:val="left" w:pos="1327"/>
        </w:tabs>
        <w:autoSpaceDE w:val="0"/>
        <w:autoSpaceDN w:val="0"/>
        <w:spacing w:before="4" w:line="360" w:lineRule="auto"/>
        <w:ind w:left="220" w:right="117" w:firstLine="434" w:firstLineChars="0"/>
        <w:rPr>
          <w:rFonts w:ascii="宋体" w:hAnsi="宋体"/>
          <w:color w:val="auto"/>
          <w:highlight w:val="none"/>
        </w:rPr>
      </w:pPr>
      <w:r>
        <w:rPr>
          <w:rFonts w:ascii="宋体" w:hAnsi="宋体"/>
          <w:color w:val="auto"/>
          <w:highlight w:val="none"/>
        </w:rPr>
        <w:t>除不可抗力外，任</w:t>
      </w:r>
      <w:r>
        <w:rPr>
          <w:rFonts w:ascii="宋体" w:hAnsi="宋体"/>
          <w:color w:val="auto"/>
          <w:spacing w:val="-1"/>
          <w:highlight w:val="none"/>
        </w:rPr>
        <w:t>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 订、履行过程中的行为）的，对方当事人可以书面通知违约方解除本合同</w:t>
      </w:r>
      <w:r>
        <w:rPr>
          <w:rFonts w:ascii="宋体" w:hAnsi="宋体"/>
          <w:color w:val="auto"/>
          <w:spacing w:val="-7"/>
          <w:highlight w:val="none"/>
        </w:rPr>
        <w:t>；</w:t>
      </w:r>
    </w:p>
    <w:p w14:paraId="6F073906">
      <w:pPr>
        <w:pStyle w:val="36"/>
        <w:numPr>
          <w:ilvl w:val="2"/>
          <w:numId w:val="24"/>
        </w:numPr>
        <w:tabs>
          <w:tab w:val="left" w:pos="1327"/>
        </w:tabs>
        <w:autoSpaceDE w:val="0"/>
        <w:autoSpaceDN w:val="0"/>
        <w:spacing w:before="4" w:line="360" w:lineRule="auto"/>
        <w:ind w:left="220" w:right="357" w:firstLine="434" w:firstLineChars="0"/>
        <w:rPr>
          <w:rFonts w:ascii="宋体" w:hAnsi="宋体"/>
          <w:color w:val="auto"/>
          <w:highlight w:val="none"/>
        </w:rPr>
      </w:pPr>
      <w:r>
        <w:rPr>
          <w:rFonts w:ascii="宋体" w:hAnsi="宋体"/>
          <w:color w:val="auto"/>
          <w:spacing w:val="-1"/>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w:t>
      </w:r>
      <w:r>
        <w:rPr>
          <w:rFonts w:ascii="宋体" w:hAnsi="宋体"/>
          <w:color w:val="auto"/>
          <w:highlight w:val="none"/>
        </w:rPr>
        <w:t>或者约定的权利救济方式；</w:t>
      </w:r>
    </w:p>
    <w:p w14:paraId="4CA3E6B6">
      <w:pPr>
        <w:pStyle w:val="36"/>
        <w:numPr>
          <w:ilvl w:val="2"/>
          <w:numId w:val="24"/>
        </w:numPr>
        <w:tabs>
          <w:tab w:val="left" w:pos="1327"/>
        </w:tabs>
        <w:autoSpaceDE w:val="0"/>
        <w:autoSpaceDN w:val="0"/>
        <w:spacing w:before="4" w:line="360" w:lineRule="auto"/>
        <w:ind w:left="220" w:right="357" w:firstLine="434" w:firstLineChars="0"/>
        <w:rPr>
          <w:color w:val="auto"/>
          <w:sz w:val="21"/>
          <w:szCs w:val="21"/>
          <w:highlight w:val="none"/>
        </w:rPr>
      </w:pPr>
      <w:r>
        <w:rPr>
          <w:rFonts w:ascii="宋体" w:hAnsi="宋体"/>
          <w:color w:val="auto"/>
          <w:spacing w:val="-1"/>
          <w:highlight w:val="none"/>
        </w:rPr>
        <w:t>除前述约定外，除不可抗力外，任何一方未能履行本合同约定的义务， 对方当事人均有权要求继续履行、采取补救措施或者赔偿损失等，且对方当事人</w:t>
      </w:r>
      <w:r>
        <w:rPr>
          <w:color w:val="auto"/>
          <w:sz w:val="21"/>
          <w:szCs w:val="21"/>
          <w:highlight w:val="none"/>
        </w:rPr>
        <w:t>行使的任何权利救济方式均不视为其放弃了其他法定或者约定的权利救济方式；</w:t>
      </w:r>
    </w:p>
    <w:p w14:paraId="1CB1CF61">
      <w:pPr>
        <w:pStyle w:val="36"/>
        <w:numPr>
          <w:ilvl w:val="2"/>
          <w:numId w:val="24"/>
        </w:numPr>
        <w:tabs>
          <w:tab w:val="left" w:pos="1327"/>
        </w:tabs>
        <w:autoSpaceDE w:val="0"/>
        <w:autoSpaceDN w:val="0"/>
        <w:spacing w:before="160" w:line="360" w:lineRule="auto"/>
        <w:ind w:left="220" w:right="357" w:firstLine="434" w:firstLineChars="0"/>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0B053D4A">
      <w:pPr>
        <w:pStyle w:val="8"/>
        <w:numPr>
          <w:ilvl w:val="1"/>
          <w:numId w:val="24"/>
        </w:numPr>
        <w:tabs>
          <w:tab w:val="left" w:pos="1142"/>
        </w:tabs>
        <w:spacing w:before="2" w:line="360" w:lineRule="auto"/>
        <w:rPr>
          <w:color w:val="auto"/>
          <w:sz w:val="21"/>
          <w:szCs w:val="21"/>
          <w:highlight w:val="none"/>
        </w:rPr>
      </w:pPr>
      <w:r>
        <w:rPr>
          <w:color w:val="auto"/>
          <w:sz w:val="21"/>
          <w:szCs w:val="21"/>
          <w:highlight w:val="none"/>
        </w:rPr>
        <w:t>合同争议的解决</w:t>
      </w:r>
    </w:p>
    <w:p w14:paraId="20810729">
      <w:pPr>
        <w:pStyle w:val="11"/>
        <w:tabs>
          <w:tab w:val="left" w:pos="6701"/>
        </w:tabs>
        <w:spacing w:before="161" w:line="360" w:lineRule="auto"/>
        <w:ind w:right="116" w:firstLine="434"/>
        <w:rPr>
          <w:color w:val="auto"/>
          <w:sz w:val="21"/>
          <w:szCs w:val="21"/>
          <w:highlight w:val="none"/>
        </w:rPr>
      </w:pPr>
      <w:r>
        <w:rPr>
          <w:color w:val="auto"/>
          <w:sz w:val="21"/>
          <w:szCs w:val="21"/>
          <w:highlight w:val="none"/>
        </w:rPr>
        <w:t>本合同履行过程中发生的任何争议</w:t>
      </w:r>
      <w:r>
        <w:rPr>
          <w:color w:val="auto"/>
          <w:spacing w:val="-48"/>
          <w:sz w:val="21"/>
          <w:szCs w:val="21"/>
          <w:highlight w:val="none"/>
        </w:rPr>
        <w:t>，</w:t>
      </w:r>
      <w:r>
        <w:rPr>
          <w:color w:val="auto"/>
          <w:sz w:val="21"/>
          <w:szCs w:val="21"/>
          <w:highlight w:val="none"/>
        </w:rPr>
        <w:t>双方当事人均可通过和解或者调解解决</w:t>
      </w:r>
      <w:r>
        <w:rPr>
          <w:color w:val="auto"/>
          <w:spacing w:val="-17"/>
          <w:sz w:val="21"/>
          <w:szCs w:val="21"/>
          <w:highlight w:val="none"/>
        </w:rPr>
        <w:t xml:space="preserve">； </w:t>
      </w:r>
      <w:r>
        <w:rPr>
          <w:color w:val="auto"/>
          <w:sz w:val="21"/>
          <w:szCs w:val="21"/>
          <w:highlight w:val="none"/>
        </w:rPr>
        <w:t>不愿和解、调解或者和解、调解不成的，可以选择下列第</w:t>
      </w:r>
      <w:r>
        <w:rPr>
          <w:color w:val="auto"/>
          <w:sz w:val="21"/>
          <w:szCs w:val="21"/>
          <w:highlight w:val="none"/>
          <w:u w:val="single"/>
        </w:rPr>
        <w:t xml:space="preserve"> </w:t>
      </w:r>
      <w:r>
        <w:rPr>
          <w:rFonts w:hint="eastAsia"/>
          <w:color w:val="auto"/>
          <w:sz w:val="21"/>
          <w:szCs w:val="21"/>
          <w:highlight w:val="none"/>
          <w:u w:val="single"/>
          <w:lang w:val="en-US" w:eastAsia="zh-CN"/>
        </w:rPr>
        <w:t>1.7.2</w:t>
      </w:r>
      <w:r>
        <w:rPr>
          <w:color w:val="auto"/>
          <w:sz w:val="21"/>
          <w:szCs w:val="21"/>
          <w:highlight w:val="none"/>
        </w:rPr>
        <w:t>种方式解决：</w:t>
      </w:r>
    </w:p>
    <w:p w14:paraId="1BA0879C">
      <w:pPr>
        <w:pStyle w:val="36"/>
        <w:numPr>
          <w:ilvl w:val="2"/>
          <w:numId w:val="24"/>
        </w:numPr>
        <w:tabs>
          <w:tab w:val="left" w:pos="1327"/>
          <w:tab w:val="left" w:pos="4207"/>
        </w:tabs>
        <w:autoSpaceDE w:val="0"/>
        <w:autoSpaceDN w:val="0"/>
        <w:spacing w:before="1" w:line="360" w:lineRule="auto"/>
        <w:ind w:left="220" w:right="358" w:firstLine="434" w:firstLineChars="0"/>
        <w:rPr>
          <w:rFonts w:ascii="宋体" w:hAnsi="宋体"/>
          <w:color w:val="auto"/>
          <w:highlight w:val="none"/>
        </w:rPr>
      </w:pPr>
      <w:r>
        <w:rPr>
          <w:rFonts w:ascii="宋体" w:hAnsi="宋体"/>
          <w:color w:val="auto"/>
          <w:highlight w:val="none"/>
        </w:rPr>
        <w:t>将争议提交</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仲裁委员会依申请仲裁时其现行有效的</w:t>
      </w:r>
      <w:r>
        <w:rPr>
          <w:rFonts w:ascii="宋体" w:hAnsi="宋体"/>
          <w:color w:val="auto"/>
          <w:spacing w:val="-19"/>
          <w:highlight w:val="none"/>
        </w:rPr>
        <w:t>仲</w:t>
      </w:r>
      <w:r>
        <w:rPr>
          <w:rFonts w:ascii="宋体" w:hAnsi="宋体"/>
          <w:color w:val="auto"/>
          <w:highlight w:val="none"/>
        </w:rPr>
        <w:t>裁规则裁决；</w:t>
      </w:r>
    </w:p>
    <w:p w14:paraId="0D5CF775">
      <w:pPr>
        <w:pStyle w:val="36"/>
        <w:numPr>
          <w:ilvl w:val="2"/>
          <w:numId w:val="24"/>
        </w:numPr>
        <w:tabs>
          <w:tab w:val="left" w:pos="1315"/>
          <w:tab w:val="left" w:pos="443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向</w:t>
      </w:r>
      <w:r>
        <w:rPr>
          <w:rFonts w:ascii="宋体" w:hAnsi="宋体"/>
          <w:color w:val="auto"/>
          <w:highlight w:val="none"/>
          <w:u w:val="single"/>
        </w:rPr>
        <w:t xml:space="preserve"> </w:t>
      </w:r>
      <w:r>
        <w:rPr>
          <w:rFonts w:hint="eastAsia" w:ascii="宋体" w:hAnsi="宋体"/>
          <w:color w:val="auto"/>
          <w:highlight w:val="none"/>
          <w:u w:val="single"/>
          <w:lang w:val="en-US" w:eastAsia="zh-CN"/>
        </w:rPr>
        <w:t>界首市</w:t>
      </w:r>
      <w:r>
        <w:rPr>
          <w:rFonts w:ascii="宋体" w:hAnsi="宋体"/>
          <w:color w:val="auto"/>
          <w:highlight w:val="none"/>
        </w:rPr>
        <w:t>人民法院起诉。</w:t>
      </w:r>
    </w:p>
    <w:p w14:paraId="2250E205">
      <w:pPr>
        <w:pStyle w:val="8"/>
        <w:numPr>
          <w:ilvl w:val="1"/>
          <w:numId w:val="24"/>
        </w:numPr>
        <w:tabs>
          <w:tab w:val="left" w:pos="1142"/>
        </w:tabs>
        <w:spacing w:before="160" w:line="360" w:lineRule="auto"/>
        <w:rPr>
          <w:color w:val="auto"/>
          <w:sz w:val="21"/>
          <w:szCs w:val="21"/>
          <w:highlight w:val="none"/>
        </w:rPr>
      </w:pPr>
      <w:r>
        <w:rPr>
          <w:color w:val="auto"/>
          <w:sz w:val="21"/>
          <w:szCs w:val="21"/>
          <w:highlight w:val="none"/>
        </w:rPr>
        <w:t>合同生效</w:t>
      </w:r>
    </w:p>
    <w:p w14:paraId="0FE57374">
      <w:pPr>
        <w:pStyle w:val="11"/>
        <w:spacing w:before="161" w:line="360" w:lineRule="auto"/>
        <w:ind w:left="654"/>
        <w:rPr>
          <w:color w:val="auto"/>
          <w:sz w:val="21"/>
          <w:szCs w:val="21"/>
          <w:highlight w:val="none"/>
        </w:rPr>
      </w:pPr>
      <w:r>
        <w:rPr>
          <w:color w:val="auto"/>
          <w:sz w:val="21"/>
          <w:szCs w:val="21"/>
          <w:highlight w:val="none"/>
        </w:rPr>
        <w:t>本合同自双方当事人盖章时生效。</w:t>
      </w:r>
    </w:p>
    <w:p w14:paraId="5DCB1868">
      <w:pPr>
        <w:pStyle w:val="11"/>
        <w:spacing w:line="360" w:lineRule="auto"/>
        <w:rPr>
          <w:color w:val="auto"/>
          <w:sz w:val="21"/>
          <w:szCs w:val="21"/>
          <w:highlight w:val="none"/>
        </w:rPr>
      </w:pPr>
    </w:p>
    <w:p w14:paraId="43170D14">
      <w:pPr>
        <w:pStyle w:val="11"/>
        <w:spacing w:line="360" w:lineRule="auto"/>
        <w:rPr>
          <w:color w:val="auto"/>
          <w:sz w:val="21"/>
          <w:szCs w:val="21"/>
          <w:highlight w:val="none"/>
        </w:rPr>
      </w:pPr>
    </w:p>
    <w:p w14:paraId="3E94A3F8">
      <w:pPr>
        <w:pStyle w:val="11"/>
        <w:spacing w:line="360" w:lineRule="auto"/>
        <w:rPr>
          <w:color w:val="auto"/>
          <w:sz w:val="21"/>
          <w:szCs w:val="21"/>
          <w:highlight w:val="none"/>
        </w:rPr>
      </w:pPr>
    </w:p>
    <w:p w14:paraId="00C5DAA4">
      <w:pPr>
        <w:pStyle w:val="11"/>
        <w:spacing w:line="360" w:lineRule="auto"/>
        <w:rPr>
          <w:color w:val="auto"/>
          <w:sz w:val="21"/>
          <w:szCs w:val="21"/>
          <w:highlight w:val="none"/>
        </w:rPr>
      </w:pPr>
    </w:p>
    <w:p w14:paraId="3CE60DB3">
      <w:pPr>
        <w:pStyle w:val="11"/>
        <w:spacing w:line="360" w:lineRule="auto"/>
        <w:rPr>
          <w:color w:val="auto"/>
          <w:sz w:val="21"/>
          <w:szCs w:val="21"/>
          <w:highlight w:val="none"/>
        </w:rPr>
      </w:pPr>
    </w:p>
    <w:p w14:paraId="2EE9C8B3">
      <w:pPr>
        <w:pStyle w:val="11"/>
        <w:spacing w:before="10" w:line="360" w:lineRule="auto"/>
        <w:rPr>
          <w:color w:val="auto"/>
          <w:sz w:val="21"/>
          <w:szCs w:val="21"/>
          <w:highlight w:val="none"/>
        </w:rPr>
      </w:pPr>
    </w:p>
    <w:p w14:paraId="1FAC74A6">
      <w:pPr>
        <w:pStyle w:val="11"/>
        <w:tabs>
          <w:tab w:val="left" w:pos="940"/>
          <w:tab w:val="left" w:pos="1900"/>
          <w:tab w:val="left" w:pos="3940"/>
          <w:tab w:val="left" w:pos="5141"/>
          <w:tab w:val="left" w:pos="6341"/>
          <w:tab w:val="left" w:pos="8381"/>
        </w:tabs>
        <w:spacing w:line="360" w:lineRule="auto"/>
        <w:rPr>
          <w:color w:val="auto"/>
          <w:sz w:val="21"/>
          <w:szCs w:val="21"/>
          <w:highlight w:val="none"/>
        </w:rPr>
      </w:pPr>
      <w:r>
        <w:rPr>
          <w:color w:val="auto"/>
          <w:sz w:val="21"/>
          <w:szCs w:val="21"/>
          <w:highlight w:val="none"/>
        </w:rPr>
        <w:t>甲</w:t>
      </w:r>
      <w:r>
        <w:rPr>
          <w:color w:val="auto"/>
          <w:sz w:val="21"/>
          <w:szCs w:val="21"/>
          <w:highlight w:val="none"/>
        </w:rPr>
        <w:tab/>
      </w:r>
      <w:r>
        <w:rPr>
          <w:color w:val="auto"/>
          <w:sz w:val="21"/>
          <w:szCs w:val="21"/>
          <w:highlight w:val="none"/>
        </w:rPr>
        <w:t>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r>
        <w:rPr>
          <w:color w:val="auto"/>
          <w:sz w:val="21"/>
          <w:szCs w:val="21"/>
          <w:highlight w:val="none"/>
        </w:rPr>
        <w:tab/>
      </w:r>
      <w:r>
        <w:rPr>
          <w:color w:val="auto"/>
          <w:sz w:val="21"/>
          <w:szCs w:val="21"/>
          <w:highlight w:val="none"/>
        </w:rPr>
        <w:t>乙方：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p>
    <w:p w14:paraId="1F9B478F">
      <w:pPr>
        <w:pStyle w:val="11"/>
        <w:spacing w:before="6" w:line="360" w:lineRule="auto"/>
        <w:rPr>
          <w:color w:val="auto"/>
          <w:sz w:val="21"/>
          <w:szCs w:val="21"/>
          <w:highlight w:val="none"/>
        </w:rPr>
      </w:pPr>
    </w:p>
    <w:p w14:paraId="35536608">
      <w:pPr>
        <w:pStyle w:val="11"/>
        <w:tabs>
          <w:tab w:val="left" w:pos="5141"/>
        </w:tabs>
        <w:spacing w:before="66" w:line="360" w:lineRule="auto"/>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1C60821D">
      <w:pPr>
        <w:pStyle w:val="11"/>
        <w:spacing w:before="11" w:line="360" w:lineRule="auto"/>
        <w:rPr>
          <w:color w:val="auto"/>
          <w:sz w:val="21"/>
          <w:szCs w:val="21"/>
          <w:highlight w:val="none"/>
        </w:rPr>
      </w:pPr>
    </w:p>
    <w:p w14:paraId="71468EAB">
      <w:pPr>
        <w:pStyle w:val="11"/>
        <w:tabs>
          <w:tab w:val="left" w:pos="5141"/>
        </w:tabs>
        <w:spacing w:line="360" w:lineRule="auto"/>
        <w:rPr>
          <w:color w:val="auto"/>
          <w:sz w:val="21"/>
          <w:szCs w:val="21"/>
          <w:highlight w:val="none"/>
        </w:rPr>
      </w:pP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r>
        <w:rPr>
          <w:color w:val="auto"/>
          <w:sz w:val="21"/>
          <w:szCs w:val="21"/>
          <w:highlight w:val="none"/>
        </w:rPr>
        <w:tab/>
      </w: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p>
    <w:p w14:paraId="45BED8F3">
      <w:pPr>
        <w:pStyle w:val="11"/>
        <w:spacing w:before="8" w:line="360" w:lineRule="auto"/>
        <w:rPr>
          <w:color w:val="auto"/>
          <w:sz w:val="21"/>
          <w:szCs w:val="21"/>
          <w:highlight w:val="none"/>
        </w:rPr>
      </w:pPr>
    </w:p>
    <w:p w14:paraId="5FC9A558">
      <w:pPr>
        <w:pStyle w:val="11"/>
        <w:tabs>
          <w:tab w:val="left" w:pos="1660"/>
          <w:tab w:val="left" w:pos="2380"/>
          <w:tab w:val="left" w:pos="3100"/>
          <w:tab w:val="left" w:pos="5141"/>
          <w:tab w:val="left" w:pos="6581"/>
          <w:tab w:val="left" w:pos="7301"/>
          <w:tab w:val="left" w:pos="8021"/>
        </w:tabs>
        <w:spacing w:line="360" w:lineRule="auto"/>
        <w:rPr>
          <w:color w:val="auto"/>
          <w:sz w:val="21"/>
          <w:szCs w:val="21"/>
          <w:highlight w:val="none"/>
        </w:rPr>
      </w:pP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r>
        <w:rPr>
          <w:color w:val="auto"/>
          <w:sz w:val="21"/>
          <w:szCs w:val="21"/>
          <w:highlight w:val="none"/>
        </w:rPr>
        <w:tab/>
      </w: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1BBDF1B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6182A794">
      <w:pPr>
        <w:pStyle w:val="8"/>
        <w:spacing w:line="360" w:lineRule="auto"/>
        <w:ind w:left="1367" w:right="1505"/>
        <w:jc w:val="center"/>
        <w:rPr>
          <w:color w:val="auto"/>
          <w:sz w:val="21"/>
          <w:szCs w:val="21"/>
          <w:highlight w:val="none"/>
        </w:rPr>
      </w:pPr>
      <w:r>
        <w:rPr>
          <w:color w:val="auto"/>
          <w:sz w:val="21"/>
          <w:szCs w:val="21"/>
          <w:highlight w:val="none"/>
        </w:rPr>
        <w:t>第二部分 合同一般条款</w:t>
      </w:r>
    </w:p>
    <w:p w14:paraId="3A122906">
      <w:pPr>
        <w:pStyle w:val="8"/>
        <w:numPr>
          <w:ilvl w:val="1"/>
          <w:numId w:val="25"/>
        </w:numPr>
        <w:tabs>
          <w:tab w:val="left" w:pos="1142"/>
        </w:tabs>
        <w:spacing w:before="160" w:line="360" w:lineRule="auto"/>
        <w:rPr>
          <w:color w:val="auto"/>
          <w:sz w:val="21"/>
          <w:szCs w:val="21"/>
          <w:highlight w:val="none"/>
        </w:rPr>
      </w:pPr>
      <w:r>
        <w:rPr>
          <w:color w:val="auto"/>
          <w:sz w:val="21"/>
          <w:szCs w:val="21"/>
          <w:highlight w:val="none"/>
        </w:rPr>
        <w:t>定义</w:t>
      </w:r>
    </w:p>
    <w:p w14:paraId="44CF5612">
      <w:pPr>
        <w:pStyle w:val="11"/>
        <w:spacing w:before="161" w:line="360" w:lineRule="auto"/>
        <w:ind w:left="654"/>
        <w:rPr>
          <w:color w:val="auto"/>
          <w:sz w:val="21"/>
          <w:szCs w:val="21"/>
          <w:highlight w:val="none"/>
        </w:rPr>
      </w:pPr>
      <w:r>
        <w:rPr>
          <w:color w:val="auto"/>
          <w:sz w:val="21"/>
          <w:szCs w:val="21"/>
          <w:highlight w:val="none"/>
        </w:rPr>
        <w:t>本合同中的下列词语应按以下内容进行解释：</w:t>
      </w:r>
    </w:p>
    <w:p w14:paraId="19A1E149">
      <w:pPr>
        <w:pStyle w:val="36"/>
        <w:numPr>
          <w:ilvl w:val="2"/>
          <w:numId w:val="25"/>
        </w:numPr>
        <w:tabs>
          <w:tab w:val="left" w:pos="1256"/>
        </w:tabs>
        <w:autoSpaceDE w:val="0"/>
        <w:autoSpaceDN w:val="0"/>
        <w:spacing w:before="160" w:line="360" w:lineRule="auto"/>
        <w:ind w:right="358" w:firstLine="434" w:firstLineChars="0"/>
        <w:rPr>
          <w:rFonts w:ascii="宋体" w:hAnsi="宋体"/>
          <w:color w:val="auto"/>
          <w:highlight w:val="none"/>
        </w:rPr>
      </w:pPr>
      <w:r>
        <w:rPr>
          <w:rFonts w:ascii="宋体" w:hAnsi="宋体"/>
          <w:color w:val="auto"/>
          <w:highlight w:val="none"/>
        </w:rPr>
        <w:t>“合同”系指采购人和中标人签订的载明双方当事人所达成的协议， 并包括所有的附件、附录和构成合同的其他文件。</w:t>
      </w:r>
    </w:p>
    <w:p w14:paraId="0E68714E">
      <w:pPr>
        <w:pStyle w:val="36"/>
        <w:numPr>
          <w:ilvl w:val="2"/>
          <w:numId w:val="25"/>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“合同价”系指根据合同约定，中标人在完全履行合同义务后，采购人应支付给中标人的价格。</w:t>
      </w:r>
    </w:p>
    <w:p w14:paraId="155157CA">
      <w:pPr>
        <w:pStyle w:val="36"/>
        <w:numPr>
          <w:ilvl w:val="2"/>
          <w:numId w:val="25"/>
        </w:numPr>
        <w:tabs>
          <w:tab w:val="left" w:pos="1256"/>
        </w:tabs>
        <w:autoSpaceDE w:val="0"/>
        <w:autoSpaceDN w:val="0"/>
        <w:spacing w:before="1" w:line="360" w:lineRule="auto"/>
        <w:ind w:right="356" w:firstLine="434" w:firstLineChars="0"/>
        <w:rPr>
          <w:rFonts w:ascii="宋体" w:hAnsi="宋体"/>
          <w:color w:val="auto"/>
          <w:highlight w:val="none"/>
        </w:rPr>
      </w:pPr>
      <w:r>
        <w:rPr>
          <w:rFonts w:ascii="宋体" w:hAnsi="宋体"/>
          <w:color w:val="auto"/>
          <w:highlight w:val="none"/>
        </w:rPr>
        <w:t>“服务”系指中标人根据合同约定应向采购人履行的除货物和工程以</w:t>
      </w:r>
      <w:r>
        <w:rPr>
          <w:rFonts w:ascii="宋体" w:hAnsi="宋体"/>
          <w:color w:val="auto"/>
          <w:spacing w:val="-10"/>
          <w:highlight w:val="none"/>
        </w:rPr>
        <w:t>外的其他政府采购对象，包括采购人自身需要的服务和向社会公众提供的公共服</w:t>
      </w:r>
      <w:r>
        <w:rPr>
          <w:rFonts w:ascii="宋体" w:hAnsi="宋体"/>
          <w:color w:val="auto"/>
          <w:highlight w:val="none"/>
        </w:rPr>
        <w:t>务。</w:t>
      </w:r>
    </w:p>
    <w:p w14:paraId="48F3CC83">
      <w:pPr>
        <w:pStyle w:val="36"/>
        <w:numPr>
          <w:ilvl w:val="2"/>
          <w:numId w:val="25"/>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“甲方”系指与中标人签署合同的采购人；采购人委托采购代理机构代表其与乙方签订合同的，采购人的授权委托书作为合同附件。</w:t>
      </w:r>
    </w:p>
    <w:p w14:paraId="2F151C08">
      <w:pPr>
        <w:pStyle w:val="36"/>
        <w:numPr>
          <w:ilvl w:val="2"/>
          <w:numId w:val="25"/>
        </w:numPr>
        <w:tabs>
          <w:tab w:val="left" w:pos="1256"/>
        </w:tabs>
        <w:autoSpaceDE w:val="0"/>
        <w:autoSpaceDN w:val="0"/>
        <w:spacing w:before="1" w:line="360" w:lineRule="auto"/>
        <w:ind w:right="244" w:firstLine="434" w:firstLineChars="0"/>
        <w:rPr>
          <w:rFonts w:ascii="宋体" w:hAnsi="宋体"/>
          <w:color w:val="auto"/>
          <w:highlight w:val="none"/>
        </w:rPr>
      </w:pPr>
      <w:r>
        <w:rPr>
          <w:rFonts w:ascii="宋体" w:hAnsi="宋体"/>
          <w:color w:val="auto"/>
          <w:highlight w:val="none"/>
        </w:rPr>
        <w:t>“乙方”系指根据合同约定提供服务的中标人；两个以上的自然人、</w:t>
      </w:r>
      <w:r>
        <w:rPr>
          <w:rFonts w:ascii="宋体" w:hAnsi="宋体"/>
          <w:color w:val="auto"/>
          <w:spacing w:val="-1"/>
          <w:highlight w:val="none"/>
        </w:rPr>
        <w:t xml:space="preserve">法人或者其他组织组成一个联合体，以一个供应商的身份共同参加政府采购的， </w:t>
      </w:r>
      <w:r>
        <w:rPr>
          <w:rFonts w:ascii="宋体" w:hAnsi="宋体"/>
          <w:color w:val="auto"/>
          <w:spacing w:val="-4"/>
          <w:highlight w:val="none"/>
        </w:rPr>
        <w:t>联合体各方均应为乙方或者与乙方相同地位的合同当事人，并就合同约定的事项对甲方承担连带责任。</w:t>
      </w:r>
    </w:p>
    <w:p w14:paraId="45C24433">
      <w:pPr>
        <w:pStyle w:val="36"/>
        <w:numPr>
          <w:ilvl w:val="2"/>
          <w:numId w:val="25"/>
        </w:numPr>
        <w:tabs>
          <w:tab w:val="left" w:pos="1256"/>
        </w:tabs>
        <w:autoSpaceDE w:val="0"/>
        <w:autoSpaceDN w:val="0"/>
        <w:spacing w:before="3" w:line="360" w:lineRule="auto"/>
        <w:ind w:left="1255" w:hanging="602" w:firstLineChars="0"/>
        <w:rPr>
          <w:rFonts w:ascii="宋体" w:hAnsi="宋体"/>
          <w:color w:val="auto"/>
          <w:highlight w:val="none"/>
        </w:rPr>
      </w:pPr>
      <w:r>
        <w:rPr>
          <w:rFonts w:ascii="宋体" w:hAnsi="宋体"/>
          <w:color w:val="auto"/>
          <w:highlight w:val="none"/>
        </w:rPr>
        <w:t>“现场”系指合同约定提供服务的地点。</w:t>
      </w:r>
    </w:p>
    <w:p w14:paraId="3E5DC2D7">
      <w:pPr>
        <w:pStyle w:val="8"/>
        <w:numPr>
          <w:ilvl w:val="1"/>
          <w:numId w:val="25"/>
        </w:numPr>
        <w:tabs>
          <w:tab w:val="left" w:pos="1142"/>
        </w:tabs>
        <w:spacing w:before="161" w:line="360" w:lineRule="auto"/>
        <w:rPr>
          <w:color w:val="auto"/>
          <w:sz w:val="21"/>
          <w:szCs w:val="21"/>
          <w:highlight w:val="none"/>
        </w:rPr>
      </w:pPr>
      <w:r>
        <w:rPr>
          <w:color w:val="auto"/>
          <w:sz w:val="21"/>
          <w:szCs w:val="21"/>
          <w:highlight w:val="none"/>
        </w:rPr>
        <w:t>技术规范</w:t>
      </w:r>
    </w:p>
    <w:p w14:paraId="18CDC103">
      <w:pPr>
        <w:pStyle w:val="11"/>
        <w:spacing w:before="160" w:line="360" w:lineRule="auto"/>
        <w:ind w:right="356" w:firstLine="434"/>
        <w:jc w:val="both"/>
        <w:rPr>
          <w:color w:val="auto"/>
          <w:sz w:val="21"/>
          <w:szCs w:val="21"/>
          <w:highlight w:val="none"/>
        </w:rPr>
      </w:pPr>
      <w:r>
        <w:rPr>
          <w:color w:val="auto"/>
          <w:sz w:val="21"/>
          <w:szCs w:val="21"/>
          <w:highlight w:val="none"/>
        </w:rPr>
        <w:t>货物所应遵守的技术规范应与采购文件规定的技术规范和技术规范附件(如</w:t>
      </w:r>
      <w:r>
        <w:rPr>
          <w:color w:val="auto"/>
          <w:spacing w:val="-1"/>
          <w:sz w:val="21"/>
          <w:szCs w:val="21"/>
          <w:highlight w:val="none"/>
        </w:rPr>
        <w:t>果有的话)及其技术规范偏差表(如果被甲方接受的话)相一致；如果采购文件中</w:t>
      </w:r>
      <w:r>
        <w:rPr>
          <w:color w:val="auto"/>
          <w:spacing w:val="-9"/>
          <w:sz w:val="21"/>
          <w:szCs w:val="21"/>
          <w:highlight w:val="none"/>
        </w:rPr>
        <w:t>没有技术规范的相应说明，那么应以国家有关部门最新颁布的相应标准和规范为</w:t>
      </w:r>
      <w:r>
        <w:rPr>
          <w:color w:val="auto"/>
          <w:sz w:val="21"/>
          <w:szCs w:val="21"/>
          <w:highlight w:val="none"/>
        </w:rPr>
        <w:t>准。</w:t>
      </w:r>
    </w:p>
    <w:p w14:paraId="3BC4B300">
      <w:pPr>
        <w:pStyle w:val="8"/>
        <w:numPr>
          <w:ilvl w:val="1"/>
          <w:numId w:val="25"/>
        </w:numPr>
        <w:tabs>
          <w:tab w:val="left" w:pos="1142"/>
        </w:tabs>
        <w:spacing w:before="3" w:line="360" w:lineRule="auto"/>
        <w:rPr>
          <w:color w:val="auto"/>
          <w:sz w:val="21"/>
          <w:szCs w:val="21"/>
          <w:highlight w:val="none"/>
        </w:rPr>
      </w:pPr>
      <w:r>
        <w:rPr>
          <w:color w:val="auto"/>
          <w:sz w:val="21"/>
          <w:szCs w:val="21"/>
          <w:highlight w:val="none"/>
        </w:rPr>
        <w:t>知识产权</w:t>
      </w:r>
    </w:p>
    <w:p w14:paraId="6E88F037">
      <w:pPr>
        <w:pStyle w:val="36"/>
        <w:numPr>
          <w:ilvl w:val="2"/>
          <w:numId w:val="25"/>
        </w:numPr>
        <w:tabs>
          <w:tab w:val="left" w:pos="1327"/>
        </w:tabs>
        <w:autoSpaceDE w:val="0"/>
        <w:autoSpaceDN w:val="0"/>
        <w:spacing w:before="161" w:line="360" w:lineRule="auto"/>
        <w:ind w:right="356" w:firstLine="434" w:firstLineChars="0"/>
        <w:rPr>
          <w:rFonts w:ascii="宋体" w:hAnsi="宋体"/>
          <w:color w:val="auto"/>
          <w:highlight w:val="none"/>
        </w:rPr>
      </w:pPr>
      <w:r>
        <w:rPr>
          <w:rFonts w:ascii="宋体" w:hAnsi="宋体"/>
          <w:color w:val="auto"/>
          <w:spacing w:val="-1"/>
          <w:highlight w:val="none"/>
        </w:rPr>
        <w:t>乙方应保证其提供的服务不受任何第三方提出的侵犯其著作权、商标</w:t>
      </w:r>
      <w:r>
        <w:rPr>
          <w:rFonts w:ascii="宋体" w:hAnsi="宋体"/>
          <w:color w:val="auto"/>
          <w:spacing w:val="-10"/>
          <w:highlight w:val="none"/>
        </w:rPr>
        <w:t>权、专利权等知识产权方面的起诉；如果任何第三方提出侵权指控，那么乙方须</w:t>
      </w:r>
      <w:r>
        <w:rPr>
          <w:rFonts w:ascii="宋体" w:hAnsi="宋体"/>
          <w:color w:val="auto"/>
          <w:highlight w:val="none"/>
        </w:rPr>
        <w:t>与该第三方交涉并承担由此发生的一切责任、费用和赔偿；</w:t>
      </w:r>
    </w:p>
    <w:p w14:paraId="1C07DC4F">
      <w:pPr>
        <w:pStyle w:val="36"/>
        <w:numPr>
          <w:ilvl w:val="2"/>
          <w:numId w:val="25"/>
        </w:numPr>
        <w:tabs>
          <w:tab w:val="left" w:pos="1322"/>
        </w:tabs>
        <w:autoSpaceDE w:val="0"/>
        <w:autoSpaceDN w:val="0"/>
        <w:spacing w:line="360" w:lineRule="auto"/>
        <w:ind w:right="356" w:firstLine="434" w:firstLineChars="0"/>
        <w:rPr>
          <w:rFonts w:ascii="宋体" w:hAnsi="宋体"/>
          <w:color w:val="auto"/>
          <w:highlight w:val="none"/>
        </w:rPr>
      </w:pPr>
      <w:r>
        <w:rPr>
          <w:rFonts w:ascii="宋体" w:hAnsi="宋体"/>
          <w:color w:val="auto"/>
          <w:spacing w:val="-10"/>
          <w:highlight w:val="none"/>
        </w:rPr>
        <w:t>具有知识产权的计算机软件等货物的知识产权归属，详见</w:t>
      </w:r>
      <w:r>
        <w:rPr>
          <w:rFonts w:ascii="宋体" w:hAnsi="宋体"/>
          <w:b/>
          <w:color w:val="auto"/>
          <w:highlight w:val="none"/>
          <w:u w:val="single"/>
        </w:rPr>
        <w:t>合同专用条款</w:t>
      </w:r>
      <w:r>
        <w:rPr>
          <w:rFonts w:ascii="宋体" w:hAnsi="宋体"/>
          <w:color w:val="auto"/>
          <w:highlight w:val="none"/>
        </w:rPr>
        <w:t>。</w:t>
      </w:r>
    </w:p>
    <w:p w14:paraId="0B3CFC25">
      <w:pPr>
        <w:pStyle w:val="8"/>
        <w:numPr>
          <w:ilvl w:val="1"/>
          <w:numId w:val="25"/>
        </w:numPr>
        <w:tabs>
          <w:tab w:val="left" w:pos="1142"/>
        </w:tabs>
        <w:spacing w:before="3" w:line="360" w:lineRule="auto"/>
        <w:rPr>
          <w:color w:val="auto"/>
          <w:sz w:val="21"/>
          <w:szCs w:val="21"/>
          <w:highlight w:val="none"/>
        </w:rPr>
      </w:pPr>
      <w:r>
        <w:rPr>
          <w:color w:val="auto"/>
          <w:sz w:val="21"/>
          <w:szCs w:val="21"/>
          <w:highlight w:val="none"/>
        </w:rPr>
        <w:t>履约检查和问题反馈</w:t>
      </w:r>
    </w:p>
    <w:p w14:paraId="002F834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5A689742">
      <w:pPr>
        <w:pStyle w:val="36"/>
        <w:numPr>
          <w:ilvl w:val="2"/>
          <w:numId w:val="25"/>
        </w:numPr>
        <w:tabs>
          <w:tab w:val="left" w:pos="1327"/>
        </w:tabs>
        <w:autoSpaceDE w:val="0"/>
        <w:autoSpaceDN w:val="0"/>
        <w:spacing w:before="132" w:line="360" w:lineRule="auto"/>
        <w:ind w:right="356" w:firstLine="434" w:firstLineChars="0"/>
        <w:rPr>
          <w:rFonts w:ascii="宋体" w:hAnsi="宋体"/>
          <w:color w:val="auto"/>
          <w:highlight w:val="none"/>
        </w:rPr>
      </w:pPr>
      <w:r>
        <w:rPr>
          <w:rFonts w:ascii="宋体" w:hAnsi="宋体"/>
          <w:color w:val="auto"/>
          <w:spacing w:val="-1"/>
          <w:highlight w:val="none"/>
        </w:rPr>
        <w:t>甲方有权在其认为必要时，对乙方是否能够按照合同约定提供服务进</w:t>
      </w:r>
      <w:r>
        <w:rPr>
          <w:rFonts w:ascii="宋体" w:hAnsi="宋体"/>
          <w:color w:val="auto"/>
          <w:spacing w:val="-10"/>
          <w:highlight w:val="none"/>
        </w:rPr>
        <w:t>行履约检查，以确保乙方所提供的服务能够依约满足甲方项目需求，但不得因履</w:t>
      </w:r>
      <w:r>
        <w:rPr>
          <w:rFonts w:ascii="宋体" w:hAnsi="宋体"/>
          <w:color w:val="auto"/>
          <w:highlight w:val="none"/>
        </w:rPr>
        <w:t>约检查妨碍乙方的正常工作，乙方应予积极配合；</w:t>
      </w:r>
    </w:p>
    <w:p w14:paraId="0FCF3B8C">
      <w:pPr>
        <w:pStyle w:val="36"/>
        <w:numPr>
          <w:ilvl w:val="2"/>
          <w:numId w:val="25"/>
        </w:numPr>
        <w:tabs>
          <w:tab w:val="left" w:pos="1327"/>
        </w:tabs>
        <w:autoSpaceDE w:val="0"/>
        <w:autoSpaceDN w:val="0"/>
        <w:spacing w:before="2" w:line="360" w:lineRule="auto"/>
        <w:ind w:right="357" w:firstLine="434" w:firstLineChars="0"/>
        <w:rPr>
          <w:rFonts w:ascii="宋体" w:hAnsi="宋体"/>
          <w:color w:val="auto"/>
          <w:highlight w:val="none"/>
        </w:rPr>
      </w:pPr>
      <w:r>
        <w:rPr>
          <w:rFonts w:ascii="宋体" w:hAnsi="宋体"/>
          <w:color w:val="auto"/>
          <w:spacing w:val="-1"/>
          <w:highlight w:val="none"/>
        </w:rPr>
        <w:t>合同履行期间，甲方有权将履行过程中出现的问题反馈给乙方，双方</w:t>
      </w:r>
      <w:r>
        <w:rPr>
          <w:rFonts w:ascii="宋体" w:hAnsi="宋体"/>
          <w:color w:val="auto"/>
          <w:highlight w:val="none"/>
        </w:rPr>
        <w:t>当事人应以书面形式约定需要完善和改进的内容。</w:t>
      </w:r>
    </w:p>
    <w:p w14:paraId="7F6A4092">
      <w:pPr>
        <w:pStyle w:val="36"/>
        <w:numPr>
          <w:ilvl w:val="1"/>
          <w:numId w:val="25"/>
        </w:numPr>
        <w:tabs>
          <w:tab w:val="left" w:pos="1142"/>
        </w:tabs>
        <w:autoSpaceDE w:val="0"/>
        <w:autoSpaceDN w:val="0"/>
        <w:spacing w:before="1" w:line="360" w:lineRule="auto"/>
        <w:ind w:left="654" w:right="5575" w:firstLine="2" w:firstLineChars="0"/>
        <w:rPr>
          <w:rFonts w:ascii="宋体" w:hAnsi="宋体"/>
          <w:color w:val="auto"/>
          <w:highlight w:val="none"/>
        </w:rPr>
      </w:pPr>
      <w:r>
        <w:rPr>
          <w:rFonts w:ascii="宋体" w:hAnsi="宋体"/>
          <w:b/>
          <w:color w:val="auto"/>
          <w:spacing w:val="-2"/>
          <w:highlight w:val="none"/>
        </w:rPr>
        <w:t>结算方式和付款条件</w:t>
      </w:r>
      <w:r>
        <w:rPr>
          <w:rFonts w:ascii="宋体" w:hAnsi="宋体"/>
          <w:color w:val="auto"/>
          <w:highlight w:val="none"/>
        </w:rPr>
        <w:t>详见</w:t>
      </w:r>
      <w:r>
        <w:rPr>
          <w:rFonts w:ascii="宋体" w:hAnsi="宋体"/>
          <w:b/>
          <w:color w:val="auto"/>
          <w:highlight w:val="none"/>
          <w:u w:val="single"/>
        </w:rPr>
        <w:t>合同专用条款</w:t>
      </w:r>
      <w:r>
        <w:rPr>
          <w:rFonts w:ascii="宋体" w:hAnsi="宋体"/>
          <w:color w:val="auto"/>
          <w:highlight w:val="none"/>
        </w:rPr>
        <w:t>。</w:t>
      </w:r>
    </w:p>
    <w:p w14:paraId="2FEC7BAE">
      <w:pPr>
        <w:pStyle w:val="8"/>
        <w:numPr>
          <w:ilvl w:val="1"/>
          <w:numId w:val="25"/>
        </w:numPr>
        <w:tabs>
          <w:tab w:val="left" w:pos="1142"/>
        </w:tabs>
        <w:spacing w:before="1" w:line="360" w:lineRule="auto"/>
        <w:rPr>
          <w:color w:val="auto"/>
          <w:sz w:val="21"/>
          <w:szCs w:val="21"/>
          <w:highlight w:val="none"/>
        </w:rPr>
      </w:pPr>
      <w:r>
        <w:rPr>
          <w:color w:val="auto"/>
          <w:sz w:val="21"/>
          <w:szCs w:val="21"/>
          <w:highlight w:val="none"/>
        </w:rPr>
        <w:t>技术资料和保密义务</w:t>
      </w:r>
    </w:p>
    <w:p w14:paraId="0D7ECCA0">
      <w:pPr>
        <w:pStyle w:val="36"/>
        <w:numPr>
          <w:ilvl w:val="2"/>
          <w:numId w:val="25"/>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乙方有权依据合同约定和项目需要，向甲方了解有关情况，调阅有关</w:t>
      </w:r>
      <w:r>
        <w:rPr>
          <w:rFonts w:ascii="宋体" w:hAnsi="宋体"/>
          <w:color w:val="auto"/>
          <w:highlight w:val="none"/>
        </w:rPr>
        <w:t>资料等，甲方应予积极配合；</w:t>
      </w:r>
    </w:p>
    <w:p w14:paraId="1B422FCD">
      <w:pPr>
        <w:pStyle w:val="36"/>
        <w:numPr>
          <w:ilvl w:val="2"/>
          <w:numId w:val="25"/>
        </w:numPr>
        <w:tabs>
          <w:tab w:val="left" w:pos="1315"/>
        </w:tabs>
        <w:autoSpaceDE w:val="0"/>
        <w:autoSpaceDN w:val="0"/>
        <w:spacing w:before="2" w:line="360" w:lineRule="auto"/>
        <w:ind w:left="1314" w:hanging="661" w:firstLineChars="0"/>
        <w:rPr>
          <w:rFonts w:ascii="宋体" w:hAnsi="宋体"/>
          <w:color w:val="auto"/>
          <w:highlight w:val="none"/>
        </w:rPr>
      </w:pPr>
      <w:r>
        <w:rPr>
          <w:rFonts w:ascii="宋体" w:hAnsi="宋体"/>
          <w:color w:val="auto"/>
          <w:highlight w:val="none"/>
        </w:rPr>
        <w:t>乙方有义务妥善保管和保护由甲方提供的前款信息和资料等；</w:t>
      </w:r>
    </w:p>
    <w:p w14:paraId="0317AAD0">
      <w:pPr>
        <w:pStyle w:val="36"/>
        <w:numPr>
          <w:ilvl w:val="2"/>
          <w:numId w:val="25"/>
        </w:numPr>
        <w:tabs>
          <w:tab w:val="left" w:pos="1327"/>
        </w:tabs>
        <w:autoSpaceDE w:val="0"/>
        <w:autoSpaceDN w:val="0"/>
        <w:spacing w:before="160" w:line="360" w:lineRule="auto"/>
        <w:ind w:right="355" w:firstLine="434" w:firstLineChars="0"/>
        <w:rPr>
          <w:rFonts w:ascii="宋体" w:hAnsi="宋体"/>
          <w:color w:val="auto"/>
          <w:highlight w:val="none"/>
        </w:rPr>
      </w:pPr>
      <w:r>
        <w:rPr>
          <w:rFonts w:ascii="宋体" w:hAnsi="宋体"/>
          <w:color w:val="auto"/>
          <w:spacing w:val="-1"/>
          <w:highlight w:val="none"/>
        </w:rPr>
        <w:t>除非依照法律规定或者对方当事人的书面同意，任何一方均应保证不</w:t>
      </w:r>
      <w:r>
        <w:rPr>
          <w:rFonts w:ascii="宋体" w:hAnsi="宋体"/>
          <w:color w:val="auto"/>
          <w:highlight w:val="none"/>
        </w:rPr>
        <w:t>向任何第三方提供或披露有关合同的或者履行合同过程中知悉的对方当事人任</w:t>
      </w:r>
      <w:r>
        <w:rPr>
          <w:rFonts w:ascii="宋体" w:hAnsi="宋体"/>
          <w:color w:val="auto"/>
          <w:spacing w:val="-7"/>
          <w:highlight w:val="none"/>
        </w:rPr>
        <w:t>何未公开的信息和资料，包括但不限于技术情报、技术资料、商业秘密和商业信</w:t>
      </w:r>
      <w:r>
        <w:rPr>
          <w:rFonts w:ascii="宋体" w:hAnsi="宋体"/>
          <w:color w:val="auto"/>
          <w:spacing w:val="-12"/>
          <w:highlight w:val="none"/>
        </w:rPr>
        <w:t>息等，并采取一切合理和必要措施和方式防止任何第三方接触到对方当事人的上</w:t>
      </w:r>
      <w:r>
        <w:rPr>
          <w:rFonts w:ascii="宋体" w:hAnsi="宋体"/>
          <w:color w:val="auto"/>
          <w:highlight w:val="none"/>
        </w:rPr>
        <w:t>述保密信息和资料。</w:t>
      </w:r>
    </w:p>
    <w:p w14:paraId="15CF9A50">
      <w:pPr>
        <w:pStyle w:val="8"/>
        <w:numPr>
          <w:ilvl w:val="1"/>
          <w:numId w:val="25"/>
        </w:numPr>
        <w:tabs>
          <w:tab w:val="left" w:pos="1142"/>
        </w:tabs>
        <w:spacing w:before="4" w:line="360" w:lineRule="auto"/>
        <w:rPr>
          <w:color w:val="auto"/>
          <w:sz w:val="21"/>
          <w:szCs w:val="21"/>
          <w:highlight w:val="none"/>
        </w:rPr>
      </w:pPr>
      <w:r>
        <w:rPr>
          <w:color w:val="auto"/>
          <w:sz w:val="21"/>
          <w:szCs w:val="21"/>
          <w:highlight w:val="none"/>
        </w:rPr>
        <w:t>质量保证</w:t>
      </w:r>
    </w:p>
    <w:p w14:paraId="38B47A7D">
      <w:pPr>
        <w:pStyle w:val="36"/>
        <w:numPr>
          <w:ilvl w:val="2"/>
          <w:numId w:val="25"/>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乙方应建立和完善履行合同的内部质量保证体系，并提供相关内部规</w:t>
      </w:r>
      <w:r>
        <w:rPr>
          <w:rFonts w:ascii="宋体" w:hAnsi="宋体"/>
          <w:color w:val="auto"/>
          <w:highlight w:val="none"/>
        </w:rPr>
        <w:t>章制度给甲方，以便甲方进行监督检查；</w:t>
      </w:r>
    </w:p>
    <w:p w14:paraId="20A47BEA">
      <w:pPr>
        <w:pStyle w:val="36"/>
        <w:numPr>
          <w:ilvl w:val="2"/>
          <w:numId w:val="25"/>
        </w:numPr>
        <w:tabs>
          <w:tab w:val="left" w:pos="1327"/>
        </w:tabs>
        <w:autoSpaceDE w:val="0"/>
        <w:autoSpaceDN w:val="0"/>
        <w:spacing w:before="1" w:line="360" w:lineRule="auto"/>
        <w:ind w:right="357" w:firstLine="434" w:firstLineChars="0"/>
        <w:rPr>
          <w:rFonts w:ascii="宋体" w:hAnsi="宋体"/>
          <w:color w:val="auto"/>
          <w:highlight w:val="none"/>
        </w:rPr>
      </w:pPr>
      <w:r>
        <w:rPr>
          <w:rFonts w:ascii="宋体" w:hAnsi="宋体"/>
          <w:color w:val="auto"/>
          <w:spacing w:val="-1"/>
          <w:highlight w:val="none"/>
        </w:rPr>
        <w:t>乙方应保证履行合同的人员数量和素质、软件和硬件设备的配置、场</w:t>
      </w:r>
      <w:r>
        <w:rPr>
          <w:rFonts w:ascii="宋体" w:hAnsi="宋体"/>
          <w:color w:val="auto"/>
          <w:highlight w:val="none"/>
        </w:rPr>
        <w:t>地、环境和设施等满足全面履行合同的要求，并应接受甲方的监督检查。</w:t>
      </w:r>
    </w:p>
    <w:p w14:paraId="33B7BD95">
      <w:pPr>
        <w:pStyle w:val="8"/>
        <w:numPr>
          <w:ilvl w:val="1"/>
          <w:numId w:val="25"/>
        </w:numPr>
        <w:tabs>
          <w:tab w:val="left" w:pos="1142"/>
        </w:tabs>
        <w:spacing w:before="2" w:line="360" w:lineRule="auto"/>
        <w:rPr>
          <w:color w:val="auto"/>
          <w:sz w:val="21"/>
          <w:szCs w:val="21"/>
          <w:highlight w:val="none"/>
        </w:rPr>
      </w:pPr>
      <w:r>
        <w:rPr>
          <w:color w:val="auto"/>
          <w:sz w:val="21"/>
          <w:szCs w:val="21"/>
          <w:highlight w:val="none"/>
        </w:rPr>
        <w:t>延迟履行</w:t>
      </w:r>
    </w:p>
    <w:p w14:paraId="71852F92">
      <w:pPr>
        <w:pStyle w:val="11"/>
        <w:spacing w:before="161" w:line="360" w:lineRule="auto"/>
        <w:ind w:right="239" w:firstLine="434"/>
        <w:rPr>
          <w:color w:val="auto"/>
          <w:sz w:val="21"/>
          <w:szCs w:val="21"/>
          <w:highlight w:val="none"/>
        </w:rPr>
      </w:pPr>
      <w:r>
        <w:rPr>
          <w:color w:val="auto"/>
          <w:spacing w:val="-4"/>
          <w:sz w:val="21"/>
          <w:szCs w:val="21"/>
          <w:highlight w:val="none"/>
        </w:rPr>
        <w:t>在合同履行过程中，如果乙方遇到不能按时提供服务的情况，应及时以书面</w:t>
      </w:r>
      <w:r>
        <w:rPr>
          <w:color w:val="auto"/>
          <w:spacing w:val="-16"/>
          <w:sz w:val="21"/>
          <w:szCs w:val="21"/>
          <w:highlight w:val="none"/>
        </w:rPr>
        <w:t xml:space="preserve">形式将不能按时提供服务的理由、预期延误时间通知甲方；甲方收到乙方通知后， </w:t>
      </w:r>
      <w:r>
        <w:rPr>
          <w:color w:val="auto"/>
          <w:sz w:val="21"/>
          <w:szCs w:val="21"/>
          <w:highlight w:val="none"/>
        </w:rPr>
        <w:t>认为其理由正当的，可以书面形式酌情同意乙方可以延长履行的具体时间。</w:t>
      </w:r>
    </w:p>
    <w:p w14:paraId="0C1A33CD">
      <w:pPr>
        <w:pStyle w:val="8"/>
        <w:numPr>
          <w:ilvl w:val="1"/>
          <w:numId w:val="25"/>
        </w:numPr>
        <w:tabs>
          <w:tab w:val="left" w:pos="1142"/>
        </w:tabs>
        <w:spacing w:before="1" w:line="360" w:lineRule="auto"/>
        <w:rPr>
          <w:color w:val="auto"/>
          <w:sz w:val="21"/>
          <w:szCs w:val="21"/>
          <w:highlight w:val="none"/>
        </w:rPr>
      </w:pPr>
      <w:r>
        <w:rPr>
          <w:color w:val="auto"/>
          <w:sz w:val="21"/>
          <w:szCs w:val="21"/>
          <w:highlight w:val="none"/>
        </w:rPr>
        <w:t>合同变更</w:t>
      </w:r>
    </w:p>
    <w:p w14:paraId="40C95489">
      <w:pPr>
        <w:pStyle w:val="36"/>
        <w:numPr>
          <w:ilvl w:val="2"/>
          <w:numId w:val="25"/>
        </w:numPr>
        <w:tabs>
          <w:tab w:val="left" w:pos="1327"/>
        </w:tabs>
        <w:autoSpaceDE w:val="0"/>
        <w:autoSpaceDN w:val="0"/>
        <w:spacing w:before="161" w:line="360" w:lineRule="auto"/>
        <w:ind w:right="357" w:firstLine="434" w:firstLineChars="0"/>
        <w:rPr>
          <w:rFonts w:ascii="宋体" w:hAnsi="宋体"/>
          <w:color w:val="auto"/>
          <w:highlight w:val="none"/>
        </w:rPr>
      </w:pPr>
      <w:r>
        <w:rPr>
          <w:rFonts w:ascii="宋体" w:hAnsi="宋体"/>
          <w:color w:val="auto"/>
          <w:spacing w:val="-1"/>
          <w:highlight w:val="none"/>
        </w:rPr>
        <w:t>双方当事人协商一致，可以签订书面补充合同的形式变更合同，但不</w:t>
      </w:r>
      <w:r>
        <w:rPr>
          <w:rFonts w:ascii="宋体" w:hAnsi="宋体"/>
          <w:color w:val="auto"/>
          <w:highlight w:val="none"/>
        </w:rPr>
        <w:t>得违背采购文件确定的事项；</w:t>
      </w:r>
    </w:p>
    <w:p w14:paraId="2E670871">
      <w:pPr>
        <w:pStyle w:val="36"/>
        <w:numPr>
          <w:ilvl w:val="2"/>
          <w:numId w:val="25"/>
        </w:numPr>
        <w:tabs>
          <w:tab w:val="left" w:pos="1327"/>
        </w:tabs>
        <w:autoSpaceDE w:val="0"/>
        <w:autoSpaceDN w:val="0"/>
        <w:spacing w:before="1" w:line="360" w:lineRule="auto"/>
        <w:ind w:left="1326" w:hanging="673" w:firstLineChars="0"/>
        <w:rPr>
          <w:rFonts w:ascii="宋体" w:hAnsi="宋体"/>
          <w:color w:val="auto"/>
          <w:highlight w:val="none"/>
        </w:rPr>
      </w:pPr>
      <w:r>
        <w:rPr>
          <w:rFonts w:ascii="宋体" w:hAnsi="宋体"/>
          <w:color w:val="auto"/>
          <w:highlight w:val="none"/>
        </w:rPr>
        <w:t>合同继续履行将损害国家利益和社会公共利益的，双方当事人应当以</w:t>
      </w:r>
    </w:p>
    <w:p w14:paraId="4AEB2FF1">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0EF1CD4">
      <w:pPr>
        <w:pStyle w:val="11"/>
        <w:spacing w:before="132" w:line="360" w:lineRule="auto"/>
        <w:ind w:right="240"/>
        <w:rPr>
          <w:color w:val="auto"/>
          <w:sz w:val="21"/>
          <w:szCs w:val="21"/>
          <w:highlight w:val="none"/>
        </w:rPr>
      </w:pPr>
      <w:r>
        <w:rPr>
          <w:color w:val="auto"/>
          <w:sz w:val="21"/>
          <w:szCs w:val="21"/>
          <w:highlight w:val="none"/>
        </w:rPr>
        <w:t>书面形式变更合同。有过错的一方应当承担赔偿责任，双方当事人都有过错的， 各自承担相应的责任。</w:t>
      </w:r>
    </w:p>
    <w:p w14:paraId="6B92F6E3">
      <w:pPr>
        <w:pStyle w:val="8"/>
        <w:numPr>
          <w:ilvl w:val="1"/>
          <w:numId w:val="25"/>
        </w:numPr>
        <w:tabs>
          <w:tab w:val="left" w:pos="1262"/>
        </w:tabs>
        <w:spacing w:before="1" w:line="360" w:lineRule="auto"/>
        <w:ind w:left="1262" w:hanging="605"/>
        <w:rPr>
          <w:color w:val="auto"/>
          <w:sz w:val="21"/>
          <w:szCs w:val="21"/>
          <w:highlight w:val="none"/>
        </w:rPr>
      </w:pPr>
      <w:r>
        <w:rPr>
          <w:color w:val="auto"/>
          <w:sz w:val="21"/>
          <w:szCs w:val="21"/>
          <w:highlight w:val="none"/>
        </w:rPr>
        <w:t>合同转让和分包</w:t>
      </w:r>
    </w:p>
    <w:p w14:paraId="0DA57989">
      <w:pPr>
        <w:pStyle w:val="11"/>
        <w:spacing w:before="161" w:line="360" w:lineRule="auto"/>
        <w:ind w:right="356" w:firstLine="434"/>
        <w:jc w:val="both"/>
        <w:rPr>
          <w:color w:val="auto"/>
          <w:sz w:val="21"/>
          <w:szCs w:val="21"/>
          <w:highlight w:val="none"/>
        </w:rPr>
      </w:pPr>
      <w:r>
        <w:rPr>
          <w:color w:val="auto"/>
          <w:spacing w:val="-5"/>
          <w:sz w:val="21"/>
          <w:szCs w:val="21"/>
          <w:highlight w:val="none"/>
        </w:rPr>
        <w:t>合同的权利义务依法不得转让，但经甲方同意，乙方可以依法采取分包方式</w:t>
      </w:r>
      <w:r>
        <w:rPr>
          <w:color w:val="auto"/>
          <w:spacing w:val="-11"/>
          <w:sz w:val="21"/>
          <w:szCs w:val="21"/>
          <w:highlight w:val="none"/>
        </w:rPr>
        <w:t>履行合同，即：依法可以将合同项下的部分非主体、非关键性工作分包给他人完</w:t>
      </w:r>
      <w:r>
        <w:rPr>
          <w:color w:val="auto"/>
          <w:spacing w:val="-10"/>
          <w:sz w:val="21"/>
          <w:szCs w:val="21"/>
          <w:highlight w:val="none"/>
        </w:rPr>
        <w:t>成，接受分包的人应当具备相应的资格条件，并不得再次分包，且乙方应就分包</w:t>
      </w:r>
      <w:r>
        <w:rPr>
          <w:color w:val="auto"/>
          <w:sz w:val="21"/>
          <w:szCs w:val="21"/>
          <w:highlight w:val="none"/>
        </w:rPr>
        <w:t>项目向甲方负责，并与分包供应商就分包项目向甲方承担连带责任。</w:t>
      </w:r>
    </w:p>
    <w:p w14:paraId="6DD593E6">
      <w:pPr>
        <w:pStyle w:val="8"/>
        <w:numPr>
          <w:ilvl w:val="1"/>
          <w:numId w:val="25"/>
        </w:numPr>
        <w:tabs>
          <w:tab w:val="left" w:pos="1262"/>
        </w:tabs>
        <w:spacing w:before="3" w:line="360" w:lineRule="auto"/>
        <w:ind w:left="1262" w:hanging="605"/>
        <w:rPr>
          <w:color w:val="auto"/>
          <w:sz w:val="21"/>
          <w:szCs w:val="21"/>
          <w:highlight w:val="none"/>
        </w:rPr>
      </w:pPr>
      <w:r>
        <w:rPr>
          <w:color w:val="auto"/>
          <w:sz w:val="21"/>
          <w:szCs w:val="21"/>
          <w:highlight w:val="none"/>
        </w:rPr>
        <w:t>不可抗力</w:t>
      </w:r>
    </w:p>
    <w:p w14:paraId="59F4AFB9">
      <w:pPr>
        <w:pStyle w:val="36"/>
        <w:numPr>
          <w:ilvl w:val="2"/>
          <w:numId w:val="25"/>
        </w:numPr>
        <w:tabs>
          <w:tab w:val="left" w:pos="1435"/>
        </w:tabs>
        <w:autoSpaceDE w:val="0"/>
        <w:autoSpaceDN w:val="0"/>
        <w:spacing w:before="160" w:line="360" w:lineRule="auto"/>
        <w:ind w:right="361" w:firstLine="434" w:firstLineChars="0"/>
        <w:rPr>
          <w:rFonts w:ascii="宋体" w:hAnsi="宋体"/>
          <w:color w:val="auto"/>
          <w:highlight w:val="none"/>
        </w:rPr>
      </w:pPr>
      <w:r>
        <w:rPr>
          <w:rFonts w:ascii="宋体" w:hAnsi="宋体"/>
          <w:color w:val="auto"/>
          <w:spacing w:val="-7"/>
          <w:highlight w:val="none"/>
        </w:rPr>
        <w:t>如果任何一方遭遇法律规定的不可抗力，致使合同履行受阻时，履行</w:t>
      </w:r>
      <w:r>
        <w:rPr>
          <w:rFonts w:ascii="宋体" w:hAnsi="宋体"/>
          <w:color w:val="auto"/>
          <w:highlight w:val="none"/>
        </w:rPr>
        <w:t>合同的期限应予延长，延长的期限应相当于不可抗力所影响的时间；</w:t>
      </w:r>
    </w:p>
    <w:p w14:paraId="66316843">
      <w:pPr>
        <w:pStyle w:val="36"/>
        <w:numPr>
          <w:ilvl w:val="2"/>
          <w:numId w:val="25"/>
        </w:numPr>
        <w:tabs>
          <w:tab w:val="left" w:pos="1435"/>
        </w:tabs>
        <w:autoSpaceDE w:val="0"/>
        <w:autoSpaceDN w:val="0"/>
        <w:spacing w:before="1" w:line="360" w:lineRule="auto"/>
        <w:ind w:left="1434" w:hanging="781" w:firstLineChars="0"/>
        <w:rPr>
          <w:rFonts w:ascii="宋体" w:hAnsi="宋体"/>
          <w:color w:val="auto"/>
          <w:highlight w:val="none"/>
        </w:rPr>
      </w:pPr>
      <w:r>
        <w:rPr>
          <w:rFonts w:ascii="宋体" w:hAnsi="宋体"/>
          <w:color w:val="auto"/>
          <w:highlight w:val="none"/>
        </w:rPr>
        <w:t>因不可抗力致使不能实现合同目的的，当事人可以解除合同；</w:t>
      </w:r>
    </w:p>
    <w:p w14:paraId="19E7AF9B">
      <w:pPr>
        <w:pStyle w:val="36"/>
        <w:numPr>
          <w:ilvl w:val="2"/>
          <w:numId w:val="25"/>
        </w:numPr>
        <w:tabs>
          <w:tab w:val="left" w:pos="1435"/>
        </w:tabs>
        <w:autoSpaceDE w:val="0"/>
        <w:autoSpaceDN w:val="0"/>
        <w:spacing w:before="151" w:line="360" w:lineRule="auto"/>
        <w:ind w:right="356" w:firstLine="434" w:firstLineChars="0"/>
        <w:rPr>
          <w:rFonts w:ascii="宋体" w:hAnsi="宋体"/>
          <w:color w:val="auto"/>
          <w:highlight w:val="none"/>
        </w:rPr>
      </w:pPr>
      <w:r>
        <w:rPr>
          <w:rFonts w:ascii="宋体" w:hAnsi="宋体"/>
          <w:color w:val="auto"/>
          <w:highlight w:val="none"/>
        </w:rPr>
        <w:t>因不可抗力致使合同有变更必要的，双方当事人应在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约定时间内以书面形式变更合同；</w:t>
      </w:r>
    </w:p>
    <w:p w14:paraId="4529AC7F">
      <w:pPr>
        <w:pStyle w:val="36"/>
        <w:numPr>
          <w:ilvl w:val="2"/>
          <w:numId w:val="25"/>
        </w:numPr>
        <w:tabs>
          <w:tab w:val="left" w:pos="1435"/>
        </w:tabs>
        <w:autoSpaceDE w:val="0"/>
        <w:autoSpaceDN w:val="0"/>
        <w:spacing w:line="360" w:lineRule="auto"/>
        <w:ind w:right="356" w:firstLine="434" w:firstLineChars="0"/>
        <w:rPr>
          <w:rFonts w:ascii="宋体" w:hAnsi="宋体"/>
          <w:color w:val="auto"/>
          <w:highlight w:val="none"/>
        </w:rPr>
      </w:pPr>
      <w:r>
        <w:rPr>
          <w:rFonts w:ascii="宋体" w:hAnsi="宋体"/>
          <w:color w:val="auto"/>
          <w:highlight w:val="none"/>
        </w:rPr>
        <w:t>受不可抗力影响的一方在不可抗力发生后，应在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约定时间内以书面形式通知对方当事人，并在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约定时间内，将有关部门出具的证明文件送达对方当事人。</w:t>
      </w:r>
    </w:p>
    <w:p w14:paraId="19978AAA">
      <w:pPr>
        <w:pStyle w:val="8"/>
        <w:numPr>
          <w:ilvl w:val="1"/>
          <w:numId w:val="25"/>
        </w:numPr>
        <w:tabs>
          <w:tab w:val="left" w:pos="1262"/>
        </w:tabs>
        <w:spacing w:before="11" w:line="360" w:lineRule="auto"/>
        <w:ind w:left="1262" w:hanging="605"/>
        <w:rPr>
          <w:color w:val="auto"/>
          <w:sz w:val="21"/>
          <w:szCs w:val="21"/>
          <w:highlight w:val="none"/>
        </w:rPr>
      </w:pPr>
      <w:r>
        <w:rPr>
          <w:color w:val="auto"/>
          <w:sz w:val="21"/>
          <w:szCs w:val="21"/>
          <w:highlight w:val="none"/>
        </w:rPr>
        <w:t>税费</w:t>
      </w:r>
    </w:p>
    <w:p w14:paraId="3AEFDB3B">
      <w:pPr>
        <w:pStyle w:val="11"/>
        <w:spacing w:before="161" w:line="360" w:lineRule="auto"/>
        <w:ind w:left="654"/>
        <w:rPr>
          <w:color w:val="auto"/>
          <w:sz w:val="21"/>
          <w:szCs w:val="21"/>
          <w:highlight w:val="none"/>
        </w:rPr>
      </w:pPr>
      <w:r>
        <w:rPr>
          <w:color w:val="auto"/>
          <w:sz w:val="21"/>
          <w:szCs w:val="21"/>
          <w:highlight w:val="none"/>
        </w:rPr>
        <w:t>与合同有关的一切税费，均按照中华人民共和国法律的相关规定缴纳。</w:t>
      </w:r>
    </w:p>
    <w:p w14:paraId="4601EAF5">
      <w:pPr>
        <w:pStyle w:val="8"/>
        <w:numPr>
          <w:ilvl w:val="1"/>
          <w:numId w:val="25"/>
        </w:numPr>
        <w:tabs>
          <w:tab w:val="left" w:pos="1262"/>
        </w:tabs>
        <w:spacing w:before="160" w:line="360" w:lineRule="auto"/>
        <w:ind w:left="1262" w:hanging="605"/>
        <w:rPr>
          <w:color w:val="auto"/>
          <w:sz w:val="21"/>
          <w:szCs w:val="21"/>
          <w:highlight w:val="none"/>
        </w:rPr>
      </w:pPr>
      <w:r>
        <w:rPr>
          <w:color w:val="auto"/>
          <w:sz w:val="21"/>
          <w:szCs w:val="21"/>
          <w:highlight w:val="none"/>
        </w:rPr>
        <w:t>乙方破产</w:t>
      </w:r>
    </w:p>
    <w:p w14:paraId="202F6BD9">
      <w:pPr>
        <w:pStyle w:val="11"/>
        <w:spacing w:before="161" w:line="360" w:lineRule="auto"/>
        <w:ind w:right="358" w:firstLine="434"/>
        <w:jc w:val="both"/>
        <w:rPr>
          <w:color w:val="auto"/>
          <w:sz w:val="21"/>
          <w:szCs w:val="21"/>
          <w:highlight w:val="none"/>
        </w:rPr>
      </w:pPr>
      <w:r>
        <w:rPr>
          <w:color w:val="auto"/>
          <w:spacing w:val="-4"/>
          <w:sz w:val="21"/>
          <w:szCs w:val="21"/>
          <w:highlight w:val="none"/>
        </w:rPr>
        <w:t>如果乙方破产导致合同无法履行时，甲方可以书面形式通知乙方终止合同且</w:t>
      </w:r>
      <w:r>
        <w:rPr>
          <w:color w:val="auto"/>
          <w:spacing w:val="-9"/>
          <w:sz w:val="21"/>
          <w:szCs w:val="21"/>
          <w:highlight w:val="none"/>
        </w:rPr>
        <w:t>不给予乙方任何补偿和赔偿，但合同的终止不损害或不影响甲方已经采取或将要</w:t>
      </w:r>
      <w:r>
        <w:rPr>
          <w:color w:val="auto"/>
          <w:sz w:val="21"/>
          <w:szCs w:val="21"/>
          <w:highlight w:val="none"/>
        </w:rPr>
        <w:t>采取的任何要求乙方支付违约金、赔偿损失等的行动或补救措施的权利。</w:t>
      </w:r>
    </w:p>
    <w:p w14:paraId="1F5F29A6">
      <w:pPr>
        <w:pStyle w:val="8"/>
        <w:numPr>
          <w:ilvl w:val="1"/>
          <w:numId w:val="25"/>
        </w:numPr>
        <w:tabs>
          <w:tab w:val="left" w:pos="1262"/>
        </w:tabs>
        <w:spacing w:before="2" w:line="360" w:lineRule="auto"/>
        <w:ind w:left="1262" w:hanging="605"/>
        <w:rPr>
          <w:color w:val="auto"/>
          <w:sz w:val="21"/>
          <w:szCs w:val="21"/>
          <w:highlight w:val="none"/>
        </w:rPr>
      </w:pPr>
      <w:r>
        <w:rPr>
          <w:color w:val="auto"/>
          <w:sz w:val="21"/>
          <w:szCs w:val="21"/>
          <w:highlight w:val="none"/>
        </w:rPr>
        <w:t>合同中止、终止</w:t>
      </w:r>
    </w:p>
    <w:p w14:paraId="27A9AA55">
      <w:pPr>
        <w:pStyle w:val="36"/>
        <w:numPr>
          <w:ilvl w:val="2"/>
          <w:numId w:val="25"/>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双方当事人不得擅自中止或者终止合同；</w:t>
      </w:r>
    </w:p>
    <w:p w14:paraId="32771296">
      <w:pPr>
        <w:pStyle w:val="36"/>
        <w:numPr>
          <w:ilvl w:val="2"/>
          <w:numId w:val="25"/>
        </w:numPr>
        <w:tabs>
          <w:tab w:val="left" w:pos="1435"/>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6"/>
          <w:highlight w:val="none"/>
        </w:rPr>
        <w:t>合同继续履行将损害国家利益和社会公共利益的，双方当事人应当中</w:t>
      </w:r>
      <w:r>
        <w:rPr>
          <w:rFonts w:ascii="宋体" w:hAnsi="宋体"/>
          <w:color w:val="auto"/>
          <w:spacing w:val="-8"/>
          <w:highlight w:val="none"/>
        </w:rPr>
        <w:t>止或者终止合同。有过错的一方应当承担赔偿责任，双方当事人都有过错的，各</w:t>
      </w:r>
      <w:r>
        <w:rPr>
          <w:rFonts w:ascii="宋体" w:hAnsi="宋体"/>
          <w:color w:val="auto"/>
          <w:highlight w:val="none"/>
        </w:rPr>
        <w:t>自承担相应的责任。</w:t>
      </w:r>
    </w:p>
    <w:p w14:paraId="286CB07B">
      <w:pPr>
        <w:pStyle w:val="8"/>
        <w:numPr>
          <w:ilvl w:val="1"/>
          <w:numId w:val="25"/>
        </w:numPr>
        <w:tabs>
          <w:tab w:val="left" w:pos="1262"/>
        </w:tabs>
        <w:spacing w:before="2" w:line="360" w:lineRule="auto"/>
        <w:ind w:left="1262" w:hanging="605"/>
        <w:rPr>
          <w:color w:val="auto"/>
          <w:sz w:val="21"/>
          <w:szCs w:val="21"/>
          <w:highlight w:val="none"/>
        </w:rPr>
      </w:pPr>
      <w:r>
        <w:rPr>
          <w:color w:val="auto"/>
          <w:sz w:val="21"/>
          <w:szCs w:val="21"/>
          <w:highlight w:val="none"/>
        </w:rPr>
        <w:t>检验和验收</w:t>
      </w:r>
    </w:p>
    <w:p w14:paraId="20F1CDC3">
      <w:pPr>
        <w:pStyle w:val="36"/>
        <w:numPr>
          <w:ilvl w:val="2"/>
          <w:numId w:val="25"/>
        </w:numPr>
        <w:tabs>
          <w:tab w:val="left" w:pos="1435"/>
        </w:tabs>
        <w:autoSpaceDE w:val="0"/>
        <w:autoSpaceDN w:val="0"/>
        <w:spacing w:before="151" w:line="360" w:lineRule="auto"/>
        <w:ind w:left="1434" w:hanging="781" w:firstLineChars="0"/>
        <w:rPr>
          <w:rFonts w:ascii="宋体" w:hAnsi="宋体"/>
          <w:color w:val="auto"/>
          <w:highlight w:val="none"/>
        </w:rPr>
      </w:pPr>
      <w:r>
        <w:rPr>
          <w:rFonts w:ascii="宋体" w:hAnsi="宋体"/>
          <w:color w:val="auto"/>
          <w:highlight w:val="none"/>
        </w:rPr>
        <w:t>乙方按照</w:t>
      </w:r>
      <w:r>
        <w:rPr>
          <w:rFonts w:ascii="宋体" w:hAnsi="宋体"/>
          <w:b/>
          <w:color w:val="auto"/>
          <w:highlight w:val="none"/>
          <w:u w:val="single"/>
        </w:rPr>
        <w:t>合同专用条款</w:t>
      </w:r>
      <w:r>
        <w:rPr>
          <w:rFonts w:ascii="宋体" w:hAnsi="宋体"/>
          <w:color w:val="auto"/>
          <w:spacing w:val="-13"/>
          <w:highlight w:val="none"/>
        </w:rPr>
        <w:t>的约定，定期提交服务报告，甲方按照</w:t>
      </w:r>
      <w:r>
        <w:rPr>
          <w:rFonts w:ascii="宋体" w:hAnsi="宋体"/>
          <w:b/>
          <w:color w:val="auto"/>
          <w:highlight w:val="none"/>
          <w:u w:val="single"/>
        </w:rPr>
        <w:t>合同专用条款</w:t>
      </w:r>
      <w:r>
        <w:rPr>
          <w:rFonts w:ascii="宋体" w:hAnsi="宋体"/>
          <w:color w:val="auto"/>
          <w:highlight w:val="none"/>
        </w:rPr>
        <w:t>的约定进行定期验收；</w:t>
      </w:r>
    </w:p>
    <w:p w14:paraId="424C42E0">
      <w:pPr>
        <w:pStyle w:val="36"/>
        <w:numPr>
          <w:ilvl w:val="2"/>
          <w:numId w:val="25"/>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spacing w:val="-8"/>
          <w:highlight w:val="none"/>
        </w:rPr>
        <w:t>合同期满或者履行完毕后，甲方有权组织</w:t>
      </w:r>
      <w:r>
        <w:rPr>
          <w:rFonts w:ascii="宋体" w:hAnsi="宋体"/>
          <w:color w:val="auto"/>
          <w:highlight w:val="none"/>
        </w:rPr>
        <w:t>（</w:t>
      </w:r>
      <w:r>
        <w:rPr>
          <w:rFonts w:ascii="宋体" w:hAnsi="宋体"/>
          <w:color w:val="auto"/>
          <w:spacing w:val="-2"/>
          <w:highlight w:val="none"/>
        </w:rPr>
        <w:t>包括依法邀请国家认可的</w:t>
      </w:r>
      <w:r>
        <w:rPr>
          <w:rFonts w:ascii="宋体" w:hAnsi="宋体"/>
          <w:color w:val="auto"/>
          <w:highlight w:val="none"/>
        </w:rPr>
        <w:t>质量检测机构参加</w:t>
      </w:r>
      <w:r>
        <w:rPr>
          <w:rFonts w:ascii="宋体" w:hAnsi="宋体"/>
          <w:color w:val="auto"/>
          <w:spacing w:val="-24"/>
          <w:highlight w:val="none"/>
        </w:rPr>
        <w:t>）</w:t>
      </w:r>
      <w:r>
        <w:rPr>
          <w:rFonts w:ascii="宋体" w:hAnsi="宋体"/>
          <w:color w:val="auto"/>
          <w:spacing w:val="-7"/>
          <w:highlight w:val="none"/>
        </w:rPr>
        <w:t>对乙方履约的验收，即：按照合同约定的标准，组织对乙方</w:t>
      </w:r>
      <w:r>
        <w:rPr>
          <w:rFonts w:ascii="宋体" w:hAnsi="宋体"/>
          <w:color w:val="auto"/>
          <w:spacing w:val="-8"/>
          <w:highlight w:val="none"/>
        </w:rPr>
        <w:t>履约情况的验收，并出具验收书；向社会公众提供的公共服务项目，验收时应当</w:t>
      </w:r>
      <w:r>
        <w:rPr>
          <w:rFonts w:ascii="宋体" w:hAnsi="宋体"/>
          <w:color w:val="auto"/>
          <w:highlight w:val="none"/>
        </w:rPr>
        <w:t>邀请服务对象参与并出具意见，验收结果应当向社会公告；</w:t>
      </w:r>
    </w:p>
    <w:p w14:paraId="35AFE3CA">
      <w:pPr>
        <w:pStyle w:val="36"/>
        <w:numPr>
          <w:ilvl w:val="2"/>
          <w:numId w:val="25"/>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highlight w:val="none"/>
        </w:rPr>
        <w:t>检验和验收标准、程序等具体内容以及前述验收书的效力详见</w:t>
      </w:r>
      <w:r>
        <w:rPr>
          <w:rFonts w:ascii="宋体" w:hAnsi="宋体"/>
          <w:b/>
          <w:color w:val="auto"/>
          <w:highlight w:val="none"/>
          <w:u w:val="single"/>
        </w:rPr>
        <w:t>合同专用条款</w:t>
      </w:r>
      <w:r>
        <w:rPr>
          <w:rFonts w:ascii="宋体" w:hAnsi="宋体"/>
          <w:color w:val="auto"/>
          <w:highlight w:val="none"/>
        </w:rPr>
        <w:t>。</w:t>
      </w:r>
    </w:p>
    <w:p w14:paraId="18FC81E7">
      <w:pPr>
        <w:pStyle w:val="8"/>
        <w:numPr>
          <w:ilvl w:val="1"/>
          <w:numId w:val="25"/>
        </w:numPr>
        <w:tabs>
          <w:tab w:val="left" w:pos="1262"/>
        </w:tabs>
        <w:spacing w:before="3" w:line="360" w:lineRule="auto"/>
        <w:ind w:left="1262" w:hanging="605"/>
        <w:rPr>
          <w:color w:val="auto"/>
          <w:sz w:val="21"/>
          <w:szCs w:val="21"/>
          <w:highlight w:val="none"/>
        </w:rPr>
      </w:pPr>
      <w:r>
        <w:rPr>
          <w:color w:val="auto"/>
          <w:sz w:val="21"/>
          <w:szCs w:val="21"/>
          <w:highlight w:val="none"/>
        </w:rPr>
        <w:t>合同使用的文字和适用的法律</w:t>
      </w:r>
    </w:p>
    <w:p w14:paraId="2908A60B">
      <w:pPr>
        <w:pStyle w:val="36"/>
        <w:numPr>
          <w:ilvl w:val="2"/>
          <w:numId w:val="25"/>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合同使用汉语书就、变更和解释；</w:t>
      </w:r>
    </w:p>
    <w:p w14:paraId="7E329E59">
      <w:pPr>
        <w:pStyle w:val="36"/>
        <w:numPr>
          <w:ilvl w:val="2"/>
          <w:numId w:val="25"/>
        </w:numPr>
        <w:tabs>
          <w:tab w:val="left" w:pos="1435"/>
        </w:tabs>
        <w:autoSpaceDE w:val="0"/>
        <w:autoSpaceDN w:val="0"/>
        <w:spacing w:before="160" w:line="360" w:lineRule="auto"/>
        <w:ind w:left="1434" w:hanging="781" w:firstLineChars="0"/>
        <w:rPr>
          <w:rFonts w:ascii="宋体" w:hAnsi="宋体"/>
          <w:color w:val="auto"/>
          <w:highlight w:val="none"/>
        </w:rPr>
      </w:pPr>
      <w:r>
        <w:rPr>
          <w:rFonts w:ascii="宋体" w:hAnsi="宋体"/>
          <w:color w:val="auto"/>
          <w:highlight w:val="none"/>
        </w:rPr>
        <w:t>合同适用中华人民共和国法律。</w:t>
      </w:r>
    </w:p>
    <w:p w14:paraId="2096D2E4">
      <w:pPr>
        <w:pStyle w:val="8"/>
        <w:numPr>
          <w:ilvl w:val="1"/>
          <w:numId w:val="25"/>
        </w:numPr>
        <w:tabs>
          <w:tab w:val="left" w:pos="1262"/>
        </w:tabs>
        <w:spacing w:before="161" w:line="360" w:lineRule="auto"/>
        <w:ind w:left="1262" w:hanging="605"/>
        <w:rPr>
          <w:color w:val="auto"/>
          <w:sz w:val="21"/>
          <w:szCs w:val="21"/>
          <w:highlight w:val="none"/>
        </w:rPr>
      </w:pPr>
      <w:r>
        <w:rPr>
          <w:color w:val="auto"/>
          <w:sz w:val="21"/>
          <w:szCs w:val="21"/>
          <w:highlight w:val="none"/>
        </w:rPr>
        <w:t>履约保证金</w:t>
      </w:r>
    </w:p>
    <w:p w14:paraId="1BC8E483">
      <w:pPr>
        <w:pStyle w:val="36"/>
        <w:numPr>
          <w:ilvl w:val="2"/>
          <w:numId w:val="25"/>
        </w:numPr>
        <w:tabs>
          <w:tab w:val="left" w:pos="1435"/>
        </w:tabs>
        <w:autoSpaceDE w:val="0"/>
        <w:autoSpaceDN w:val="0"/>
        <w:spacing w:before="150" w:line="360" w:lineRule="auto"/>
        <w:ind w:right="244" w:firstLine="434" w:firstLineChars="0"/>
        <w:rPr>
          <w:rFonts w:ascii="宋体" w:hAnsi="宋体"/>
          <w:color w:val="auto"/>
          <w:highlight w:val="none"/>
        </w:rPr>
      </w:pPr>
      <w:r>
        <w:rPr>
          <w:rFonts w:ascii="宋体" w:hAnsi="宋体"/>
          <w:color w:val="auto"/>
          <w:spacing w:val="-7"/>
          <w:highlight w:val="none"/>
        </w:rPr>
        <w:t>采购文件要求乙方提交履约保证金的，乙方应按</w:t>
      </w:r>
      <w:r>
        <w:rPr>
          <w:rFonts w:ascii="宋体" w:hAnsi="宋体"/>
          <w:b/>
          <w:color w:val="auto"/>
          <w:highlight w:val="none"/>
          <w:u w:val="single"/>
        </w:rPr>
        <w:t>合同专用条款</w:t>
      </w:r>
      <w:r>
        <w:rPr>
          <w:rFonts w:ascii="宋体" w:hAnsi="宋体"/>
          <w:color w:val="auto"/>
          <w:highlight w:val="none"/>
        </w:rPr>
        <w:t>约定的</w:t>
      </w:r>
      <w:r>
        <w:rPr>
          <w:rFonts w:ascii="宋体" w:hAnsi="宋体"/>
          <w:color w:val="auto"/>
          <w:spacing w:val="-1"/>
          <w:highlight w:val="none"/>
        </w:rPr>
        <w:t xml:space="preserve">方式，以支票、汇票、本票或者金融机构、担保机构出具的保函等非现金形式， </w:t>
      </w:r>
      <w:r>
        <w:rPr>
          <w:rFonts w:ascii="宋体" w:hAnsi="宋体"/>
          <w:color w:val="auto"/>
          <w:spacing w:val="-7"/>
          <w:highlight w:val="none"/>
        </w:rPr>
        <w:t xml:space="preserve">提交不超过合同价 </w:t>
      </w:r>
      <w:r>
        <w:rPr>
          <w:rFonts w:ascii="宋体" w:hAnsi="宋体"/>
          <w:color w:val="auto"/>
          <w:highlight w:val="none"/>
        </w:rPr>
        <w:t>10%的履约保证金；</w:t>
      </w:r>
    </w:p>
    <w:p w14:paraId="3EAC056A">
      <w:pPr>
        <w:pStyle w:val="36"/>
        <w:numPr>
          <w:ilvl w:val="2"/>
          <w:numId w:val="25"/>
        </w:numPr>
        <w:tabs>
          <w:tab w:val="left" w:pos="1435"/>
          <w:tab w:val="left" w:pos="2980"/>
        </w:tabs>
        <w:autoSpaceDE w:val="0"/>
        <w:autoSpaceDN w:val="0"/>
        <w:spacing w:line="360" w:lineRule="auto"/>
        <w:ind w:right="473" w:firstLine="434" w:firstLineChars="0"/>
        <w:rPr>
          <w:rFonts w:ascii="宋体" w:hAnsi="宋体"/>
          <w:color w:val="auto"/>
          <w:highlight w:val="none"/>
        </w:rPr>
      </w:pPr>
      <w:r>
        <w:rPr>
          <w:rFonts w:ascii="宋体" w:hAnsi="宋体"/>
          <w:color w:val="auto"/>
          <w:highlight w:val="none"/>
        </w:rPr>
        <w:t>履约保证金在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约定期间内不予退还或者应完全有效，前 述约定期间届满之日起</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个工作日内，甲方应将履约保证金退还乙方；</w:t>
      </w:r>
    </w:p>
    <w:p w14:paraId="6BC5B6B1">
      <w:pPr>
        <w:pStyle w:val="36"/>
        <w:numPr>
          <w:ilvl w:val="2"/>
          <w:numId w:val="25"/>
        </w:numPr>
        <w:tabs>
          <w:tab w:val="left" w:pos="1435"/>
        </w:tabs>
        <w:autoSpaceDE w:val="0"/>
        <w:autoSpaceDN w:val="0"/>
        <w:spacing w:before="3" w:line="360" w:lineRule="auto"/>
        <w:ind w:right="358" w:firstLine="434" w:firstLineChars="0"/>
        <w:rPr>
          <w:rFonts w:ascii="宋体" w:hAnsi="宋体"/>
          <w:color w:val="auto"/>
          <w:highlight w:val="none"/>
        </w:rPr>
      </w:pPr>
      <w:r>
        <w:rPr>
          <w:rFonts w:ascii="宋体" w:hAnsi="宋体"/>
          <w:color w:val="auto"/>
          <w:spacing w:val="-10"/>
          <w:highlight w:val="none"/>
        </w:rPr>
        <w:t>如果乙方不履行合同，履约保证金不予退还；如果乙方未能按合同约</w:t>
      </w:r>
      <w:r>
        <w:rPr>
          <w:rFonts w:ascii="宋体" w:hAnsi="宋体"/>
          <w:color w:val="auto"/>
          <w:spacing w:val="-9"/>
          <w:highlight w:val="none"/>
        </w:rPr>
        <w:t>定全面履行义务，那么甲方有权从履约保证金中取得补偿或赔偿，同时不影响甲</w:t>
      </w:r>
      <w:r>
        <w:rPr>
          <w:rFonts w:ascii="宋体" w:hAnsi="宋体"/>
          <w:color w:val="auto"/>
          <w:highlight w:val="none"/>
        </w:rPr>
        <w:t>方要求乙方承担合同约定的超过履约保证金的违约责任的权利。</w:t>
      </w:r>
    </w:p>
    <w:p w14:paraId="45A013F0">
      <w:pPr>
        <w:pStyle w:val="8"/>
        <w:numPr>
          <w:ilvl w:val="1"/>
          <w:numId w:val="25"/>
        </w:numPr>
        <w:tabs>
          <w:tab w:val="left" w:pos="1262"/>
        </w:tabs>
        <w:spacing w:before="2" w:line="360" w:lineRule="auto"/>
        <w:ind w:left="1262" w:hanging="605"/>
        <w:rPr>
          <w:color w:val="auto"/>
          <w:sz w:val="21"/>
          <w:szCs w:val="21"/>
          <w:highlight w:val="none"/>
        </w:rPr>
      </w:pPr>
      <w:r>
        <w:rPr>
          <w:color w:val="auto"/>
          <w:sz w:val="21"/>
          <w:szCs w:val="21"/>
          <w:highlight w:val="none"/>
        </w:rPr>
        <w:t>合同份数</w:t>
      </w:r>
    </w:p>
    <w:p w14:paraId="2E85182F">
      <w:pPr>
        <w:spacing w:before="150" w:line="360" w:lineRule="auto"/>
        <w:ind w:left="654"/>
        <w:rPr>
          <w:rFonts w:ascii="宋体" w:hAnsi="宋体"/>
          <w:color w:val="auto"/>
          <w:highlight w:val="none"/>
        </w:rPr>
      </w:pPr>
      <w:r>
        <w:rPr>
          <w:rFonts w:ascii="宋体" w:hAnsi="宋体"/>
          <w:color w:val="auto"/>
          <w:highlight w:val="none"/>
        </w:rPr>
        <w:t>合同份数按</w:t>
      </w:r>
      <w:r>
        <w:rPr>
          <w:rFonts w:ascii="宋体" w:hAnsi="宋体"/>
          <w:b/>
          <w:color w:val="auto"/>
          <w:highlight w:val="none"/>
          <w:u w:val="single"/>
        </w:rPr>
        <w:t>合同专用条款</w:t>
      </w:r>
      <w:r>
        <w:rPr>
          <w:rFonts w:ascii="宋体" w:hAnsi="宋体"/>
          <w:color w:val="auto"/>
          <w:highlight w:val="none"/>
        </w:rPr>
        <w:t>规定，每份均具有同等法律效力。</w:t>
      </w:r>
    </w:p>
    <w:p w14:paraId="0D99B22F">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1031D084">
      <w:pPr>
        <w:pStyle w:val="8"/>
        <w:spacing w:line="360" w:lineRule="auto"/>
        <w:ind w:left="3108"/>
        <w:rPr>
          <w:color w:val="auto"/>
          <w:sz w:val="21"/>
          <w:szCs w:val="21"/>
          <w:highlight w:val="none"/>
        </w:rPr>
      </w:pPr>
      <w:r>
        <w:rPr>
          <w:color w:val="auto"/>
          <w:sz w:val="21"/>
          <w:szCs w:val="21"/>
          <w:highlight w:val="none"/>
        </w:rPr>
        <w:t>第三部分 合同专用条款</w:t>
      </w:r>
    </w:p>
    <w:p w14:paraId="06C02A50">
      <w:pPr>
        <w:pStyle w:val="11"/>
        <w:spacing w:before="160" w:line="360" w:lineRule="auto"/>
        <w:ind w:right="238" w:firstLine="434"/>
        <w:rPr>
          <w:color w:val="auto"/>
          <w:spacing w:val="-7"/>
          <w:sz w:val="21"/>
          <w:szCs w:val="21"/>
          <w:highlight w:val="none"/>
        </w:rPr>
      </w:pPr>
      <w:r>
        <w:rPr>
          <w:color w:val="auto"/>
          <w:sz w:val="21"/>
          <w:szCs w:val="21"/>
          <w:highlight w:val="none"/>
        </w:rPr>
        <w:t xml:space="preserve">本部分是对前两部分的补充和修改，如果前两部分和本部分的约定不一致， </w:t>
      </w:r>
      <w:r>
        <w:rPr>
          <w:color w:val="auto"/>
          <w:spacing w:val="-7"/>
          <w:sz w:val="21"/>
          <w:szCs w:val="21"/>
          <w:highlight w:val="none"/>
        </w:rPr>
        <w:t>应以本部分的约定为准。本部分的条款号应与前两部分的条款号保持对应；与前两部分无对应关系的内容可另行编制</w:t>
      </w:r>
    </w:p>
    <w:p w14:paraId="403ABF9D">
      <w:pPr>
        <w:pStyle w:val="11"/>
        <w:spacing w:before="160" w:line="360" w:lineRule="auto"/>
        <w:ind w:right="238" w:firstLine="434"/>
        <w:rPr>
          <w:color w:val="auto"/>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BC6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02023F20">
            <w:pPr>
              <w:pStyle w:val="35"/>
              <w:spacing w:before="40"/>
              <w:ind w:left="35"/>
              <w:rPr>
                <w:b/>
                <w:color w:val="auto"/>
                <w:sz w:val="24"/>
                <w:highlight w:val="none"/>
                <w:lang w:eastAsia="en-US"/>
              </w:rPr>
            </w:pPr>
            <w:r>
              <w:rPr>
                <w:b/>
                <w:color w:val="auto"/>
                <w:sz w:val="24"/>
                <w:highlight w:val="none"/>
                <w:lang w:eastAsia="en-US"/>
              </w:rPr>
              <w:t>条款号</w:t>
            </w:r>
          </w:p>
        </w:tc>
        <w:tc>
          <w:tcPr>
            <w:tcW w:w="7571" w:type="dxa"/>
          </w:tcPr>
          <w:p w14:paraId="60324837">
            <w:pPr>
              <w:pStyle w:val="35"/>
              <w:spacing w:before="40"/>
              <w:ind w:left="3280" w:right="3271"/>
              <w:jc w:val="center"/>
              <w:rPr>
                <w:b/>
                <w:color w:val="auto"/>
                <w:sz w:val="24"/>
                <w:highlight w:val="none"/>
                <w:lang w:eastAsia="en-US"/>
              </w:rPr>
            </w:pPr>
            <w:r>
              <w:rPr>
                <w:b/>
                <w:color w:val="auto"/>
                <w:sz w:val="24"/>
                <w:highlight w:val="none"/>
                <w:lang w:eastAsia="en-US"/>
              </w:rPr>
              <w:t>约定内容</w:t>
            </w:r>
          </w:p>
        </w:tc>
      </w:tr>
      <w:tr w14:paraId="03EB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E029C12">
            <w:pPr>
              <w:pStyle w:val="35"/>
              <w:rPr>
                <w:rFonts w:ascii="Times New Roman"/>
                <w:color w:val="auto"/>
                <w:highlight w:val="none"/>
                <w:lang w:eastAsia="en-US"/>
              </w:rPr>
            </w:pPr>
          </w:p>
        </w:tc>
        <w:tc>
          <w:tcPr>
            <w:tcW w:w="7571" w:type="dxa"/>
          </w:tcPr>
          <w:p w14:paraId="0AD95C93">
            <w:pPr>
              <w:pStyle w:val="35"/>
              <w:rPr>
                <w:rFonts w:ascii="Times New Roman"/>
                <w:color w:val="auto"/>
                <w:highlight w:val="none"/>
                <w:lang w:eastAsia="en-US"/>
              </w:rPr>
            </w:pPr>
          </w:p>
        </w:tc>
      </w:tr>
      <w:tr w14:paraId="1A13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F0DBCFB">
            <w:pPr>
              <w:pStyle w:val="35"/>
              <w:rPr>
                <w:rFonts w:ascii="Times New Roman"/>
                <w:color w:val="auto"/>
                <w:highlight w:val="none"/>
                <w:lang w:eastAsia="en-US"/>
              </w:rPr>
            </w:pPr>
          </w:p>
        </w:tc>
        <w:tc>
          <w:tcPr>
            <w:tcW w:w="7571" w:type="dxa"/>
          </w:tcPr>
          <w:p w14:paraId="4B0560F5">
            <w:pPr>
              <w:pStyle w:val="35"/>
              <w:rPr>
                <w:rFonts w:ascii="Times New Roman"/>
                <w:color w:val="auto"/>
                <w:highlight w:val="none"/>
                <w:lang w:eastAsia="en-US"/>
              </w:rPr>
            </w:pPr>
          </w:p>
        </w:tc>
      </w:tr>
      <w:tr w14:paraId="6C1F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0548E8A">
            <w:pPr>
              <w:pStyle w:val="35"/>
              <w:rPr>
                <w:rFonts w:ascii="Times New Roman"/>
                <w:color w:val="auto"/>
                <w:highlight w:val="none"/>
                <w:lang w:eastAsia="en-US"/>
              </w:rPr>
            </w:pPr>
          </w:p>
        </w:tc>
        <w:tc>
          <w:tcPr>
            <w:tcW w:w="7571" w:type="dxa"/>
          </w:tcPr>
          <w:p w14:paraId="6758EEFA">
            <w:pPr>
              <w:pStyle w:val="35"/>
              <w:rPr>
                <w:rFonts w:ascii="Times New Roman"/>
                <w:color w:val="auto"/>
                <w:highlight w:val="none"/>
                <w:lang w:eastAsia="en-US"/>
              </w:rPr>
            </w:pPr>
          </w:p>
        </w:tc>
      </w:tr>
      <w:tr w14:paraId="3253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1A963CF">
            <w:pPr>
              <w:pStyle w:val="35"/>
              <w:rPr>
                <w:rFonts w:ascii="Times New Roman"/>
                <w:color w:val="auto"/>
                <w:highlight w:val="none"/>
                <w:lang w:eastAsia="en-US"/>
              </w:rPr>
            </w:pPr>
          </w:p>
        </w:tc>
        <w:tc>
          <w:tcPr>
            <w:tcW w:w="7571" w:type="dxa"/>
          </w:tcPr>
          <w:p w14:paraId="45F48CC6">
            <w:pPr>
              <w:pStyle w:val="35"/>
              <w:rPr>
                <w:rFonts w:ascii="Times New Roman"/>
                <w:color w:val="auto"/>
                <w:highlight w:val="none"/>
                <w:lang w:eastAsia="en-US"/>
              </w:rPr>
            </w:pPr>
          </w:p>
        </w:tc>
      </w:tr>
      <w:tr w14:paraId="50CD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620E366A">
            <w:pPr>
              <w:pStyle w:val="35"/>
              <w:rPr>
                <w:rFonts w:ascii="Times New Roman"/>
                <w:color w:val="auto"/>
                <w:highlight w:val="none"/>
                <w:lang w:eastAsia="en-US"/>
              </w:rPr>
            </w:pPr>
          </w:p>
        </w:tc>
        <w:tc>
          <w:tcPr>
            <w:tcW w:w="7571" w:type="dxa"/>
          </w:tcPr>
          <w:p w14:paraId="108B2C69">
            <w:pPr>
              <w:pStyle w:val="35"/>
              <w:rPr>
                <w:rFonts w:ascii="Times New Roman"/>
                <w:color w:val="auto"/>
                <w:highlight w:val="none"/>
                <w:lang w:eastAsia="en-US"/>
              </w:rPr>
            </w:pPr>
          </w:p>
        </w:tc>
      </w:tr>
      <w:tr w14:paraId="1FF7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EFAC197">
            <w:pPr>
              <w:pStyle w:val="35"/>
              <w:rPr>
                <w:rFonts w:ascii="Times New Roman"/>
                <w:color w:val="auto"/>
                <w:highlight w:val="none"/>
                <w:lang w:eastAsia="en-US"/>
              </w:rPr>
            </w:pPr>
          </w:p>
        </w:tc>
        <w:tc>
          <w:tcPr>
            <w:tcW w:w="7571" w:type="dxa"/>
          </w:tcPr>
          <w:p w14:paraId="24265F6B">
            <w:pPr>
              <w:pStyle w:val="35"/>
              <w:rPr>
                <w:rFonts w:ascii="Times New Roman"/>
                <w:color w:val="auto"/>
                <w:highlight w:val="none"/>
              </w:rPr>
            </w:pPr>
          </w:p>
        </w:tc>
      </w:tr>
      <w:tr w14:paraId="15E6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ACC5888">
            <w:pPr>
              <w:pStyle w:val="35"/>
              <w:rPr>
                <w:rFonts w:ascii="Times New Roman"/>
                <w:color w:val="auto"/>
                <w:highlight w:val="none"/>
                <w:lang w:eastAsia="en-US"/>
              </w:rPr>
            </w:pPr>
          </w:p>
        </w:tc>
        <w:tc>
          <w:tcPr>
            <w:tcW w:w="7571" w:type="dxa"/>
          </w:tcPr>
          <w:p w14:paraId="3A290EA0">
            <w:pPr>
              <w:pStyle w:val="35"/>
              <w:rPr>
                <w:rFonts w:ascii="Times New Roman"/>
                <w:color w:val="auto"/>
                <w:highlight w:val="none"/>
                <w:lang w:eastAsia="en-US"/>
              </w:rPr>
            </w:pPr>
          </w:p>
        </w:tc>
      </w:tr>
      <w:tr w14:paraId="65F1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1FD31E1C">
            <w:pPr>
              <w:pStyle w:val="35"/>
              <w:rPr>
                <w:rFonts w:ascii="Times New Roman"/>
                <w:color w:val="auto"/>
                <w:highlight w:val="none"/>
                <w:lang w:eastAsia="en-US"/>
              </w:rPr>
            </w:pPr>
          </w:p>
        </w:tc>
        <w:tc>
          <w:tcPr>
            <w:tcW w:w="7571" w:type="dxa"/>
          </w:tcPr>
          <w:p w14:paraId="66B46666">
            <w:pPr>
              <w:pStyle w:val="35"/>
              <w:rPr>
                <w:rFonts w:ascii="Times New Roman"/>
                <w:color w:val="auto"/>
                <w:highlight w:val="none"/>
                <w:lang w:eastAsia="en-US"/>
              </w:rPr>
            </w:pPr>
          </w:p>
        </w:tc>
      </w:tr>
      <w:tr w14:paraId="0436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CFE00EB">
            <w:pPr>
              <w:pStyle w:val="35"/>
              <w:rPr>
                <w:rFonts w:ascii="Times New Roman"/>
                <w:color w:val="auto"/>
                <w:highlight w:val="none"/>
                <w:lang w:eastAsia="en-US"/>
              </w:rPr>
            </w:pPr>
          </w:p>
        </w:tc>
        <w:tc>
          <w:tcPr>
            <w:tcW w:w="7571" w:type="dxa"/>
          </w:tcPr>
          <w:p w14:paraId="57E6F8DE">
            <w:pPr>
              <w:pStyle w:val="35"/>
              <w:rPr>
                <w:rFonts w:ascii="Times New Roman"/>
                <w:color w:val="auto"/>
                <w:highlight w:val="none"/>
                <w:lang w:eastAsia="en-US"/>
              </w:rPr>
            </w:pPr>
          </w:p>
        </w:tc>
      </w:tr>
      <w:tr w14:paraId="3CF5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4268F62F">
            <w:pPr>
              <w:pStyle w:val="35"/>
              <w:rPr>
                <w:rFonts w:ascii="Times New Roman"/>
                <w:color w:val="auto"/>
                <w:highlight w:val="none"/>
                <w:lang w:eastAsia="en-US"/>
              </w:rPr>
            </w:pPr>
          </w:p>
        </w:tc>
        <w:tc>
          <w:tcPr>
            <w:tcW w:w="7571" w:type="dxa"/>
          </w:tcPr>
          <w:p w14:paraId="272A51C7">
            <w:pPr>
              <w:pStyle w:val="35"/>
              <w:rPr>
                <w:rFonts w:ascii="Times New Roman"/>
                <w:color w:val="auto"/>
                <w:highlight w:val="none"/>
                <w:lang w:eastAsia="en-US"/>
              </w:rPr>
            </w:pPr>
          </w:p>
        </w:tc>
      </w:tr>
      <w:tr w14:paraId="08BA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B133404">
            <w:pPr>
              <w:pStyle w:val="35"/>
              <w:rPr>
                <w:rFonts w:ascii="Times New Roman"/>
                <w:color w:val="auto"/>
                <w:highlight w:val="none"/>
                <w:lang w:eastAsia="en-US"/>
              </w:rPr>
            </w:pPr>
          </w:p>
        </w:tc>
        <w:tc>
          <w:tcPr>
            <w:tcW w:w="7571" w:type="dxa"/>
          </w:tcPr>
          <w:p w14:paraId="05679052">
            <w:pPr>
              <w:pStyle w:val="35"/>
              <w:rPr>
                <w:rFonts w:ascii="Times New Roman"/>
                <w:color w:val="auto"/>
                <w:highlight w:val="none"/>
                <w:lang w:eastAsia="en-US"/>
              </w:rPr>
            </w:pPr>
          </w:p>
        </w:tc>
      </w:tr>
      <w:tr w14:paraId="1D01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CF90F5E">
            <w:pPr>
              <w:pStyle w:val="35"/>
              <w:rPr>
                <w:rFonts w:ascii="Times New Roman"/>
                <w:color w:val="auto"/>
                <w:highlight w:val="none"/>
              </w:rPr>
            </w:pPr>
          </w:p>
          <w:p w14:paraId="7EA7B26C">
            <w:pPr>
              <w:pStyle w:val="35"/>
              <w:rPr>
                <w:rFonts w:ascii="Times New Roman"/>
                <w:color w:val="auto"/>
                <w:highlight w:val="none"/>
              </w:rPr>
            </w:pPr>
          </w:p>
          <w:p w14:paraId="6BF94F01">
            <w:pPr>
              <w:pStyle w:val="35"/>
              <w:rPr>
                <w:rFonts w:ascii="Times New Roman"/>
                <w:color w:val="auto"/>
                <w:highlight w:val="none"/>
              </w:rPr>
            </w:pPr>
          </w:p>
        </w:tc>
        <w:tc>
          <w:tcPr>
            <w:tcW w:w="7571" w:type="dxa"/>
          </w:tcPr>
          <w:p w14:paraId="340ECAA8">
            <w:pPr>
              <w:pStyle w:val="35"/>
              <w:rPr>
                <w:rFonts w:ascii="Times New Roman"/>
                <w:color w:val="auto"/>
                <w:highlight w:val="none"/>
                <w:lang w:eastAsia="en-US"/>
              </w:rPr>
            </w:pPr>
          </w:p>
        </w:tc>
      </w:tr>
    </w:tbl>
    <w:p w14:paraId="4DFDFE0E">
      <w:pPr>
        <w:pStyle w:val="6"/>
        <w:tabs>
          <w:tab w:val="left" w:pos="1125"/>
        </w:tabs>
        <w:ind w:right="136"/>
        <w:jc w:val="center"/>
        <w:rPr>
          <w:rFonts w:ascii="宋体" w:hAnsi="宋体"/>
          <w:color w:val="auto"/>
          <w:sz w:val="32"/>
          <w:szCs w:val="32"/>
          <w:highlight w:val="none"/>
        </w:rPr>
      </w:pPr>
    </w:p>
    <w:p w14:paraId="44F41679">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56740C2">
      <w:pPr>
        <w:pStyle w:val="6"/>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6" w:name="_Toc538"/>
      <w:r>
        <w:rPr>
          <w:rFonts w:hint="eastAsia" w:ascii="宋体" w:hAnsi="宋体"/>
          <w:color w:val="auto"/>
          <w:sz w:val="32"/>
          <w:szCs w:val="32"/>
          <w:highlight w:val="none"/>
        </w:rPr>
        <w:t>响应文件格式</w:t>
      </w:r>
      <w:bookmarkEnd w:id="66"/>
    </w:p>
    <w:p w14:paraId="30D4C8E5">
      <w:pPr>
        <w:rPr>
          <w:rFonts w:hint="eastAsia" w:ascii="宋体" w:hAnsi="宋体"/>
          <w:color w:val="auto"/>
          <w:sz w:val="32"/>
          <w:szCs w:val="32"/>
          <w:highlight w:val="none"/>
        </w:rPr>
      </w:pPr>
    </w:p>
    <w:p w14:paraId="390AA08D">
      <w:pPr>
        <w:pStyle w:val="2"/>
        <w:rPr>
          <w:rFonts w:hint="eastAsia" w:ascii="宋体" w:hAnsi="宋体"/>
          <w:color w:val="auto"/>
          <w:sz w:val="32"/>
          <w:szCs w:val="32"/>
          <w:highlight w:val="none"/>
        </w:rPr>
      </w:pPr>
    </w:p>
    <w:p w14:paraId="16FB7607">
      <w:pPr>
        <w:rPr>
          <w:rFonts w:hint="eastAsia" w:ascii="宋体" w:hAnsi="宋体"/>
          <w:color w:val="auto"/>
          <w:sz w:val="32"/>
          <w:szCs w:val="32"/>
          <w:highlight w:val="none"/>
        </w:rPr>
      </w:pPr>
    </w:p>
    <w:p w14:paraId="4CDD52CD">
      <w:pPr>
        <w:pStyle w:val="2"/>
        <w:rPr>
          <w:rFonts w:hint="eastAsia"/>
          <w:color w:val="auto"/>
          <w:highlight w:val="none"/>
        </w:rPr>
      </w:pPr>
    </w:p>
    <w:p w14:paraId="25805C98">
      <w:pPr>
        <w:jc w:val="center"/>
        <w:rPr>
          <w:rFonts w:ascii="宋体" w:hAnsi="宋体" w:cs="Arial"/>
          <w:color w:val="auto"/>
          <w:sz w:val="28"/>
          <w:szCs w:val="28"/>
          <w:highlight w:val="none"/>
        </w:rPr>
      </w:pPr>
      <w:bookmarkStart w:id="67" w:name="_Toc32338_WPSOffice_Level1"/>
      <w:bookmarkStart w:id="68" w:name="_Toc13756_WPSOffice_Level1"/>
      <w:r>
        <w:rPr>
          <w:rFonts w:hint="eastAsia" w:ascii="宋体" w:hAnsi="宋体"/>
          <w:color w:val="auto"/>
          <w:sz w:val="28"/>
          <w:szCs w:val="28"/>
          <w:highlight w:val="none"/>
          <w:u w:val="single"/>
        </w:rPr>
        <w:t>（项目名称）</w:t>
      </w:r>
      <w:bookmarkEnd w:id="67"/>
      <w:bookmarkEnd w:id="68"/>
    </w:p>
    <w:p w14:paraId="1781C6C4">
      <w:pPr>
        <w:jc w:val="center"/>
        <w:rPr>
          <w:rFonts w:ascii="宋体" w:hAnsi="宋体" w:cs="Arial"/>
          <w:b/>
          <w:color w:val="auto"/>
          <w:sz w:val="28"/>
          <w:szCs w:val="28"/>
          <w:highlight w:val="none"/>
        </w:rPr>
      </w:pPr>
      <w:bookmarkStart w:id="69" w:name="_Hlk450146333"/>
    </w:p>
    <w:p w14:paraId="0CD2FEA7">
      <w:pPr>
        <w:jc w:val="center"/>
        <w:rPr>
          <w:rFonts w:ascii="宋体" w:hAnsi="宋体" w:cs="Arial"/>
          <w:color w:val="auto"/>
          <w:sz w:val="28"/>
          <w:szCs w:val="28"/>
          <w:highlight w:val="none"/>
        </w:rPr>
      </w:pPr>
      <w:bookmarkStart w:id="70" w:name="_Toc361_WPSOffice_Level1"/>
      <w:bookmarkStart w:id="71" w:name="_Toc18887_WPSOffice_Level1"/>
      <w:r>
        <w:rPr>
          <w:rFonts w:hint="eastAsia" w:ascii="宋体" w:hAnsi="宋体" w:cs="Arial"/>
          <w:color w:val="auto"/>
          <w:sz w:val="28"/>
          <w:szCs w:val="28"/>
          <w:highlight w:val="none"/>
        </w:rPr>
        <w:t xml:space="preserve">响 应 </w:t>
      </w:r>
      <w:bookmarkEnd w:id="69"/>
      <w:r>
        <w:rPr>
          <w:rFonts w:hint="eastAsia" w:ascii="宋体" w:hAnsi="宋体" w:cs="Arial"/>
          <w:color w:val="auto"/>
          <w:sz w:val="28"/>
          <w:szCs w:val="28"/>
          <w:highlight w:val="none"/>
        </w:rPr>
        <w:t>文 件</w:t>
      </w:r>
      <w:bookmarkEnd w:id="70"/>
      <w:bookmarkEnd w:id="71"/>
    </w:p>
    <w:p w14:paraId="0E08928D">
      <w:pPr>
        <w:rPr>
          <w:rFonts w:ascii="宋体" w:hAnsi="宋体" w:cs="Arial"/>
          <w:color w:val="auto"/>
          <w:sz w:val="28"/>
          <w:szCs w:val="28"/>
          <w:highlight w:val="none"/>
        </w:rPr>
      </w:pPr>
      <w:r>
        <w:rPr>
          <w:rFonts w:hint="eastAsia" w:ascii="宋体" w:hAnsi="宋体" w:cs="Arial"/>
          <w:color w:val="auto"/>
          <w:sz w:val="28"/>
          <w:szCs w:val="28"/>
          <w:highlight w:val="none"/>
        </w:rPr>
        <w:t xml:space="preserve">               </w:t>
      </w:r>
    </w:p>
    <w:p w14:paraId="69250E8C">
      <w:pPr>
        <w:jc w:val="center"/>
        <w:rPr>
          <w:rFonts w:ascii="宋体" w:hAnsi="宋体" w:cs="Arial"/>
          <w:color w:val="auto"/>
          <w:sz w:val="28"/>
          <w:szCs w:val="28"/>
          <w:highlight w:val="none"/>
        </w:rPr>
      </w:pPr>
    </w:p>
    <w:p w14:paraId="1EE1CAC7">
      <w:pPr>
        <w:pStyle w:val="2"/>
        <w:rPr>
          <w:color w:val="auto"/>
          <w:highlight w:val="none"/>
        </w:rPr>
      </w:pPr>
    </w:p>
    <w:p w14:paraId="0749B128">
      <w:pPr>
        <w:jc w:val="center"/>
        <w:rPr>
          <w:rFonts w:ascii="宋体" w:hAnsi="宋体" w:cs="Arial"/>
          <w:color w:val="auto"/>
          <w:sz w:val="28"/>
          <w:szCs w:val="28"/>
          <w:highlight w:val="none"/>
        </w:rPr>
      </w:pPr>
    </w:p>
    <w:p w14:paraId="4A735205">
      <w:pPr>
        <w:ind w:firstLine="1120" w:firstLineChars="400"/>
        <w:rPr>
          <w:rFonts w:ascii="宋体" w:hAnsi="宋体"/>
          <w:color w:val="auto"/>
          <w:sz w:val="28"/>
          <w:szCs w:val="28"/>
          <w:highlight w:val="none"/>
          <w:u w:val="single"/>
        </w:rPr>
      </w:pPr>
      <w:bookmarkStart w:id="72" w:name="_Toc13389_WPSOffice_Level1"/>
      <w:bookmarkStart w:id="73" w:name="_Toc4204_WPSOffice_Level1"/>
      <w:r>
        <w:rPr>
          <w:rFonts w:hint="eastAsia" w:ascii="宋体" w:hAnsi="宋体" w:cs="Arial"/>
          <w:color w:val="auto"/>
          <w:sz w:val="28"/>
          <w:szCs w:val="28"/>
          <w:highlight w:val="none"/>
        </w:rPr>
        <w:t>采购人：</w:t>
      </w:r>
      <w:bookmarkEnd w:id="72"/>
      <w:bookmarkEnd w:id="73"/>
      <w:r>
        <w:rPr>
          <w:rFonts w:hint="eastAsia" w:ascii="宋体" w:hAnsi="宋体"/>
          <w:color w:val="auto"/>
          <w:sz w:val="28"/>
          <w:szCs w:val="28"/>
          <w:highlight w:val="none"/>
          <w:u w:val="single"/>
        </w:rPr>
        <w:t xml:space="preserve">                               </w:t>
      </w:r>
    </w:p>
    <w:p w14:paraId="5B33F9FA">
      <w:pPr>
        <w:ind w:firstLine="1540" w:firstLineChars="550"/>
        <w:rPr>
          <w:rFonts w:ascii="宋体" w:hAnsi="宋体" w:cs="Arial"/>
          <w:color w:val="auto"/>
          <w:sz w:val="28"/>
          <w:szCs w:val="28"/>
          <w:highlight w:val="none"/>
        </w:rPr>
      </w:pPr>
    </w:p>
    <w:p w14:paraId="2FA81028">
      <w:pPr>
        <w:spacing w:line="460" w:lineRule="exact"/>
        <w:ind w:firstLine="1120" w:firstLineChars="400"/>
        <w:rPr>
          <w:rFonts w:ascii="宋体" w:hAnsi="宋体"/>
          <w:color w:val="auto"/>
          <w:sz w:val="28"/>
          <w:szCs w:val="28"/>
          <w:highlight w:val="none"/>
        </w:rPr>
      </w:pPr>
      <w:bookmarkStart w:id="74" w:name="_Toc23736_WPSOffice_Level1"/>
      <w:bookmarkStart w:id="75" w:name="_Toc22977_WPSOffice_Level1"/>
      <w:r>
        <w:rPr>
          <w:rFonts w:hint="eastAsia" w:ascii="宋体" w:hAnsi="宋体"/>
          <w:color w:val="auto"/>
          <w:sz w:val="28"/>
          <w:szCs w:val="28"/>
          <w:highlight w:val="none"/>
        </w:rPr>
        <w:t>供应商公章：</w:t>
      </w:r>
      <w:r>
        <w:rPr>
          <w:rFonts w:hint="eastAsia" w:ascii="宋体" w:hAnsi="宋体"/>
          <w:color w:val="auto"/>
          <w:sz w:val="28"/>
          <w:szCs w:val="28"/>
          <w:highlight w:val="none"/>
          <w:u w:val="single"/>
        </w:rPr>
        <w:t xml:space="preserve">                             </w:t>
      </w:r>
      <w:bookmarkEnd w:id="74"/>
      <w:bookmarkEnd w:id="75"/>
    </w:p>
    <w:p w14:paraId="28791E7D">
      <w:pPr>
        <w:spacing w:line="460" w:lineRule="exact"/>
        <w:ind w:firstLine="854" w:firstLineChars="305"/>
        <w:rPr>
          <w:rFonts w:ascii="宋体" w:hAnsi="宋体"/>
          <w:color w:val="auto"/>
          <w:sz w:val="28"/>
          <w:szCs w:val="28"/>
          <w:highlight w:val="none"/>
          <w:u w:val="single"/>
        </w:rPr>
      </w:pPr>
    </w:p>
    <w:p w14:paraId="337F873C">
      <w:pPr>
        <w:spacing w:line="460" w:lineRule="exact"/>
        <w:ind w:firstLine="854" w:firstLineChars="305"/>
        <w:rPr>
          <w:rFonts w:ascii="宋体" w:hAnsi="宋体"/>
          <w:color w:val="auto"/>
          <w:sz w:val="28"/>
          <w:szCs w:val="28"/>
          <w:highlight w:val="none"/>
          <w:u w:val="single"/>
        </w:rPr>
      </w:pPr>
      <w:r>
        <w:rPr>
          <w:rFonts w:hint="eastAsia" w:ascii="宋体" w:hAnsi="宋体"/>
          <w:color w:val="auto"/>
          <w:sz w:val="28"/>
          <w:szCs w:val="28"/>
          <w:highlight w:val="none"/>
        </w:rPr>
        <w:t xml:space="preserve">  </w:t>
      </w:r>
      <w:bookmarkStart w:id="76" w:name="_Toc22449_WPSOffice_Level1"/>
      <w:bookmarkStart w:id="77" w:name="_Toc7448_WPSOffice_Level1"/>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bookmarkEnd w:id="76"/>
      <w:bookmarkEnd w:id="77"/>
    </w:p>
    <w:p w14:paraId="3C8D6297">
      <w:pPr>
        <w:spacing w:line="460" w:lineRule="exact"/>
        <w:rPr>
          <w:rFonts w:ascii="宋体" w:hAnsi="宋体"/>
          <w:color w:val="auto"/>
          <w:sz w:val="28"/>
          <w:szCs w:val="28"/>
          <w:highlight w:val="none"/>
        </w:rPr>
      </w:pPr>
    </w:p>
    <w:p w14:paraId="34A80422">
      <w:pPr>
        <w:spacing w:line="460" w:lineRule="exact"/>
        <w:ind w:firstLine="435"/>
        <w:rPr>
          <w:rFonts w:ascii="宋体" w:hAnsi="宋体"/>
          <w:color w:val="auto"/>
          <w:sz w:val="28"/>
          <w:szCs w:val="28"/>
          <w:highlight w:val="none"/>
        </w:rPr>
      </w:pPr>
    </w:p>
    <w:p w14:paraId="3D813813">
      <w:pPr>
        <w:spacing w:line="460" w:lineRule="exact"/>
        <w:ind w:firstLine="435"/>
        <w:jc w:val="center"/>
        <w:rPr>
          <w:rFonts w:ascii="宋体" w:hAnsi="宋体"/>
          <w:color w:val="auto"/>
          <w:sz w:val="28"/>
          <w:szCs w:val="28"/>
          <w:highlight w:val="none"/>
        </w:rPr>
      </w:pPr>
    </w:p>
    <w:p w14:paraId="72158998">
      <w:pPr>
        <w:spacing w:line="460" w:lineRule="exact"/>
        <w:ind w:firstLine="435"/>
        <w:jc w:val="center"/>
        <w:rPr>
          <w:rFonts w:ascii="宋体" w:hAnsi="宋体"/>
          <w:color w:val="auto"/>
          <w:sz w:val="28"/>
          <w:szCs w:val="28"/>
          <w:highlight w:val="none"/>
        </w:rPr>
      </w:pPr>
    </w:p>
    <w:p w14:paraId="4E41C0EF">
      <w:pPr>
        <w:spacing w:line="460" w:lineRule="exact"/>
        <w:ind w:firstLine="435"/>
        <w:jc w:val="center"/>
        <w:rPr>
          <w:rFonts w:ascii="宋体" w:hAnsi="宋体"/>
          <w:color w:val="auto"/>
          <w:sz w:val="28"/>
          <w:szCs w:val="28"/>
          <w:highlight w:val="none"/>
        </w:rPr>
      </w:pPr>
    </w:p>
    <w:p w14:paraId="41CA5E5A">
      <w:pPr>
        <w:spacing w:line="460" w:lineRule="exact"/>
        <w:ind w:firstLine="435"/>
        <w:jc w:val="center"/>
        <w:rPr>
          <w:rFonts w:ascii="宋体" w:hAnsi="宋体"/>
          <w:color w:val="auto"/>
          <w:sz w:val="28"/>
          <w:szCs w:val="28"/>
          <w:highlight w:val="none"/>
        </w:rPr>
      </w:pPr>
      <w:bookmarkStart w:id="78" w:name="_Toc17804_WPSOffice_Level2"/>
      <w:bookmarkStart w:id="79" w:name="_Toc11712_WPSOffice_Level2"/>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bookmarkEnd w:id="78"/>
      <w:bookmarkEnd w:id="79"/>
    </w:p>
    <w:p w14:paraId="3F3F9C88">
      <w:pPr>
        <w:tabs>
          <w:tab w:val="left" w:pos="645"/>
          <w:tab w:val="left" w:pos="1286"/>
          <w:tab w:val="left" w:pos="1929"/>
        </w:tabs>
        <w:spacing w:before="54"/>
        <w:ind w:right="135"/>
        <w:jc w:val="center"/>
        <w:rPr>
          <w:rFonts w:ascii="宋体" w:hAnsi="宋体"/>
          <w:b/>
          <w:color w:val="auto"/>
          <w:sz w:val="28"/>
          <w:szCs w:val="28"/>
          <w:highlight w:val="none"/>
        </w:rPr>
      </w:pPr>
    </w:p>
    <w:p w14:paraId="6603F939">
      <w:pPr>
        <w:jc w:val="center"/>
        <w:rPr>
          <w:rFonts w:ascii="宋体" w:hAnsi="宋体"/>
          <w:color w:val="auto"/>
          <w:sz w:val="28"/>
          <w:szCs w:val="28"/>
          <w:highlight w:val="none"/>
        </w:rPr>
        <w:sectPr>
          <w:pgSz w:w="11910" w:h="16840"/>
          <w:pgMar w:top="1400" w:right="1440" w:bottom="1220" w:left="1580" w:header="877" w:footer="1033" w:gutter="0"/>
          <w:pgNumType w:fmt="decimal"/>
          <w:cols w:space="720" w:num="1"/>
        </w:sectPr>
      </w:pPr>
    </w:p>
    <w:p w14:paraId="2F741A16">
      <w:pPr>
        <w:jc w:val="center"/>
        <w:outlineLvl w:val="2"/>
        <w:rPr>
          <w:b/>
          <w:color w:val="auto"/>
          <w:sz w:val="28"/>
          <w:szCs w:val="28"/>
          <w:highlight w:val="none"/>
        </w:rPr>
      </w:pPr>
      <w:r>
        <w:rPr>
          <w:b/>
          <w:color w:val="auto"/>
          <w:sz w:val="28"/>
          <w:szCs w:val="28"/>
          <w:highlight w:val="none"/>
        </w:rPr>
        <w:t>一、报价表格式</w:t>
      </w:r>
    </w:p>
    <w:p w14:paraId="69D19E59">
      <w:pPr>
        <w:autoSpaceDE w:val="0"/>
        <w:autoSpaceDN w:val="0"/>
        <w:spacing w:before="240" w:beforeLines="100" w:line="360" w:lineRule="auto"/>
        <w:ind w:left="82" w:leftChars="39" w:firstLine="211" w:firstLineChars="100"/>
        <w:jc w:val="left"/>
        <w:outlineLvl w:val="3"/>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1-1 </w:t>
      </w:r>
      <w:r>
        <w:rPr>
          <w:rFonts w:ascii="宋体" w:hAnsi="宋体" w:cs="宋体"/>
          <w:b/>
          <w:color w:val="auto"/>
          <w:kern w:val="0"/>
          <w:highlight w:val="none"/>
          <w:lang w:val="zh-CN" w:bidi="zh-CN"/>
        </w:rPr>
        <w:t>报价表</w:t>
      </w:r>
    </w:p>
    <w:p w14:paraId="0C97C815">
      <w:pPr>
        <w:autoSpaceDE w:val="0"/>
        <w:autoSpaceDN w:val="0"/>
        <w:spacing w:line="360" w:lineRule="auto"/>
        <w:ind w:left="29" w:leftChars="14" w:firstLine="211" w:firstLineChars="100"/>
        <w:jc w:val="left"/>
        <w:rPr>
          <w:rFonts w:hint="eastAsia" w:ascii="宋体" w:hAnsi="宋体" w:cs="宋体"/>
          <w:b/>
          <w:color w:val="auto"/>
          <w:kern w:val="0"/>
          <w:highlight w:val="none"/>
          <w:u w:val="singl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42B12E13">
      <w:pPr>
        <w:pStyle w:val="2"/>
        <w:rPr>
          <w:color w:val="auto"/>
          <w:highlight w:val="none"/>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6BA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ADDFD52">
            <w:pPr>
              <w:pStyle w:val="35"/>
              <w:spacing w:before="177" w:line="360" w:lineRule="auto"/>
              <w:ind w:left="243" w:right="238"/>
              <w:jc w:val="center"/>
              <w:rPr>
                <w:b/>
                <w:color w:val="auto"/>
                <w:sz w:val="21"/>
                <w:szCs w:val="21"/>
                <w:highlight w:val="none"/>
                <w:lang w:eastAsia="en-US"/>
              </w:rPr>
            </w:pPr>
          </w:p>
          <w:p w14:paraId="61C02142">
            <w:pPr>
              <w:pStyle w:val="3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1A18748D">
            <w:pPr>
              <w:pStyle w:val="35"/>
              <w:spacing w:line="360" w:lineRule="auto"/>
              <w:rPr>
                <w:color w:val="auto"/>
                <w:sz w:val="21"/>
                <w:szCs w:val="21"/>
                <w:highlight w:val="none"/>
                <w:lang w:eastAsia="en-US"/>
              </w:rPr>
            </w:pPr>
          </w:p>
        </w:tc>
      </w:tr>
      <w:tr w14:paraId="1DA2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6DDF77B4">
            <w:pPr>
              <w:pStyle w:val="35"/>
              <w:spacing w:before="11" w:line="360" w:lineRule="auto"/>
              <w:rPr>
                <w:b/>
                <w:color w:val="auto"/>
                <w:sz w:val="21"/>
                <w:szCs w:val="21"/>
                <w:highlight w:val="none"/>
                <w:lang w:eastAsia="en-US"/>
              </w:rPr>
            </w:pPr>
          </w:p>
          <w:p w14:paraId="32D3D370">
            <w:pPr>
              <w:pStyle w:val="35"/>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4F966274">
            <w:pPr>
              <w:pStyle w:val="35"/>
              <w:spacing w:before="11" w:line="360" w:lineRule="auto"/>
              <w:rPr>
                <w:b/>
                <w:color w:val="auto"/>
                <w:sz w:val="21"/>
                <w:szCs w:val="21"/>
                <w:highlight w:val="none"/>
                <w:lang w:eastAsia="en-US"/>
              </w:rPr>
            </w:pPr>
          </w:p>
          <w:p w14:paraId="520B3EDA">
            <w:pPr>
              <w:pStyle w:val="35"/>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5896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1DA117E0">
            <w:pPr>
              <w:pStyle w:val="35"/>
              <w:spacing w:before="7" w:line="360" w:lineRule="auto"/>
              <w:rPr>
                <w:b/>
                <w:color w:val="auto"/>
                <w:sz w:val="21"/>
                <w:szCs w:val="21"/>
                <w:highlight w:val="none"/>
              </w:rPr>
            </w:pPr>
          </w:p>
          <w:p w14:paraId="6D5371A0">
            <w:pPr>
              <w:pStyle w:val="35"/>
              <w:spacing w:line="360" w:lineRule="auto"/>
              <w:ind w:left="245" w:right="235"/>
              <w:jc w:val="center"/>
              <w:rPr>
                <w:b/>
                <w:color w:val="auto"/>
                <w:sz w:val="21"/>
                <w:szCs w:val="21"/>
                <w:highlight w:val="none"/>
              </w:rPr>
            </w:pPr>
            <w:r>
              <w:rPr>
                <w:b/>
                <w:color w:val="auto"/>
                <w:sz w:val="21"/>
                <w:szCs w:val="21"/>
                <w:highlight w:val="none"/>
              </w:rPr>
              <w:t>报价</w:t>
            </w:r>
          </w:p>
          <w:p w14:paraId="71A09640">
            <w:pPr>
              <w:pStyle w:val="35"/>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0F64B8E2">
            <w:pPr>
              <w:pStyle w:val="35"/>
              <w:spacing w:line="360" w:lineRule="auto"/>
              <w:rPr>
                <w:b/>
                <w:color w:val="auto"/>
                <w:sz w:val="21"/>
                <w:szCs w:val="21"/>
                <w:highlight w:val="none"/>
              </w:rPr>
            </w:pPr>
          </w:p>
          <w:p w14:paraId="5C17759D">
            <w:pPr>
              <w:pStyle w:val="35"/>
              <w:spacing w:before="9" w:line="360" w:lineRule="auto"/>
              <w:rPr>
                <w:b/>
                <w:color w:val="auto"/>
                <w:sz w:val="21"/>
                <w:szCs w:val="21"/>
                <w:highlight w:val="none"/>
              </w:rPr>
            </w:pPr>
          </w:p>
          <w:p w14:paraId="46DE7821">
            <w:pPr>
              <w:pStyle w:val="35"/>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656C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57B8BD0F">
            <w:pPr>
              <w:pStyle w:val="35"/>
              <w:spacing w:line="360" w:lineRule="auto"/>
              <w:rPr>
                <w:b/>
                <w:color w:val="auto"/>
                <w:sz w:val="21"/>
                <w:szCs w:val="21"/>
                <w:highlight w:val="none"/>
              </w:rPr>
            </w:pPr>
          </w:p>
          <w:p w14:paraId="7015DA17">
            <w:pPr>
              <w:pStyle w:val="35"/>
              <w:spacing w:line="360" w:lineRule="auto"/>
              <w:rPr>
                <w:b/>
                <w:color w:val="auto"/>
                <w:sz w:val="21"/>
                <w:szCs w:val="21"/>
                <w:highlight w:val="none"/>
              </w:rPr>
            </w:pPr>
          </w:p>
          <w:p w14:paraId="1E3D43A7">
            <w:pPr>
              <w:pStyle w:val="35"/>
              <w:spacing w:line="360" w:lineRule="auto"/>
              <w:rPr>
                <w:b/>
                <w:color w:val="auto"/>
                <w:sz w:val="21"/>
                <w:szCs w:val="21"/>
                <w:highlight w:val="none"/>
              </w:rPr>
            </w:pPr>
          </w:p>
          <w:p w14:paraId="6B26D5FD">
            <w:pPr>
              <w:pStyle w:val="35"/>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2BE6C0CE">
            <w:pPr>
              <w:pStyle w:val="35"/>
              <w:spacing w:line="360" w:lineRule="auto"/>
              <w:rPr>
                <w:color w:val="auto"/>
                <w:sz w:val="21"/>
                <w:szCs w:val="21"/>
                <w:highlight w:val="none"/>
                <w:lang w:eastAsia="en-US"/>
              </w:rPr>
            </w:pPr>
          </w:p>
        </w:tc>
      </w:tr>
    </w:tbl>
    <w:p w14:paraId="14FEBBC1">
      <w:pPr>
        <w:pStyle w:val="11"/>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C243D23">
      <w:pPr>
        <w:pStyle w:val="11"/>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5E3D844">
      <w:pPr>
        <w:pStyle w:val="11"/>
        <w:tabs>
          <w:tab w:val="left" w:pos="6705"/>
        </w:tabs>
        <w:spacing w:line="360" w:lineRule="auto"/>
        <w:ind w:right="1223" w:firstLine="4620" w:firstLineChars="2200"/>
        <w:rPr>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1BAD237C">
      <w:pPr>
        <w:autoSpaceDE w:val="0"/>
        <w:autoSpaceDN w:val="0"/>
        <w:spacing w:before="120" w:beforeLines="50" w:after="120" w:afterLines="50" w:line="360" w:lineRule="auto"/>
        <w:ind w:right="210" w:rightChars="1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注：</w:t>
      </w:r>
    </w:p>
    <w:p w14:paraId="792EA879">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1、</w:t>
      </w:r>
      <w:r>
        <w:rPr>
          <w:rFonts w:ascii="宋体" w:hAnsi="宋体" w:cs="宋体"/>
          <w:b/>
          <w:color w:val="auto"/>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514D0C0E">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2、</w:t>
      </w:r>
      <w:r>
        <w:rPr>
          <w:rFonts w:ascii="宋体" w:hAnsi="宋体" w:cs="宋体"/>
          <w:b/>
          <w:color w:val="auto"/>
          <w:kern w:val="0"/>
          <w:highlight w:val="none"/>
          <w:lang w:val="zh-CN" w:bidi="zh-CN"/>
        </w:rPr>
        <w:t>特殊事项在备注中注明。</w:t>
      </w:r>
    </w:p>
    <w:p w14:paraId="2E7BFC5B">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3、</w:t>
      </w:r>
      <w:r>
        <w:rPr>
          <w:rFonts w:ascii="宋体" w:hAnsi="宋体" w:cs="宋体"/>
          <w:b/>
          <w:color w:val="auto"/>
          <w:kern w:val="0"/>
          <w:highlight w:val="none"/>
          <w:lang w:val="zh-CN" w:bidi="zh-CN"/>
        </w:rPr>
        <w:t>供应商应根据其响应文件中报价表的内容填写唱标信息，唱标信息不作为评审的依据。唱标信息与报价表不一致的，以报价表为准。</w:t>
      </w:r>
    </w:p>
    <w:p w14:paraId="02966265">
      <w:pPr>
        <w:bidi w:val="0"/>
        <w:rPr>
          <w:rFonts w:hint="eastAsia"/>
          <w:color w:val="auto"/>
          <w:highlight w:val="none"/>
          <w:lang w:val="en-US" w:eastAsia="zh-CN"/>
        </w:rPr>
      </w:pPr>
    </w:p>
    <w:p w14:paraId="4BB19735">
      <w:pPr>
        <w:bidi w:val="0"/>
        <w:rPr>
          <w:rFonts w:hint="eastAsia"/>
          <w:color w:val="auto"/>
          <w:highlight w:val="none"/>
          <w:lang w:val="en-US" w:eastAsia="zh-CN"/>
        </w:rPr>
      </w:pPr>
    </w:p>
    <w:p w14:paraId="5319CA78">
      <w:pPr>
        <w:bidi w:val="0"/>
        <w:rPr>
          <w:rFonts w:hint="eastAsia"/>
          <w:color w:val="auto"/>
          <w:highlight w:val="none"/>
          <w:lang w:val="en-US" w:eastAsia="zh-CN"/>
        </w:rPr>
      </w:pPr>
    </w:p>
    <w:p w14:paraId="3FFCC05B">
      <w:pPr>
        <w:rPr>
          <w:rFonts w:hint="eastAsia"/>
          <w:color w:val="auto"/>
          <w:highlight w:val="none"/>
          <w:lang w:val="en-US" w:eastAsia="zh-CN"/>
        </w:rPr>
      </w:pPr>
      <w:r>
        <w:rPr>
          <w:rFonts w:hint="eastAsia"/>
          <w:color w:val="auto"/>
          <w:highlight w:val="none"/>
          <w:lang w:val="en-US" w:eastAsia="zh-CN"/>
        </w:rPr>
        <w:br w:type="page"/>
      </w:r>
    </w:p>
    <w:p w14:paraId="2856DCCF">
      <w:pPr>
        <w:pStyle w:val="2"/>
        <w:rPr>
          <w:rFonts w:hint="eastAsia"/>
          <w:color w:val="auto"/>
          <w:highlight w:val="none"/>
          <w:lang w:val="en-US" w:eastAsia="zh-CN"/>
        </w:rPr>
      </w:pPr>
    </w:p>
    <w:p w14:paraId="40486752">
      <w:pPr>
        <w:bidi w:val="0"/>
        <w:rPr>
          <w:rFonts w:hint="eastAsia"/>
          <w:color w:val="auto"/>
          <w:highlight w:val="none"/>
          <w:lang w:val="en-US" w:eastAsia="zh-CN"/>
        </w:rPr>
      </w:pPr>
    </w:p>
    <w:p w14:paraId="7328D3DE">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二</w:t>
      </w:r>
      <w:r>
        <w:rPr>
          <w:b/>
          <w:color w:val="auto"/>
          <w:sz w:val="28"/>
          <w:szCs w:val="28"/>
          <w:highlight w:val="none"/>
        </w:rPr>
        <w:t>、</w:t>
      </w:r>
      <w:r>
        <w:rPr>
          <w:rFonts w:hint="eastAsia"/>
          <w:b/>
          <w:color w:val="auto"/>
          <w:sz w:val="28"/>
          <w:szCs w:val="28"/>
          <w:highlight w:val="none"/>
          <w:lang w:val="en-US" w:eastAsia="zh-CN"/>
        </w:rPr>
        <w:t>最后承诺报价表</w:t>
      </w:r>
    </w:p>
    <w:p w14:paraId="4581CEB5">
      <w:pPr>
        <w:pStyle w:val="32"/>
        <w:rPr>
          <w:rFonts w:hint="eastAsia"/>
          <w:b/>
          <w:color w:val="auto"/>
          <w:sz w:val="28"/>
          <w:szCs w:val="28"/>
          <w:highlight w:val="none"/>
          <w:lang w:val="en-US" w:eastAsia="zh-CN"/>
        </w:rPr>
      </w:pPr>
    </w:p>
    <w:p w14:paraId="435048E6">
      <w:pPr>
        <w:pStyle w:val="32"/>
        <w:ind w:firstLine="3092" w:firstLineChars="1100"/>
        <w:jc w:val="both"/>
        <w:rPr>
          <w:rFonts w:hint="eastAsia" w:ascii="宋体" w:hAnsi="宋体" w:eastAsia="宋体" w:cs="宋体"/>
          <w:b/>
          <w:color w:val="auto"/>
          <w:kern w:val="0"/>
          <w:sz w:val="21"/>
          <w:szCs w:val="21"/>
          <w:highlight w:val="none"/>
          <w:lang w:val="en-US" w:eastAsia="zh-CN" w:bidi="zh-CN"/>
        </w:rPr>
      </w:pPr>
      <w:r>
        <w:rPr>
          <w:rFonts w:hint="eastAsia"/>
          <w:b/>
          <w:color w:val="auto"/>
          <w:sz w:val="28"/>
          <w:szCs w:val="28"/>
          <w:highlight w:val="none"/>
          <w:lang w:val="en-US" w:eastAsia="zh-CN"/>
        </w:rPr>
        <w:t>（</w:t>
      </w:r>
      <w:r>
        <w:rPr>
          <w:rFonts w:hint="eastAsia" w:ascii="宋体" w:hAnsi="宋体" w:eastAsia="宋体" w:cs="宋体"/>
          <w:b/>
          <w:color w:val="auto"/>
          <w:kern w:val="0"/>
          <w:sz w:val="21"/>
          <w:szCs w:val="21"/>
          <w:highlight w:val="none"/>
          <w:lang w:val="en-US" w:eastAsia="zh-CN" w:bidi="zh-CN"/>
        </w:rPr>
        <w:t>某项目第   次报价书）</w:t>
      </w:r>
    </w:p>
    <w:p w14:paraId="343AFC23">
      <w:pPr>
        <w:pStyle w:val="32"/>
        <w:ind w:firstLine="2319" w:firstLineChars="1100"/>
        <w:jc w:val="both"/>
        <w:rPr>
          <w:rFonts w:hint="default" w:ascii="宋体" w:hAnsi="宋体" w:eastAsia="宋体" w:cs="宋体"/>
          <w:b/>
          <w:color w:val="auto"/>
          <w:kern w:val="0"/>
          <w:sz w:val="21"/>
          <w:szCs w:val="21"/>
          <w:highlight w:val="none"/>
          <w:lang w:val="en-US" w:eastAsia="zh-CN" w:bidi="zh-CN"/>
        </w:rPr>
      </w:pPr>
    </w:p>
    <w:p w14:paraId="09AD4B72">
      <w:pPr>
        <w:autoSpaceDE w:val="0"/>
        <w:autoSpaceDN w:val="0"/>
        <w:spacing w:line="360" w:lineRule="auto"/>
        <w:ind w:left="29" w:leftChars="14" w:firstLine="211" w:firstLineChars="100"/>
        <w:jc w:val="left"/>
        <w:rPr>
          <w:rFonts w:hint="eastAsia" w:ascii="宋体" w:hAnsi="宋体" w:cs="宋体"/>
          <w:b/>
          <w:color w:val="auto"/>
          <w:kern w:val="0"/>
          <w:highlight w:val="non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70621D52">
      <w:pPr>
        <w:autoSpaceDE w:val="0"/>
        <w:autoSpaceDN w:val="0"/>
        <w:spacing w:line="360" w:lineRule="auto"/>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DD8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E4CAD4F">
            <w:pPr>
              <w:pStyle w:val="3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67EB2252">
            <w:pPr>
              <w:pStyle w:val="35"/>
              <w:spacing w:line="360" w:lineRule="auto"/>
              <w:rPr>
                <w:color w:val="auto"/>
                <w:sz w:val="21"/>
                <w:szCs w:val="21"/>
                <w:highlight w:val="none"/>
                <w:lang w:eastAsia="en-US"/>
              </w:rPr>
            </w:pPr>
          </w:p>
        </w:tc>
      </w:tr>
      <w:tr w14:paraId="18D0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5A2276A1">
            <w:pPr>
              <w:pStyle w:val="35"/>
              <w:spacing w:before="11" w:line="360" w:lineRule="auto"/>
              <w:rPr>
                <w:b/>
                <w:color w:val="auto"/>
                <w:sz w:val="21"/>
                <w:szCs w:val="21"/>
                <w:highlight w:val="none"/>
                <w:lang w:eastAsia="en-US"/>
              </w:rPr>
            </w:pPr>
          </w:p>
          <w:p w14:paraId="007B7597">
            <w:pPr>
              <w:pStyle w:val="35"/>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5A8194CA">
            <w:pPr>
              <w:pStyle w:val="35"/>
              <w:spacing w:before="11" w:line="360" w:lineRule="auto"/>
              <w:rPr>
                <w:b/>
                <w:color w:val="auto"/>
                <w:sz w:val="21"/>
                <w:szCs w:val="21"/>
                <w:highlight w:val="none"/>
                <w:lang w:eastAsia="en-US"/>
              </w:rPr>
            </w:pPr>
          </w:p>
          <w:p w14:paraId="504EE1C0">
            <w:pPr>
              <w:pStyle w:val="35"/>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610D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51EA3023">
            <w:pPr>
              <w:pStyle w:val="35"/>
              <w:spacing w:before="7" w:line="360" w:lineRule="auto"/>
              <w:rPr>
                <w:b/>
                <w:color w:val="auto"/>
                <w:sz w:val="21"/>
                <w:szCs w:val="21"/>
                <w:highlight w:val="none"/>
              </w:rPr>
            </w:pPr>
          </w:p>
          <w:p w14:paraId="71D97A15">
            <w:pPr>
              <w:pStyle w:val="35"/>
              <w:spacing w:line="360" w:lineRule="auto"/>
              <w:ind w:left="245" w:right="235"/>
              <w:jc w:val="center"/>
              <w:rPr>
                <w:b/>
                <w:color w:val="auto"/>
                <w:sz w:val="21"/>
                <w:szCs w:val="21"/>
                <w:highlight w:val="none"/>
              </w:rPr>
            </w:pPr>
            <w:r>
              <w:rPr>
                <w:b/>
                <w:color w:val="auto"/>
                <w:sz w:val="21"/>
                <w:szCs w:val="21"/>
                <w:highlight w:val="none"/>
              </w:rPr>
              <w:t>报价</w:t>
            </w:r>
          </w:p>
          <w:p w14:paraId="0C760275">
            <w:pPr>
              <w:pStyle w:val="35"/>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666F313A">
            <w:pPr>
              <w:pStyle w:val="35"/>
              <w:spacing w:line="360" w:lineRule="auto"/>
              <w:rPr>
                <w:b/>
                <w:color w:val="auto"/>
                <w:sz w:val="21"/>
                <w:szCs w:val="21"/>
                <w:highlight w:val="none"/>
              </w:rPr>
            </w:pPr>
          </w:p>
          <w:p w14:paraId="22C2A191">
            <w:pPr>
              <w:pStyle w:val="35"/>
              <w:spacing w:before="9" w:line="360" w:lineRule="auto"/>
              <w:rPr>
                <w:b/>
                <w:color w:val="auto"/>
                <w:sz w:val="21"/>
                <w:szCs w:val="21"/>
                <w:highlight w:val="none"/>
              </w:rPr>
            </w:pPr>
          </w:p>
          <w:p w14:paraId="02278E16">
            <w:pPr>
              <w:pStyle w:val="35"/>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2110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9B589BF">
            <w:pPr>
              <w:pStyle w:val="35"/>
              <w:spacing w:line="360" w:lineRule="auto"/>
              <w:rPr>
                <w:b/>
                <w:color w:val="auto"/>
                <w:sz w:val="21"/>
                <w:szCs w:val="21"/>
                <w:highlight w:val="none"/>
              </w:rPr>
            </w:pPr>
          </w:p>
          <w:p w14:paraId="09B6C2FC">
            <w:pPr>
              <w:pStyle w:val="35"/>
              <w:spacing w:line="360" w:lineRule="auto"/>
              <w:rPr>
                <w:b/>
                <w:color w:val="auto"/>
                <w:sz w:val="21"/>
                <w:szCs w:val="21"/>
                <w:highlight w:val="none"/>
              </w:rPr>
            </w:pPr>
          </w:p>
          <w:p w14:paraId="7EDEC985">
            <w:pPr>
              <w:pStyle w:val="35"/>
              <w:spacing w:line="360" w:lineRule="auto"/>
              <w:rPr>
                <w:b/>
                <w:color w:val="auto"/>
                <w:sz w:val="21"/>
                <w:szCs w:val="21"/>
                <w:highlight w:val="none"/>
              </w:rPr>
            </w:pPr>
          </w:p>
          <w:p w14:paraId="7B01CEC6">
            <w:pPr>
              <w:pStyle w:val="35"/>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1F42AE87">
            <w:pPr>
              <w:pStyle w:val="35"/>
              <w:spacing w:line="360" w:lineRule="auto"/>
              <w:rPr>
                <w:color w:val="auto"/>
                <w:sz w:val="21"/>
                <w:szCs w:val="21"/>
                <w:highlight w:val="none"/>
                <w:lang w:eastAsia="en-US"/>
              </w:rPr>
            </w:pPr>
          </w:p>
        </w:tc>
      </w:tr>
    </w:tbl>
    <w:p w14:paraId="07AB3F08">
      <w:pPr>
        <w:pStyle w:val="11"/>
        <w:tabs>
          <w:tab w:val="left" w:pos="7181"/>
        </w:tabs>
        <w:spacing w:line="360" w:lineRule="auto"/>
        <w:ind w:right="1223" w:firstLine="3990" w:firstLineChars="1900"/>
        <w:rPr>
          <w:color w:val="auto"/>
          <w:sz w:val="21"/>
          <w:szCs w:val="21"/>
          <w:highlight w:val="none"/>
        </w:rPr>
      </w:pPr>
    </w:p>
    <w:p w14:paraId="56A316C4">
      <w:pPr>
        <w:pStyle w:val="11"/>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28400BE">
      <w:pPr>
        <w:pStyle w:val="11"/>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98344C3">
      <w:pPr>
        <w:pStyle w:val="11"/>
        <w:tabs>
          <w:tab w:val="left" w:pos="6705"/>
        </w:tabs>
        <w:spacing w:line="360" w:lineRule="auto"/>
        <w:ind w:right="1223" w:firstLine="4620" w:firstLineChars="2200"/>
        <w:rPr>
          <w:rFonts w:hint="eastAsia"/>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3F81B4E4">
      <w:pPr>
        <w:pStyle w:val="11"/>
        <w:tabs>
          <w:tab w:val="left" w:pos="6705"/>
        </w:tabs>
        <w:spacing w:line="360" w:lineRule="auto"/>
        <w:ind w:right="1223" w:firstLine="4620" w:firstLineChars="2200"/>
        <w:rPr>
          <w:rFonts w:hint="eastAsia"/>
          <w:color w:val="auto"/>
          <w:sz w:val="21"/>
          <w:szCs w:val="21"/>
          <w:highlight w:val="none"/>
          <w:u w:val="single"/>
        </w:rPr>
      </w:pPr>
    </w:p>
    <w:p w14:paraId="0DDEEF17">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highlight w:val="none"/>
          <w:lang w:val="zh-CN" w:bidi="zh-CN"/>
        </w:rPr>
      </w:pPr>
      <w:r>
        <w:rPr>
          <w:rFonts w:hint="eastAsia" w:ascii="宋体" w:hAnsi="宋体" w:cs="宋体"/>
          <w:b/>
          <w:color w:val="auto"/>
          <w:kern w:val="0"/>
          <w:highlight w:val="none"/>
          <w:lang w:val="en-US" w:eastAsia="zh-CN" w:bidi="zh-CN"/>
        </w:rPr>
        <w:t>1、</w:t>
      </w:r>
      <w:r>
        <w:rPr>
          <w:rFonts w:hint="eastAsia" w:ascii="宋体" w:hAnsi="宋体" w:cs="宋体"/>
          <w:b/>
          <w:color w:val="auto"/>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37E10BD4">
      <w:pPr>
        <w:autoSpaceDE w:val="0"/>
        <w:autoSpaceDN w:val="0"/>
        <w:spacing w:before="120" w:beforeLines="50" w:after="120" w:afterLines="50" w:line="360" w:lineRule="auto"/>
        <w:ind w:right="210" w:rightChars="100" w:firstLine="422" w:firstLineChars="200"/>
        <w:jc w:val="left"/>
        <w:rPr>
          <w:rFonts w:ascii="宋体" w:hAnsi="宋体"/>
          <w:b/>
          <w:color w:val="auto"/>
          <w:highlight w:val="none"/>
        </w:rPr>
      </w:pPr>
      <w:r>
        <w:rPr>
          <w:rFonts w:hint="eastAsia" w:ascii="宋体" w:hAnsi="宋体" w:cs="宋体"/>
          <w:b/>
          <w:color w:val="auto"/>
          <w:kern w:val="0"/>
          <w:highlight w:val="none"/>
          <w:lang w:val="en-US" w:eastAsia="zh-CN" w:bidi="zh-CN"/>
        </w:rPr>
        <w:t>2、</w:t>
      </w:r>
      <w:r>
        <w:rPr>
          <w:rFonts w:hint="eastAsia" w:ascii="宋体" w:hAnsi="宋体" w:cs="宋体"/>
          <w:b/>
          <w:color w:val="auto"/>
          <w:kern w:val="0"/>
          <w:highlight w:val="none"/>
          <w:lang w:val="zh-CN" w:bidi="zh-CN"/>
        </w:rPr>
        <w:t>本表用于多轮报价，供应商多备几份手</w:t>
      </w:r>
      <w:r>
        <w:rPr>
          <w:rFonts w:hint="eastAsia" w:ascii="宋体" w:hAnsi="宋体" w:cs="宋体"/>
          <w:b/>
          <w:color w:val="auto"/>
          <w:kern w:val="0"/>
          <w:highlight w:val="none"/>
          <w:lang w:val="en-US" w:eastAsia="zh-CN" w:bidi="zh-CN"/>
        </w:rPr>
        <w:t>持。</w:t>
      </w:r>
      <w:r>
        <w:rPr>
          <w:rFonts w:ascii="宋体" w:hAnsi="宋体"/>
          <w:b/>
          <w:color w:val="auto"/>
          <w:highlight w:val="none"/>
        </w:rPr>
        <w:br w:type="page"/>
      </w:r>
    </w:p>
    <w:p w14:paraId="0014F75A">
      <w:pPr>
        <w:pStyle w:val="32"/>
        <w:rPr>
          <w:color w:val="auto"/>
          <w:highlight w:val="none"/>
        </w:rPr>
      </w:pPr>
    </w:p>
    <w:p w14:paraId="274B76CE">
      <w:pPr>
        <w:jc w:val="center"/>
        <w:outlineLvl w:val="2"/>
        <w:rPr>
          <w:b/>
          <w:color w:val="auto"/>
          <w:sz w:val="28"/>
          <w:szCs w:val="28"/>
          <w:highlight w:val="none"/>
        </w:rPr>
      </w:pPr>
      <w:r>
        <w:rPr>
          <w:rFonts w:hint="eastAsia"/>
          <w:b/>
          <w:color w:val="auto"/>
          <w:sz w:val="28"/>
          <w:szCs w:val="28"/>
          <w:highlight w:val="none"/>
          <w:lang w:val="en-US" w:eastAsia="zh-CN"/>
        </w:rPr>
        <w:t>三</w:t>
      </w:r>
      <w:r>
        <w:rPr>
          <w:b/>
          <w:color w:val="auto"/>
          <w:sz w:val="28"/>
          <w:szCs w:val="28"/>
          <w:highlight w:val="none"/>
        </w:rPr>
        <w:t>、磋商响应函</w:t>
      </w:r>
    </w:p>
    <w:p w14:paraId="42FDC61F">
      <w:pPr>
        <w:spacing w:before="240" w:beforeLines="100" w:after="240" w:afterLines="100" w:line="360" w:lineRule="auto"/>
        <w:rPr>
          <w:b/>
          <w:color w:val="auto"/>
          <w:highlight w:val="none"/>
        </w:rPr>
      </w:pPr>
      <w:r>
        <w:rPr>
          <w:b/>
          <w:color w:val="auto"/>
          <w:highlight w:val="none"/>
        </w:rPr>
        <w:t xml:space="preserve">致： </w:t>
      </w:r>
      <w:r>
        <w:rPr>
          <w:rFonts w:hint="eastAsia"/>
          <w:b/>
          <w:color w:val="auto"/>
          <w:highlight w:val="none"/>
        </w:rPr>
        <w:t>（采购人）</w:t>
      </w:r>
    </w:p>
    <w:p w14:paraId="59166C7B">
      <w:pPr>
        <w:pStyle w:val="11"/>
        <w:spacing w:before="2" w:line="360" w:lineRule="auto"/>
        <w:ind w:left="700"/>
        <w:rPr>
          <w:color w:val="auto"/>
          <w:sz w:val="21"/>
          <w:szCs w:val="21"/>
          <w:highlight w:val="none"/>
        </w:rPr>
      </w:pPr>
      <w:r>
        <w:rPr>
          <w:color w:val="auto"/>
          <w:sz w:val="21"/>
          <w:szCs w:val="21"/>
          <w:highlight w:val="none"/>
        </w:rPr>
        <w:t>根据贵方的竞争性磋商公告，我方兹宣布同意如下：</w:t>
      </w:r>
    </w:p>
    <w:p w14:paraId="67BE985D">
      <w:pPr>
        <w:pStyle w:val="37"/>
        <w:numPr>
          <w:ilvl w:val="2"/>
          <w:numId w:val="26"/>
        </w:numPr>
        <w:tabs>
          <w:tab w:val="left" w:pos="942"/>
        </w:tabs>
        <w:spacing w:before="160" w:line="360" w:lineRule="auto"/>
        <w:ind w:right="357" w:firstLine="479"/>
        <w:rPr>
          <w:color w:val="auto"/>
          <w:sz w:val="21"/>
          <w:szCs w:val="21"/>
          <w:highlight w:val="none"/>
        </w:rPr>
      </w:pPr>
      <w:r>
        <w:rPr>
          <w:color w:val="auto"/>
          <w:spacing w:val="-11"/>
          <w:sz w:val="21"/>
          <w:szCs w:val="21"/>
          <w:highlight w:val="none"/>
        </w:rPr>
        <w:t>如我公司成交，我公司承诺愿意按磋商文件规定缴纳履约保证金和成交服</w:t>
      </w:r>
      <w:r>
        <w:rPr>
          <w:color w:val="auto"/>
          <w:sz w:val="21"/>
          <w:szCs w:val="21"/>
          <w:highlight w:val="none"/>
        </w:rPr>
        <w:t>务费。按本次磋商文件规定及最后报价承诺供货及安装。</w:t>
      </w:r>
    </w:p>
    <w:p w14:paraId="08FA34D6">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我方根据本次磋商文件的规定，严格履行合同的责任和义务,并保证于买方要求的日期内完成服务，并通过买方验收。</w:t>
      </w:r>
    </w:p>
    <w:p w14:paraId="498B63DF">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我方承诺报价低于同类货物和服务的市场平均价格。</w:t>
      </w:r>
    </w:p>
    <w:p w14:paraId="23EB8F44">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09CD528B">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我方同意从供应商须知规定的磋商日期起遵循本磋商文件，并在供应商须知规定的磋商有效期之前均具有约束力。</w:t>
      </w:r>
    </w:p>
    <w:p w14:paraId="10B61229">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我方同意按贵方要求在磋商现场规定时间内向贵方提供与其磋商有关的任何证据或补充资料，否则，我方的响应文件可被贵方拒绝。</w:t>
      </w:r>
    </w:p>
    <w:p w14:paraId="61927588">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我方完全理解贵方不一定接受最低报价的磋商。</w:t>
      </w:r>
    </w:p>
    <w:p w14:paraId="5055F054">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我方同意磋商文件规定的付款方式、服务期限。</w:t>
      </w:r>
    </w:p>
    <w:p w14:paraId="2C1196F1">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我方对响应文件中所提供资料、文件、证书及证件的真实性和有效性负责。</w:t>
      </w:r>
    </w:p>
    <w:p w14:paraId="0205A51A">
      <w:pPr>
        <w:pStyle w:val="37"/>
        <w:numPr>
          <w:ilvl w:val="2"/>
          <w:numId w:val="26"/>
        </w:numPr>
        <w:tabs>
          <w:tab w:val="left" w:pos="942"/>
        </w:tabs>
        <w:spacing w:before="160" w:line="360" w:lineRule="auto"/>
        <w:ind w:right="357" w:firstLine="479"/>
        <w:rPr>
          <w:color w:val="auto"/>
          <w:spacing w:val="-11"/>
          <w:sz w:val="21"/>
          <w:szCs w:val="21"/>
          <w:highlight w:val="none"/>
          <w:u w:val="single"/>
        </w:rPr>
      </w:pPr>
      <w:r>
        <w:rPr>
          <w:color w:val="auto"/>
          <w:spacing w:val="-11"/>
          <w:sz w:val="21"/>
          <w:szCs w:val="21"/>
          <w:highlight w:val="none"/>
        </w:rPr>
        <w:t>与本磋商有关的通讯地址：</w:t>
      </w:r>
      <w:r>
        <w:rPr>
          <w:color w:val="auto"/>
          <w:spacing w:val="-11"/>
          <w:sz w:val="21"/>
          <w:szCs w:val="21"/>
          <w:highlight w:val="none"/>
          <w:u w:val="single"/>
        </w:rPr>
        <w:t xml:space="preserve"> </w:t>
      </w:r>
      <w:r>
        <w:rPr>
          <w:color w:val="auto"/>
          <w:spacing w:val="-11"/>
          <w:sz w:val="21"/>
          <w:szCs w:val="21"/>
          <w:highlight w:val="none"/>
          <w:u w:val="single"/>
        </w:rPr>
        <w:tab/>
      </w:r>
      <w:r>
        <w:rPr>
          <w:color w:val="auto"/>
          <w:spacing w:val="-11"/>
          <w:sz w:val="21"/>
          <w:szCs w:val="21"/>
          <w:highlight w:val="none"/>
          <w:u w:val="single"/>
        </w:rPr>
        <w:tab/>
      </w:r>
      <w:r>
        <w:rPr>
          <w:rFonts w:hint="eastAsia"/>
          <w:color w:val="auto"/>
          <w:spacing w:val="-11"/>
          <w:sz w:val="21"/>
          <w:szCs w:val="21"/>
          <w:highlight w:val="none"/>
          <w:u w:val="single"/>
          <w:lang w:val="en-US" w:eastAsia="zh-CN"/>
        </w:rPr>
        <w:t xml:space="preserve">                                    </w:t>
      </w:r>
      <w:r>
        <w:rPr>
          <w:color w:val="auto"/>
          <w:spacing w:val="-11"/>
          <w:sz w:val="21"/>
          <w:szCs w:val="21"/>
          <w:highlight w:val="none"/>
          <w:u w:val="single"/>
        </w:rPr>
        <w:t xml:space="preserve"> </w:t>
      </w:r>
      <w:r>
        <w:rPr>
          <w:rFonts w:hint="eastAsia"/>
          <w:color w:val="auto"/>
          <w:spacing w:val="-11"/>
          <w:sz w:val="21"/>
          <w:szCs w:val="21"/>
          <w:highlight w:val="none"/>
          <w:u w:val="single"/>
        </w:rPr>
        <w:t xml:space="preserve"> </w:t>
      </w:r>
    </w:p>
    <w:p w14:paraId="11506A5E">
      <w:pPr>
        <w:pStyle w:val="37"/>
        <w:tabs>
          <w:tab w:val="left" w:pos="1062"/>
          <w:tab w:val="left" w:pos="4956"/>
          <w:tab w:val="left" w:pos="7116"/>
        </w:tabs>
        <w:spacing w:before="1" w:line="360" w:lineRule="auto"/>
        <w:ind w:left="697" w:firstLine="0"/>
        <w:rPr>
          <w:color w:val="auto"/>
          <w:sz w:val="21"/>
          <w:szCs w:val="21"/>
          <w:highlight w:val="none"/>
        </w:rPr>
      </w:pPr>
      <w:r>
        <w:rPr>
          <w:rFonts w:hint="eastAsia"/>
          <w:color w:val="auto"/>
          <w:sz w:val="21"/>
          <w:szCs w:val="21"/>
          <w:highlight w:val="none"/>
        </w:rPr>
        <w:t xml:space="preserve">                </w:t>
      </w:r>
    </w:p>
    <w:p w14:paraId="5497943F">
      <w:pPr>
        <w:pStyle w:val="37"/>
        <w:tabs>
          <w:tab w:val="left" w:pos="1062"/>
          <w:tab w:val="left" w:pos="8550"/>
        </w:tabs>
        <w:spacing w:before="1" w:line="360" w:lineRule="auto"/>
        <w:ind w:left="697" w:firstLine="0"/>
        <w:rPr>
          <w:color w:val="auto"/>
          <w:sz w:val="21"/>
          <w:szCs w:val="21"/>
          <w:highlight w:val="none"/>
        </w:rPr>
      </w:pPr>
      <w:r>
        <w:rPr>
          <w:rFonts w:hint="eastAsia"/>
          <w:color w:val="auto"/>
          <w:sz w:val="21"/>
          <w:szCs w:val="21"/>
          <w:highlight w:val="none"/>
        </w:rPr>
        <w:t xml:space="preserve">                                   </w:t>
      </w:r>
      <w:r>
        <w:rPr>
          <w:color w:val="auto"/>
          <w:sz w:val="21"/>
          <w:szCs w:val="21"/>
          <w:highlight w:val="none"/>
        </w:rPr>
        <w:t>供应商公章：</w:t>
      </w:r>
      <w:r>
        <w:rPr>
          <w:color w:val="auto"/>
          <w:sz w:val="21"/>
          <w:szCs w:val="21"/>
          <w:highlight w:val="none"/>
          <w:u w:val="single"/>
        </w:rPr>
        <w:t xml:space="preserve"> </w:t>
      </w:r>
      <w:r>
        <w:rPr>
          <w:color w:val="auto"/>
          <w:sz w:val="21"/>
          <w:szCs w:val="21"/>
          <w:highlight w:val="none"/>
          <w:u w:val="single"/>
        </w:rPr>
        <w:tab/>
      </w:r>
    </w:p>
    <w:p w14:paraId="20DDBA90">
      <w:pPr>
        <w:pStyle w:val="11"/>
        <w:tabs>
          <w:tab w:val="left" w:pos="5841"/>
          <w:tab w:val="left" w:pos="8923"/>
        </w:tabs>
        <w:spacing w:before="160" w:line="360" w:lineRule="auto"/>
        <w:ind w:left="703"/>
        <w:jc w:val="center"/>
        <w:rPr>
          <w:color w:val="auto"/>
          <w:sz w:val="21"/>
          <w:szCs w:val="21"/>
          <w:highlight w:val="none"/>
          <w:u w:val="single"/>
        </w:rPr>
      </w:pPr>
      <w:r>
        <w:rPr>
          <w:rFonts w:hint="eastAsia"/>
          <w:color w:val="auto"/>
          <w:sz w:val="21"/>
          <w:szCs w:val="21"/>
          <w:highlight w:val="none"/>
        </w:rPr>
        <w:t xml:space="preserve">                       法定代表人或其委托代理人：</w:t>
      </w:r>
      <w:r>
        <w:rPr>
          <w:rFonts w:hint="eastAsia"/>
          <w:color w:val="auto"/>
          <w:sz w:val="21"/>
          <w:szCs w:val="21"/>
          <w:highlight w:val="none"/>
          <w:u w:val="single"/>
        </w:rPr>
        <w:t xml:space="preserve">（签字或盖章） </w:t>
      </w:r>
    </w:p>
    <w:p w14:paraId="760D3108">
      <w:pPr>
        <w:pStyle w:val="11"/>
        <w:tabs>
          <w:tab w:val="left" w:pos="1420"/>
          <w:tab w:val="left" w:pos="4595"/>
        </w:tabs>
        <w:spacing w:before="1" w:line="360" w:lineRule="auto"/>
        <w:ind w:left="699" w:leftChars="333" w:firstLine="4200" w:firstLineChars="2000"/>
        <w:rPr>
          <w:color w:val="auto"/>
          <w:sz w:val="21"/>
          <w:szCs w:val="21"/>
          <w:highlight w:val="none"/>
        </w:rPr>
      </w:pPr>
      <w:r>
        <w:rPr>
          <w:color w:val="auto"/>
          <w:sz w:val="21"/>
          <w:szCs w:val="21"/>
          <w:highlight w:val="none"/>
        </w:rPr>
        <w:t>日</w:t>
      </w:r>
      <w:r>
        <w:rPr>
          <w:color w:val="auto"/>
          <w:sz w:val="21"/>
          <w:szCs w:val="21"/>
          <w:highlight w:val="none"/>
        </w:rPr>
        <w:tab/>
      </w:r>
      <w:r>
        <w:rPr>
          <w:rFonts w:hint="eastAsia"/>
          <w:color w:val="auto"/>
          <w:sz w:val="21"/>
          <w:szCs w:val="21"/>
          <w:highlight w:val="none"/>
        </w:rPr>
        <w:t xml:space="preserve">    </w:t>
      </w:r>
      <w:r>
        <w:rPr>
          <w:color w:val="auto"/>
          <w:sz w:val="21"/>
          <w:szCs w:val="21"/>
          <w:highlight w:val="none"/>
        </w:rPr>
        <w:t>期：</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ab/>
      </w:r>
    </w:p>
    <w:p w14:paraId="4275AC2A">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189BF75">
      <w:pPr>
        <w:spacing w:line="360" w:lineRule="auto"/>
        <w:jc w:val="left"/>
        <w:rPr>
          <w:rFonts w:ascii="宋体" w:hAnsi="宋体" w:cs="黑体"/>
          <w:color w:val="auto"/>
          <w:highlight w:val="none"/>
        </w:rPr>
      </w:pPr>
      <w:r>
        <w:rPr>
          <w:rFonts w:hint="eastAsia" w:ascii="宋体" w:hAnsi="宋体" w:cs="黑体"/>
          <w:b/>
          <w:color w:val="auto"/>
          <w:highlight w:val="none"/>
        </w:rPr>
        <w:t>附录1</w:t>
      </w:r>
      <w:r>
        <w:rPr>
          <w:rFonts w:hint="eastAsia" w:ascii="宋体" w:hAnsi="宋体" w:cs="黑体"/>
          <w:color w:val="auto"/>
          <w:highlight w:val="none"/>
        </w:rPr>
        <w:t>:</w:t>
      </w:r>
    </w:p>
    <w:p w14:paraId="2A3173AC">
      <w:pPr>
        <w:spacing w:line="360" w:lineRule="auto"/>
        <w:jc w:val="left"/>
        <w:rPr>
          <w:rFonts w:ascii="宋体" w:hAnsi="宋体" w:cs="黑体"/>
          <w:color w:val="auto"/>
          <w:highlight w:val="none"/>
        </w:rPr>
      </w:pPr>
    </w:p>
    <w:p w14:paraId="4467999B">
      <w:pPr>
        <w:spacing w:line="360" w:lineRule="auto"/>
        <w:jc w:val="center"/>
        <w:rPr>
          <w:rFonts w:ascii="宋体" w:hAnsi="宋体" w:cs="黑体"/>
          <w:color w:val="auto"/>
          <w:highlight w:val="none"/>
        </w:rPr>
      </w:pPr>
      <w:r>
        <w:rPr>
          <w:rFonts w:hint="eastAsia" w:ascii="宋体" w:hAnsi="宋体" w:cs="黑体"/>
          <w:color w:val="auto"/>
          <w:highlight w:val="none"/>
        </w:rPr>
        <w:t>供应商诚信承诺书</w:t>
      </w:r>
    </w:p>
    <w:p w14:paraId="0AB18238">
      <w:pPr>
        <w:pStyle w:val="39"/>
        <w:widowControl w:val="0"/>
        <w:spacing w:line="360" w:lineRule="auto"/>
        <w:rPr>
          <w:rFonts w:ascii="宋体" w:hAnsi="宋体"/>
          <w:bCs/>
          <w:color w:val="auto"/>
          <w:highlight w:val="none"/>
          <w:u w:val="single"/>
        </w:rPr>
      </w:pPr>
      <w:r>
        <w:rPr>
          <w:rFonts w:hint="eastAsia" w:ascii="宋体" w:hAnsi="宋体"/>
          <w:bCs/>
          <w:color w:val="auto"/>
          <w:highlight w:val="none"/>
        </w:rPr>
        <w:t>致：</w:t>
      </w:r>
      <w:r>
        <w:rPr>
          <w:rFonts w:hint="eastAsia" w:ascii="宋体" w:hAnsi="宋体"/>
          <w:bCs/>
          <w:color w:val="auto"/>
          <w:highlight w:val="none"/>
          <w:u w:val="single"/>
        </w:rPr>
        <w:t xml:space="preserve">  （采购人）</w:t>
      </w:r>
    </w:p>
    <w:p w14:paraId="1F78A3EC">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我单位参加本次投标，承诺如下：</w:t>
      </w:r>
    </w:p>
    <w:p w14:paraId="2C4794F3">
      <w:pPr>
        <w:spacing w:line="360" w:lineRule="auto"/>
        <w:ind w:firstLine="420" w:firstLineChars="200"/>
        <w:rPr>
          <w:rFonts w:ascii="宋体" w:hAnsi="宋体" w:cs="仿宋"/>
          <w:color w:val="auto"/>
          <w:highlight w:val="none"/>
        </w:rPr>
      </w:pPr>
      <w:r>
        <w:rPr>
          <w:rFonts w:hint="eastAsia" w:ascii="宋体" w:hAnsi="宋体" w:cs="仿宋"/>
          <w:color w:val="auto"/>
          <w:highlight w:val="none"/>
          <w:lang w:eastAsia="zh-CN"/>
        </w:rPr>
        <w:t>（1）</w:t>
      </w:r>
      <w:r>
        <w:rPr>
          <w:rFonts w:hint="eastAsia" w:ascii="宋体" w:hAnsi="宋体" w:cs="仿宋"/>
          <w:color w:val="auto"/>
          <w:highlight w:val="none"/>
        </w:rPr>
        <w:t xml:space="preserve"> 提供的所有资料都是真实有效。如被发现提供虚假资料或虚假承诺（声明），同意取消磋商和成交候选人资格。</w:t>
      </w:r>
    </w:p>
    <w:p w14:paraId="728F87B2">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2. 不存在借用资质、串通投标等情形。如被发现，同意取消磋商和成交候选人资格。</w:t>
      </w:r>
    </w:p>
    <w:p w14:paraId="41592CD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13049BA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4、我方成交后，严格按照采购文件和我单位响应文件的约定签订合同。</w:t>
      </w:r>
    </w:p>
    <w:p w14:paraId="1C4F6C3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5、我方同意将达不到供应商资格要求条件仍参与磋商或被行政主管部门、监督管理部门等暂停、取消公共资源交易资格且在限制期内仍参与磋商的情形视为弄虚作假，愿意接受处理。</w:t>
      </w:r>
    </w:p>
    <w:p w14:paraId="724F0EA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6、我方参与磋商如出现报价高于或等于该项目最高限价的情形，同意视为串通投标并接受处理。</w:t>
      </w:r>
    </w:p>
    <w:p w14:paraId="4EA27845">
      <w:pPr>
        <w:spacing w:line="360" w:lineRule="auto"/>
        <w:ind w:firstLine="420" w:firstLineChars="200"/>
        <w:rPr>
          <w:rFonts w:ascii="宋体" w:hAnsi="宋体" w:cs="华文仿宋"/>
          <w:color w:val="auto"/>
          <w:kern w:val="0"/>
          <w:highlight w:val="none"/>
        </w:rPr>
      </w:pPr>
      <w:r>
        <w:rPr>
          <w:rFonts w:hint="eastAsia" w:ascii="宋体" w:hAnsi="宋体" w:cs="华文仿宋"/>
          <w:color w:val="auto"/>
          <w:kern w:val="0"/>
          <w:highlight w:val="none"/>
        </w:rPr>
        <w:t>出现违反上述承诺情形之一的，我单位愿意公开披露我单位违反承诺的不良行为信息，愿意接受处罚并承担所有经济损失和法律责任。</w:t>
      </w:r>
    </w:p>
    <w:p w14:paraId="7B0A623B">
      <w:pPr>
        <w:spacing w:line="360" w:lineRule="auto"/>
        <w:ind w:firstLine="420" w:firstLineChars="200"/>
        <w:rPr>
          <w:rFonts w:ascii="宋体" w:hAnsi="宋体"/>
          <w:color w:val="auto"/>
          <w:highlight w:val="none"/>
        </w:rPr>
      </w:pPr>
      <w:r>
        <w:rPr>
          <w:rFonts w:hint="eastAsia" w:ascii="宋体" w:hAnsi="宋体"/>
          <w:color w:val="auto"/>
          <w:highlight w:val="none"/>
        </w:rPr>
        <w:t xml:space="preserve">后期履约过程中除不可抗力外如我单位放弃（拒绝）履约，同意采购人（甲方）不予退还履约保证金，我单位（乙方）不要求退还履约保证金。 </w:t>
      </w:r>
    </w:p>
    <w:p w14:paraId="1FC23331">
      <w:pPr>
        <w:spacing w:line="360" w:lineRule="auto"/>
        <w:ind w:firstLine="522" w:firstLineChars="249"/>
        <w:rPr>
          <w:rFonts w:ascii="宋体" w:hAnsi="宋体"/>
          <w:color w:val="auto"/>
          <w:highlight w:val="none"/>
        </w:rPr>
      </w:pPr>
      <w:r>
        <w:rPr>
          <w:rFonts w:hint="eastAsia" w:ascii="宋体" w:hAnsi="宋体"/>
          <w:color w:val="auto"/>
          <w:highlight w:val="none"/>
        </w:rPr>
        <w:t>此承诺不受投标有效期的限制。</w:t>
      </w:r>
    </w:p>
    <w:p w14:paraId="7A70E121">
      <w:pPr>
        <w:spacing w:line="360" w:lineRule="auto"/>
        <w:ind w:firstLine="420" w:firstLineChars="200"/>
        <w:rPr>
          <w:rFonts w:ascii="宋体" w:hAnsi="宋体" w:cs="华文仿宋"/>
          <w:color w:val="auto"/>
          <w:kern w:val="0"/>
          <w:highlight w:val="none"/>
        </w:rPr>
      </w:pPr>
    </w:p>
    <w:p w14:paraId="170A8882">
      <w:pPr>
        <w:pStyle w:val="39"/>
        <w:widowControl w:val="0"/>
        <w:spacing w:line="360" w:lineRule="auto"/>
        <w:ind w:firstLine="420"/>
        <w:rPr>
          <w:rFonts w:ascii="宋体" w:hAnsi="宋体" w:cs="宋体"/>
          <w:color w:val="auto"/>
          <w:highlight w:val="none"/>
          <w:u w:val="single"/>
        </w:rPr>
      </w:pPr>
      <w:r>
        <w:rPr>
          <w:rFonts w:hint="eastAsia" w:ascii="宋体" w:hAnsi="宋体" w:cs="宋体"/>
          <w:color w:val="auto"/>
          <w:highlight w:val="none"/>
        </w:rPr>
        <w:t xml:space="preserve">                      </w:t>
      </w:r>
      <w:r>
        <w:rPr>
          <w:rFonts w:hint="eastAsia" w:ascii="宋体" w:hAnsi="宋体"/>
          <w:color w:val="auto"/>
          <w:highlight w:val="none"/>
        </w:rPr>
        <w:t>供应商</w:t>
      </w:r>
      <w:r>
        <w:rPr>
          <w:rFonts w:ascii="宋体" w:hAnsi="宋体"/>
          <w:color w:val="auto"/>
          <w:highlight w:val="none"/>
        </w:rPr>
        <w:t>公章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11D9FE45">
      <w:pPr>
        <w:pStyle w:val="39"/>
        <w:widowControl w:val="0"/>
        <w:spacing w:line="360" w:lineRule="auto"/>
        <w:ind w:firstLine="2362" w:firstLineChars="1125"/>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（签字或盖章）</w:t>
      </w:r>
    </w:p>
    <w:p w14:paraId="688BC405">
      <w:pPr>
        <w:pStyle w:val="39"/>
        <w:widowControl w:val="0"/>
        <w:spacing w:line="360" w:lineRule="auto"/>
        <w:ind w:firstLine="420"/>
        <w:jc w:val="center"/>
        <w:rPr>
          <w:rFonts w:ascii="宋体" w:hAnsi="宋体" w:cs="宋体"/>
          <w:color w:val="auto"/>
          <w:highlight w:val="none"/>
        </w:rPr>
      </w:pPr>
      <w:r>
        <w:rPr>
          <w:rFonts w:hint="eastAsia" w:ascii="宋体" w:hAnsi="宋体" w:cs="宋体"/>
          <w:color w:val="auto"/>
          <w:highlight w:val="none"/>
        </w:rPr>
        <w:t xml:space="preserve">                                               年   月    日</w:t>
      </w:r>
    </w:p>
    <w:p w14:paraId="0042213F">
      <w:pPr>
        <w:widowControl/>
        <w:jc w:val="center"/>
        <w:rPr>
          <w:rFonts w:ascii="宋体" w:hAnsi="宋体"/>
          <w:b/>
          <w:bCs/>
          <w:color w:val="auto"/>
          <w:highlight w:val="none"/>
        </w:rPr>
      </w:pPr>
      <w:r>
        <w:rPr>
          <w:rFonts w:ascii="宋体" w:hAnsi="宋体" w:cs="宋体"/>
          <w:color w:val="auto"/>
          <w:highlight w:val="none"/>
        </w:rPr>
        <w:br w:type="page"/>
      </w:r>
    </w:p>
    <w:p w14:paraId="44A095EC">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四、授权书</w:t>
      </w:r>
    </w:p>
    <w:p w14:paraId="10C89954">
      <w:pPr>
        <w:pStyle w:val="11"/>
        <w:spacing w:line="360" w:lineRule="auto"/>
        <w:rPr>
          <w:b/>
          <w:color w:val="auto"/>
          <w:sz w:val="21"/>
          <w:szCs w:val="21"/>
          <w:highlight w:val="none"/>
        </w:rPr>
      </w:pPr>
    </w:p>
    <w:p w14:paraId="124C3097">
      <w:pPr>
        <w:pStyle w:val="11"/>
        <w:spacing w:before="11" w:line="360" w:lineRule="auto"/>
        <w:rPr>
          <w:b/>
          <w:color w:val="auto"/>
          <w:sz w:val="21"/>
          <w:szCs w:val="21"/>
          <w:highlight w:val="none"/>
        </w:rPr>
      </w:pPr>
    </w:p>
    <w:p w14:paraId="4D79CD4A">
      <w:pPr>
        <w:pStyle w:val="11"/>
        <w:spacing w:line="360" w:lineRule="auto"/>
        <w:rPr>
          <w:b/>
          <w:color w:val="auto"/>
          <w:sz w:val="21"/>
          <w:szCs w:val="21"/>
          <w:highlight w:val="none"/>
          <w:lang w:val="en-US"/>
        </w:rPr>
      </w:pPr>
    </w:p>
    <w:p w14:paraId="054FC02C">
      <w:pPr>
        <w:spacing w:line="360" w:lineRule="auto"/>
        <w:ind w:firstLine="645"/>
        <w:rPr>
          <w:rFonts w:ascii="宋体" w:hAnsi="宋体"/>
          <w:color w:val="auto"/>
          <w:highlight w:val="none"/>
        </w:rPr>
      </w:pPr>
      <w:r>
        <w:rPr>
          <w:rFonts w:hint="eastAsia" w:ascii="宋体" w:hAnsi="宋体"/>
          <w:color w:val="auto"/>
          <w:highlight w:val="none"/>
        </w:rPr>
        <w:t>本授权书声明：</w:t>
      </w:r>
      <w:r>
        <w:rPr>
          <w:rFonts w:hint="eastAsia" w:ascii="宋体" w:hAnsi="宋体"/>
          <w:color w:val="auto"/>
          <w:highlight w:val="none"/>
          <w:u w:val="single"/>
        </w:rPr>
        <w:t xml:space="preserve">           </w:t>
      </w:r>
      <w:r>
        <w:rPr>
          <w:rFonts w:hint="eastAsia" w:ascii="宋体" w:hAnsi="宋体"/>
          <w:color w:val="auto"/>
          <w:highlight w:val="none"/>
        </w:rPr>
        <w:t>公司（工厂）（纳税人识别号：</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color w:val="auto"/>
          <w:highlight w:val="none"/>
        </w:rPr>
        <w:t>（法人代表姓名、职务）代表本公司（工厂）授权本公司（工厂）</w:t>
      </w:r>
      <w:r>
        <w:rPr>
          <w:rFonts w:hint="eastAsia" w:ascii="宋体" w:hAnsi="宋体"/>
          <w:color w:val="auto"/>
          <w:highlight w:val="none"/>
          <w:u w:val="single"/>
        </w:rPr>
        <w:t xml:space="preserve">        </w:t>
      </w:r>
      <w:r>
        <w:rPr>
          <w:rFonts w:hint="eastAsia" w:ascii="宋体" w:hAnsi="宋体"/>
          <w:color w:val="auto"/>
          <w:highlight w:val="none"/>
        </w:rPr>
        <w:t>（被授权人的姓名、职务）为本公司（工厂）的合法代理人，参加</w:t>
      </w:r>
      <w:r>
        <w:rPr>
          <w:rFonts w:hint="eastAsia" w:ascii="宋体" w:hAnsi="宋体"/>
          <w:color w:val="auto"/>
          <w:highlight w:val="none"/>
          <w:u w:val="single"/>
        </w:rPr>
        <w:t xml:space="preserve">                     </w:t>
      </w:r>
      <w:r>
        <w:rPr>
          <w:rFonts w:hint="eastAsia" w:ascii="宋体" w:hAnsi="宋体"/>
          <w:color w:val="auto"/>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EB69F2A">
      <w:pPr>
        <w:spacing w:line="360" w:lineRule="auto"/>
        <w:ind w:firstLine="645"/>
        <w:rPr>
          <w:rFonts w:ascii="宋体" w:hAnsi="宋体"/>
          <w:color w:val="auto"/>
          <w:highlight w:val="none"/>
        </w:rPr>
      </w:pPr>
      <w:r>
        <w:rPr>
          <w:rFonts w:hint="eastAsia" w:ascii="宋体" w:hAnsi="宋体"/>
          <w:color w:val="auto"/>
          <w:highlight w:val="none"/>
        </w:rPr>
        <w:t>本授权书自出具之日起生效。</w:t>
      </w:r>
    </w:p>
    <w:p w14:paraId="1F36630D">
      <w:pPr>
        <w:spacing w:line="360" w:lineRule="auto"/>
        <w:ind w:firstLine="645"/>
        <w:rPr>
          <w:rFonts w:ascii="宋体" w:hAnsi="宋体"/>
          <w:color w:val="auto"/>
          <w:highlight w:val="none"/>
        </w:rPr>
      </w:pPr>
      <w:r>
        <w:rPr>
          <w:rFonts w:hint="eastAsia" w:ascii="宋体" w:hAnsi="宋体"/>
          <w:color w:val="auto"/>
          <w:highlight w:val="none"/>
        </w:rPr>
        <w:t>特此声明。</w:t>
      </w:r>
    </w:p>
    <w:p w14:paraId="6F370EB5">
      <w:pPr>
        <w:spacing w:line="360" w:lineRule="auto"/>
        <w:ind w:firstLine="645"/>
        <w:rPr>
          <w:rFonts w:ascii="宋体" w:hAnsi="宋体"/>
          <w:color w:val="auto"/>
          <w:highlight w:val="none"/>
        </w:rPr>
      </w:pPr>
    </w:p>
    <w:p w14:paraId="5A2B9CA5">
      <w:pPr>
        <w:spacing w:line="360" w:lineRule="auto"/>
        <w:ind w:firstLine="645"/>
        <w:rPr>
          <w:rFonts w:ascii="宋体" w:hAnsi="宋体"/>
          <w:color w:val="auto"/>
          <w:highlight w:val="none"/>
        </w:rPr>
      </w:pPr>
      <w:r>
        <w:rPr>
          <w:rFonts w:hint="eastAsia" w:ascii="宋体" w:hAnsi="宋体"/>
          <w:color w:val="auto"/>
          <w:highlight w:val="none"/>
        </w:rPr>
        <w:t>法定代表人联系方式：</w:t>
      </w:r>
      <w:r>
        <w:rPr>
          <w:rFonts w:hint="eastAsia" w:ascii="宋体" w:hAnsi="宋体"/>
          <w:color w:val="auto"/>
          <w:highlight w:val="none"/>
          <w:u w:val="single"/>
        </w:rPr>
        <w:t xml:space="preserve">（手机号码）       </w:t>
      </w:r>
    </w:p>
    <w:p w14:paraId="04D1B575">
      <w:pPr>
        <w:spacing w:line="360" w:lineRule="auto"/>
        <w:ind w:firstLine="645"/>
        <w:rPr>
          <w:rFonts w:ascii="宋体" w:hAnsi="宋体"/>
          <w:color w:val="auto"/>
          <w:highlight w:val="none"/>
        </w:rPr>
      </w:pPr>
      <w:r>
        <w:rPr>
          <w:rFonts w:hint="eastAsia" w:ascii="宋体" w:hAnsi="宋体"/>
          <w:color w:val="auto"/>
          <w:highlight w:val="none"/>
        </w:rPr>
        <w:t>授权委托人联系方式：</w:t>
      </w:r>
      <w:r>
        <w:rPr>
          <w:rFonts w:hint="eastAsia" w:ascii="宋体" w:hAnsi="宋体"/>
          <w:color w:val="auto"/>
          <w:highlight w:val="none"/>
          <w:u w:val="single"/>
        </w:rPr>
        <w:t xml:space="preserve">（手机号码）       </w:t>
      </w:r>
    </w:p>
    <w:p w14:paraId="0ED6099D">
      <w:pPr>
        <w:spacing w:line="360" w:lineRule="auto"/>
        <w:ind w:firstLine="645"/>
        <w:rPr>
          <w:rFonts w:ascii="宋体" w:hAnsi="宋体"/>
          <w:color w:val="auto"/>
          <w:highlight w:val="none"/>
        </w:rPr>
      </w:pPr>
    </w:p>
    <w:p w14:paraId="5869DBDE">
      <w:pPr>
        <w:spacing w:line="360" w:lineRule="auto"/>
        <w:ind w:firstLine="645"/>
        <w:rPr>
          <w:rFonts w:ascii="宋体" w:hAnsi="宋体"/>
          <w:color w:val="auto"/>
          <w:highlight w:val="none"/>
          <w:u w:val="single"/>
        </w:rPr>
      </w:pPr>
      <w:r>
        <w:rPr>
          <w:rFonts w:hint="eastAsia" w:ascii="宋体" w:hAnsi="宋体"/>
          <w:color w:val="auto"/>
          <w:highlight w:val="none"/>
        </w:rPr>
        <w:t>法人代表签字或盖章：</w:t>
      </w:r>
      <w:r>
        <w:rPr>
          <w:rFonts w:hint="eastAsia" w:ascii="宋体" w:hAnsi="宋体"/>
          <w:color w:val="auto"/>
          <w:highlight w:val="none"/>
          <w:u w:val="single"/>
        </w:rPr>
        <w:t xml:space="preserve">                    </w:t>
      </w:r>
    </w:p>
    <w:p w14:paraId="3C3CBF75">
      <w:pPr>
        <w:spacing w:line="360" w:lineRule="auto"/>
        <w:ind w:firstLine="645"/>
        <w:rPr>
          <w:rFonts w:ascii="宋体" w:hAnsi="宋体"/>
          <w:color w:val="auto"/>
          <w:highlight w:val="none"/>
        </w:rPr>
      </w:pPr>
      <w:r>
        <w:rPr>
          <w:rFonts w:hint="eastAsia" w:ascii="宋体" w:hAnsi="宋体"/>
          <w:color w:val="auto"/>
          <w:highlight w:val="none"/>
        </w:rPr>
        <w:t>代理人（被授权人）签字或盖章：</w:t>
      </w:r>
      <w:r>
        <w:rPr>
          <w:rFonts w:hint="eastAsia" w:ascii="宋体" w:hAnsi="宋体"/>
          <w:color w:val="auto"/>
          <w:highlight w:val="none"/>
          <w:u w:val="single"/>
        </w:rPr>
        <w:t xml:space="preserve">              </w:t>
      </w:r>
    </w:p>
    <w:p w14:paraId="3A7C13CE">
      <w:pPr>
        <w:spacing w:line="360" w:lineRule="auto"/>
        <w:ind w:firstLine="645"/>
        <w:rPr>
          <w:rFonts w:ascii="宋体" w:hAnsi="宋体"/>
          <w:color w:val="auto"/>
          <w:highlight w:val="none"/>
        </w:rPr>
      </w:pPr>
      <w:r>
        <w:rPr>
          <w:rFonts w:hint="eastAsia" w:ascii="宋体" w:hAnsi="宋体"/>
          <w:color w:val="auto"/>
          <w:highlight w:val="none"/>
        </w:rPr>
        <w:t>供应商公章：</w:t>
      </w:r>
      <w:r>
        <w:rPr>
          <w:rFonts w:hint="eastAsia" w:ascii="宋体" w:hAnsi="宋体"/>
          <w:color w:val="auto"/>
          <w:highlight w:val="none"/>
          <w:u w:val="single"/>
        </w:rPr>
        <w:t xml:space="preserve">                       </w:t>
      </w:r>
    </w:p>
    <w:p w14:paraId="7D41B5AA">
      <w:pPr>
        <w:spacing w:line="360" w:lineRule="auto"/>
        <w:ind w:firstLine="645"/>
        <w:rPr>
          <w:rFonts w:ascii="宋体" w:hAnsi="宋体"/>
          <w:color w:val="auto"/>
          <w:highlight w:val="none"/>
        </w:rPr>
      </w:pPr>
      <w:r>
        <w:rPr>
          <w:rFonts w:hint="eastAsia" w:ascii="宋体" w:hAnsi="宋体"/>
          <w:color w:val="auto"/>
          <w:highlight w:val="none"/>
        </w:rPr>
        <w:t>授权委托日期：</w:t>
      </w:r>
      <w:r>
        <w:rPr>
          <w:rFonts w:hint="eastAsia" w:ascii="宋体" w:hAnsi="宋体"/>
          <w:color w:val="auto"/>
          <w:highlight w:val="none"/>
          <w:u w:val="single"/>
        </w:rPr>
        <w:t xml:space="preserve">                 </w:t>
      </w:r>
    </w:p>
    <w:p w14:paraId="04A10B76">
      <w:pPr>
        <w:spacing w:line="360" w:lineRule="auto"/>
        <w:rPr>
          <w:rFonts w:ascii="宋体" w:hAnsi="宋体" w:cs="Arial"/>
          <w:b/>
          <w:color w:val="auto"/>
          <w:highlight w:val="none"/>
        </w:rPr>
      </w:pPr>
    </w:p>
    <w:p w14:paraId="299BE6FC">
      <w:pPr>
        <w:pStyle w:val="11"/>
        <w:spacing w:before="66" w:line="360" w:lineRule="auto"/>
        <w:rPr>
          <w:color w:val="auto"/>
          <w:sz w:val="21"/>
          <w:szCs w:val="21"/>
          <w:highlight w:val="none"/>
        </w:rPr>
      </w:pPr>
      <w:r>
        <w:rPr>
          <w:color w:val="auto"/>
          <w:sz w:val="21"/>
          <w:szCs w:val="21"/>
          <w:highlight w:val="none"/>
        </w:rPr>
        <w:t>注：</w:t>
      </w:r>
    </w:p>
    <w:p w14:paraId="213FC172">
      <w:pPr>
        <w:pStyle w:val="37"/>
        <w:tabs>
          <w:tab w:val="left" w:pos="896"/>
        </w:tabs>
        <w:spacing w:before="161" w:line="360" w:lineRule="auto"/>
        <w:ind w:left="220" w:firstLine="0"/>
        <w:rPr>
          <w:color w:val="auto"/>
          <w:sz w:val="21"/>
          <w:szCs w:val="21"/>
          <w:highlight w:val="none"/>
        </w:rPr>
      </w:pPr>
      <w:r>
        <w:rPr>
          <w:rFonts w:hint="eastAsia"/>
          <w:color w:val="auto"/>
          <w:sz w:val="21"/>
          <w:szCs w:val="21"/>
          <w:highlight w:val="none"/>
          <w:lang w:val="en-US"/>
        </w:rPr>
        <w:t>1、</w:t>
      </w:r>
      <w:r>
        <w:rPr>
          <w:color w:val="auto"/>
          <w:sz w:val="21"/>
          <w:szCs w:val="21"/>
          <w:highlight w:val="none"/>
        </w:rPr>
        <w:t>本项目只允许有唯一的</w:t>
      </w:r>
      <w:r>
        <w:rPr>
          <w:rFonts w:hint="eastAsia"/>
          <w:color w:val="auto"/>
          <w:sz w:val="21"/>
          <w:szCs w:val="21"/>
          <w:highlight w:val="none"/>
        </w:rPr>
        <w:t>供应商</w:t>
      </w:r>
      <w:r>
        <w:rPr>
          <w:color w:val="auto"/>
          <w:sz w:val="21"/>
          <w:szCs w:val="21"/>
          <w:highlight w:val="none"/>
        </w:rPr>
        <w:t>授权代表，提供</w:t>
      </w:r>
      <w:r>
        <w:rPr>
          <w:rFonts w:hint="eastAsia"/>
          <w:color w:val="auto"/>
          <w:sz w:val="21"/>
          <w:szCs w:val="21"/>
          <w:highlight w:val="none"/>
          <w:lang w:val="en-US" w:eastAsia="zh-CN"/>
        </w:rPr>
        <w:t>法人及被授权人</w:t>
      </w:r>
      <w:r>
        <w:rPr>
          <w:color w:val="auto"/>
          <w:sz w:val="21"/>
          <w:szCs w:val="21"/>
          <w:highlight w:val="none"/>
        </w:rPr>
        <w:t>身份证明扫描件；</w:t>
      </w:r>
    </w:p>
    <w:p w14:paraId="05AE93FE">
      <w:pPr>
        <w:pStyle w:val="37"/>
        <w:tabs>
          <w:tab w:val="left" w:pos="462"/>
        </w:tabs>
        <w:spacing w:line="360" w:lineRule="auto"/>
        <w:ind w:left="220" w:firstLine="0"/>
        <w:rPr>
          <w:color w:val="auto"/>
          <w:sz w:val="21"/>
          <w:szCs w:val="21"/>
          <w:highlight w:val="none"/>
        </w:rPr>
      </w:pPr>
      <w:r>
        <w:rPr>
          <w:rFonts w:hint="eastAsia"/>
          <w:color w:val="auto"/>
          <w:sz w:val="21"/>
          <w:szCs w:val="21"/>
          <w:highlight w:val="none"/>
          <w:lang w:val="en-US"/>
        </w:rPr>
        <w:t>2、</w:t>
      </w:r>
      <w:r>
        <w:rPr>
          <w:color w:val="auto"/>
          <w:sz w:val="21"/>
          <w:szCs w:val="21"/>
          <w:highlight w:val="none"/>
        </w:rPr>
        <w:t>法定代表人参加</w:t>
      </w:r>
      <w:r>
        <w:rPr>
          <w:rFonts w:hint="eastAsia"/>
          <w:color w:val="auto"/>
          <w:sz w:val="21"/>
          <w:szCs w:val="21"/>
          <w:highlight w:val="none"/>
        </w:rPr>
        <w:t>磋商</w:t>
      </w:r>
      <w:r>
        <w:rPr>
          <w:color w:val="auto"/>
          <w:sz w:val="21"/>
          <w:szCs w:val="21"/>
          <w:highlight w:val="none"/>
        </w:rPr>
        <w:t>的无需提供授权书，提供身份证明扫描件。</w:t>
      </w:r>
    </w:p>
    <w:p w14:paraId="3CC6163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DA422A3">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五</w:t>
      </w:r>
      <w:r>
        <w:rPr>
          <w:b/>
          <w:color w:val="auto"/>
          <w:sz w:val="28"/>
          <w:szCs w:val="28"/>
          <w:highlight w:val="none"/>
        </w:rPr>
        <w:t>、商务响应表</w:t>
      </w:r>
    </w:p>
    <w:p w14:paraId="7D5B185F">
      <w:pPr>
        <w:pStyle w:val="11"/>
        <w:spacing w:line="360" w:lineRule="auto"/>
        <w:rPr>
          <w:b/>
          <w:color w:val="auto"/>
          <w:sz w:val="21"/>
          <w:szCs w:val="21"/>
          <w:highlight w:val="none"/>
        </w:rPr>
      </w:pPr>
    </w:p>
    <w:p w14:paraId="6E88AC87">
      <w:pPr>
        <w:pStyle w:val="11"/>
        <w:spacing w:before="11" w:line="360" w:lineRule="auto"/>
        <w:rPr>
          <w:b/>
          <w:color w:val="auto"/>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84F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2ADEE30A">
            <w:pPr>
              <w:pStyle w:val="35"/>
              <w:spacing w:before="155" w:line="360" w:lineRule="auto"/>
              <w:ind w:left="101" w:right="92"/>
              <w:jc w:val="center"/>
              <w:rPr>
                <w:b/>
                <w:color w:val="auto"/>
                <w:sz w:val="21"/>
                <w:szCs w:val="21"/>
                <w:highlight w:val="none"/>
                <w:lang w:eastAsia="en-US"/>
              </w:rPr>
            </w:pPr>
            <w:r>
              <w:rPr>
                <w:b/>
                <w:color w:val="auto"/>
                <w:sz w:val="21"/>
                <w:szCs w:val="21"/>
                <w:highlight w:val="none"/>
                <w:lang w:eastAsia="en-US"/>
              </w:rPr>
              <w:t>序号</w:t>
            </w:r>
          </w:p>
        </w:tc>
        <w:tc>
          <w:tcPr>
            <w:tcW w:w="1916" w:type="dxa"/>
            <w:shd w:val="clear" w:color="auto" w:fill="auto"/>
          </w:tcPr>
          <w:p w14:paraId="27F75284">
            <w:pPr>
              <w:pStyle w:val="35"/>
              <w:spacing w:before="155" w:line="360" w:lineRule="auto"/>
              <w:ind w:left="454" w:right="447"/>
              <w:jc w:val="center"/>
              <w:rPr>
                <w:b/>
                <w:color w:val="auto"/>
                <w:sz w:val="21"/>
                <w:szCs w:val="21"/>
                <w:highlight w:val="none"/>
                <w:lang w:eastAsia="en-US"/>
              </w:rPr>
            </w:pPr>
            <w:r>
              <w:rPr>
                <w:b/>
                <w:color w:val="auto"/>
                <w:sz w:val="21"/>
                <w:szCs w:val="21"/>
                <w:highlight w:val="none"/>
                <w:lang w:eastAsia="en-US"/>
              </w:rPr>
              <w:t>商务条款</w:t>
            </w:r>
          </w:p>
        </w:tc>
        <w:tc>
          <w:tcPr>
            <w:tcW w:w="2497" w:type="dxa"/>
            <w:shd w:val="clear" w:color="auto" w:fill="auto"/>
          </w:tcPr>
          <w:p w14:paraId="1DEED1DF">
            <w:pPr>
              <w:pStyle w:val="35"/>
              <w:spacing w:before="155" w:line="360" w:lineRule="auto"/>
              <w:ind w:left="524"/>
              <w:rPr>
                <w:b/>
                <w:color w:val="auto"/>
                <w:sz w:val="21"/>
                <w:szCs w:val="21"/>
                <w:highlight w:val="none"/>
                <w:lang w:eastAsia="en-US"/>
              </w:rPr>
            </w:pPr>
            <w:r>
              <w:rPr>
                <w:b/>
                <w:color w:val="auto"/>
                <w:sz w:val="21"/>
                <w:szCs w:val="21"/>
                <w:highlight w:val="none"/>
                <w:lang w:eastAsia="en-US"/>
              </w:rPr>
              <w:t>磋商文件要求</w:t>
            </w:r>
          </w:p>
        </w:tc>
        <w:tc>
          <w:tcPr>
            <w:tcW w:w="2576" w:type="dxa"/>
            <w:shd w:val="clear" w:color="auto" w:fill="auto"/>
          </w:tcPr>
          <w:p w14:paraId="0797E017">
            <w:pPr>
              <w:pStyle w:val="35"/>
              <w:spacing w:before="155" w:line="360" w:lineRule="auto"/>
              <w:ind w:left="682"/>
              <w:rPr>
                <w:b/>
                <w:color w:val="auto"/>
                <w:sz w:val="21"/>
                <w:szCs w:val="21"/>
                <w:highlight w:val="none"/>
                <w:lang w:eastAsia="en-US"/>
              </w:rPr>
            </w:pPr>
            <w:r>
              <w:rPr>
                <w:b/>
                <w:color w:val="auto"/>
                <w:sz w:val="21"/>
                <w:szCs w:val="21"/>
                <w:highlight w:val="none"/>
                <w:lang w:eastAsia="en-US"/>
              </w:rPr>
              <w:t>供应商承诺</w:t>
            </w:r>
          </w:p>
        </w:tc>
        <w:tc>
          <w:tcPr>
            <w:tcW w:w="811" w:type="dxa"/>
            <w:shd w:val="clear" w:color="auto" w:fill="auto"/>
          </w:tcPr>
          <w:p w14:paraId="5206AF4E">
            <w:pPr>
              <w:pStyle w:val="35"/>
              <w:spacing w:line="360" w:lineRule="auto"/>
              <w:ind w:left="161"/>
              <w:rPr>
                <w:b/>
                <w:color w:val="auto"/>
                <w:sz w:val="21"/>
                <w:szCs w:val="21"/>
                <w:highlight w:val="none"/>
                <w:lang w:eastAsia="en-US"/>
              </w:rPr>
            </w:pPr>
            <w:r>
              <w:rPr>
                <w:b/>
                <w:color w:val="auto"/>
                <w:sz w:val="21"/>
                <w:szCs w:val="21"/>
                <w:highlight w:val="none"/>
                <w:lang w:eastAsia="en-US"/>
              </w:rPr>
              <w:t>偏离</w:t>
            </w:r>
          </w:p>
          <w:p w14:paraId="57BF5C9E">
            <w:pPr>
              <w:pStyle w:val="35"/>
              <w:spacing w:before="4" w:line="360" w:lineRule="auto"/>
              <w:ind w:left="161"/>
              <w:rPr>
                <w:b/>
                <w:color w:val="auto"/>
                <w:sz w:val="21"/>
                <w:szCs w:val="21"/>
                <w:highlight w:val="none"/>
                <w:lang w:eastAsia="en-US"/>
              </w:rPr>
            </w:pPr>
            <w:r>
              <w:rPr>
                <w:b/>
                <w:color w:val="auto"/>
                <w:sz w:val="21"/>
                <w:szCs w:val="21"/>
                <w:highlight w:val="none"/>
                <w:lang w:eastAsia="en-US"/>
              </w:rPr>
              <w:t>说明</w:t>
            </w:r>
          </w:p>
        </w:tc>
      </w:tr>
      <w:tr w14:paraId="1F0A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0515F8F">
            <w:pPr>
              <w:pStyle w:val="35"/>
              <w:spacing w:before="71" w:line="360" w:lineRule="auto"/>
              <w:ind w:left="9"/>
              <w:jc w:val="center"/>
              <w:rPr>
                <w:color w:val="auto"/>
                <w:sz w:val="21"/>
                <w:szCs w:val="21"/>
                <w:highlight w:val="none"/>
                <w:lang w:eastAsia="en-US"/>
              </w:rPr>
            </w:pPr>
            <w:r>
              <w:rPr>
                <w:color w:val="auto"/>
                <w:sz w:val="21"/>
                <w:szCs w:val="21"/>
                <w:highlight w:val="none"/>
                <w:lang w:eastAsia="en-US"/>
              </w:rPr>
              <w:t>1</w:t>
            </w:r>
          </w:p>
        </w:tc>
        <w:tc>
          <w:tcPr>
            <w:tcW w:w="1916" w:type="dxa"/>
            <w:shd w:val="clear" w:color="auto" w:fill="auto"/>
          </w:tcPr>
          <w:p w14:paraId="61A521FF">
            <w:pPr>
              <w:pStyle w:val="35"/>
              <w:spacing w:before="71" w:line="360" w:lineRule="auto"/>
              <w:ind w:left="454" w:right="446"/>
              <w:jc w:val="center"/>
              <w:rPr>
                <w:color w:val="auto"/>
                <w:sz w:val="21"/>
                <w:szCs w:val="21"/>
                <w:highlight w:val="none"/>
                <w:lang w:eastAsia="en-US"/>
              </w:rPr>
            </w:pPr>
            <w:r>
              <w:rPr>
                <w:color w:val="auto"/>
                <w:sz w:val="21"/>
                <w:szCs w:val="21"/>
                <w:highlight w:val="none"/>
                <w:lang w:eastAsia="en-US"/>
              </w:rPr>
              <w:t>付款方式</w:t>
            </w:r>
          </w:p>
        </w:tc>
        <w:tc>
          <w:tcPr>
            <w:tcW w:w="2497" w:type="dxa"/>
            <w:shd w:val="clear" w:color="auto" w:fill="auto"/>
          </w:tcPr>
          <w:p w14:paraId="782A31A7">
            <w:pPr>
              <w:pStyle w:val="35"/>
              <w:spacing w:line="360" w:lineRule="auto"/>
              <w:rPr>
                <w:color w:val="auto"/>
                <w:sz w:val="21"/>
                <w:szCs w:val="21"/>
                <w:highlight w:val="none"/>
                <w:lang w:eastAsia="en-US"/>
              </w:rPr>
            </w:pPr>
          </w:p>
        </w:tc>
        <w:tc>
          <w:tcPr>
            <w:tcW w:w="2576" w:type="dxa"/>
            <w:shd w:val="clear" w:color="auto" w:fill="auto"/>
          </w:tcPr>
          <w:p w14:paraId="5214BDA1">
            <w:pPr>
              <w:pStyle w:val="35"/>
              <w:spacing w:line="360" w:lineRule="auto"/>
              <w:rPr>
                <w:color w:val="auto"/>
                <w:sz w:val="21"/>
                <w:szCs w:val="21"/>
                <w:highlight w:val="none"/>
                <w:lang w:eastAsia="en-US"/>
              </w:rPr>
            </w:pPr>
          </w:p>
        </w:tc>
        <w:tc>
          <w:tcPr>
            <w:tcW w:w="811" w:type="dxa"/>
            <w:shd w:val="clear" w:color="auto" w:fill="auto"/>
          </w:tcPr>
          <w:p w14:paraId="05CE33B4">
            <w:pPr>
              <w:pStyle w:val="35"/>
              <w:spacing w:line="360" w:lineRule="auto"/>
              <w:rPr>
                <w:color w:val="auto"/>
                <w:sz w:val="21"/>
                <w:szCs w:val="21"/>
                <w:highlight w:val="none"/>
                <w:lang w:eastAsia="en-US"/>
              </w:rPr>
            </w:pPr>
          </w:p>
        </w:tc>
      </w:tr>
      <w:tr w14:paraId="630F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72F4B06">
            <w:pPr>
              <w:pStyle w:val="35"/>
              <w:spacing w:before="72" w:line="360" w:lineRule="auto"/>
              <w:ind w:left="9"/>
              <w:jc w:val="center"/>
              <w:rPr>
                <w:color w:val="auto"/>
                <w:sz w:val="21"/>
                <w:szCs w:val="21"/>
                <w:highlight w:val="none"/>
                <w:lang w:eastAsia="en-US"/>
              </w:rPr>
            </w:pPr>
            <w:r>
              <w:rPr>
                <w:color w:val="auto"/>
                <w:sz w:val="21"/>
                <w:szCs w:val="21"/>
                <w:highlight w:val="none"/>
                <w:lang w:eastAsia="en-US"/>
              </w:rPr>
              <w:t>2</w:t>
            </w:r>
          </w:p>
        </w:tc>
        <w:tc>
          <w:tcPr>
            <w:tcW w:w="1916" w:type="dxa"/>
            <w:shd w:val="clear" w:color="auto" w:fill="auto"/>
          </w:tcPr>
          <w:p w14:paraId="3616A51A">
            <w:pPr>
              <w:pStyle w:val="35"/>
              <w:spacing w:before="72" w:line="360" w:lineRule="auto"/>
              <w:ind w:left="454" w:right="446"/>
              <w:jc w:val="center"/>
              <w:rPr>
                <w:color w:val="auto"/>
                <w:sz w:val="21"/>
                <w:szCs w:val="21"/>
                <w:highlight w:val="none"/>
                <w:lang w:eastAsia="en-US"/>
              </w:rPr>
            </w:pPr>
            <w:r>
              <w:rPr>
                <w:color w:val="auto"/>
                <w:sz w:val="21"/>
                <w:szCs w:val="21"/>
                <w:highlight w:val="none"/>
                <w:lang w:eastAsia="en-US"/>
              </w:rPr>
              <w:t>服务地点</w:t>
            </w:r>
          </w:p>
        </w:tc>
        <w:tc>
          <w:tcPr>
            <w:tcW w:w="2497" w:type="dxa"/>
            <w:shd w:val="clear" w:color="auto" w:fill="auto"/>
          </w:tcPr>
          <w:p w14:paraId="30BDD133">
            <w:pPr>
              <w:pStyle w:val="35"/>
              <w:spacing w:line="360" w:lineRule="auto"/>
              <w:rPr>
                <w:color w:val="auto"/>
                <w:sz w:val="21"/>
                <w:szCs w:val="21"/>
                <w:highlight w:val="none"/>
                <w:lang w:eastAsia="en-US"/>
              </w:rPr>
            </w:pPr>
          </w:p>
        </w:tc>
        <w:tc>
          <w:tcPr>
            <w:tcW w:w="2576" w:type="dxa"/>
            <w:shd w:val="clear" w:color="auto" w:fill="auto"/>
          </w:tcPr>
          <w:p w14:paraId="1C42597D">
            <w:pPr>
              <w:pStyle w:val="35"/>
              <w:spacing w:line="360" w:lineRule="auto"/>
              <w:rPr>
                <w:color w:val="auto"/>
                <w:sz w:val="21"/>
                <w:szCs w:val="21"/>
                <w:highlight w:val="none"/>
                <w:lang w:eastAsia="en-US"/>
              </w:rPr>
            </w:pPr>
          </w:p>
        </w:tc>
        <w:tc>
          <w:tcPr>
            <w:tcW w:w="811" w:type="dxa"/>
            <w:shd w:val="clear" w:color="auto" w:fill="auto"/>
          </w:tcPr>
          <w:p w14:paraId="07F0B10E">
            <w:pPr>
              <w:pStyle w:val="35"/>
              <w:spacing w:line="360" w:lineRule="auto"/>
              <w:rPr>
                <w:color w:val="auto"/>
                <w:sz w:val="21"/>
                <w:szCs w:val="21"/>
                <w:highlight w:val="none"/>
                <w:lang w:eastAsia="en-US"/>
              </w:rPr>
            </w:pPr>
          </w:p>
        </w:tc>
      </w:tr>
      <w:tr w14:paraId="235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5BB7FD36">
            <w:pPr>
              <w:pStyle w:val="35"/>
              <w:spacing w:before="71" w:line="360" w:lineRule="auto"/>
              <w:ind w:left="9"/>
              <w:jc w:val="center"/>
              <w:rPr>
                <w:color w:val="auto"/>
                <w:sz w:val="21"/>
                <w:szCs w:val="21"/>
                <w:highlight w:val="none"/>
                <w:lang w:eastAsia="en-US"/>
              </w:rPr>
            </w:pPr>
            <w:r>
              <w:rPr>
                <w:color w:val="auto"/>
                <w:sz w:val="21"/>
                <w:szCs w:val="21"/>
                <w:highlight w:val="none"/>
                <w:lang w:eastAsia="en-US"/>
              </w:rPr>
              <w:t>3</w:t>
            </w:r>
          </w:p>
        </w:tc>
        <w:tc>
          <w:tcPr>
            <w:tcW w:w="1916" w:type="dxa"/>
            <w:shd w:val="clear" w:color="auto" w:fill="auto"/>
          </w:tcPr>
          <w:p w14:paraId="4B6B9688">
            <w:pPr>
              <w:pStyle w:val="35"/>
              <w:spacing w:before="71" w:line="360" w:lineRule="auto"/>
              <w:ind w:left="454" w:right="446"/>
              <w:jc w:val="center"/>
              <w:rPr>
                <w:color w:val="auto"/>
                <w:sz w:val="21"/>
                <w:szCs w:val="21"/>
                <w:highlight w:val="none"/>
                <w:lang w:eastAsia="en-US"/>
              </w:rPr>
            </w:pPr>
            <w:r>
              <w:rPr>
                <w:color w:val="auto"/>
                <w:sz w:val="21"/>
                <w:szCs w:val="21"/>
                <w:highlight w:val="none"/>
                <w:lang w:eastAsia="en-US"/>
              </w:rPr>
              <w:t>服务期限</w:t>
            </w:r>
          </w:p>
        </w:tc>
        <w:tc>
          <w:tcPr>
            <w:tcW w:w="2497" w:type="dxa"/>
            <w:shd w:val="clear" w:color="auto" w:fill="auto"/>
          </w:tcPr>
          <w:p w14:paraId="55CCEE97">
            <w:pPr>
              <w:pStyle w:val="35"/>
              <w:spacing w:line="360" w:lineRule="auto"/>
              <w:rPr>
                <w:color w:val="auto"/>
                <w:sz w:val="21"/>
                <w:szCs w:val="21"/>
                <w:highlight w:val="none"/>
                <w:lang w:eastAsia="en-US"/>
              </w:rPr>
            </w:pPr>
          </w:p>
        </w:tc>
        <w:tc>
          <w:tcPr>
            <w:tcW w:w="2576" w:type="dxa"/>
            <w:shd w:val="clear" w:color="auto" w:fill="auto"/>
          </w:tcPr>
          <w:p w14:paraId="5C3BFC75">
            <w:pPr>
              <w:pStyle w:val="35"/>
              <w:spacing w:line="360" w:lineRule="auto"/>
              <w:rPr>
                <w:color w:val="auto"/>
                <w:sz w:val="21"/>
                <w:szCs w:val="21"/>
                <w:highlight w:val="none"/>
                <w:lang w:eastAsia="en-US"/>
              </w:rPr>
            </w:pPr>
          </w:p>
        </w:tc>
        <w:tc>
          <w:tcPr>
            <w:tcW w:w="811" w:type="dxa"/>
            <w:shd w:val="clear" w:color="auto" w:fill="auto"/>
          </w:tcPr>
          <w:p w14:paraId="1CEA4141">
            <w:pPr>
              <w:pStyle w:val="35"/>
              <w:spacing w:line="360" w:lineRule="auto"/>
              <w:rPr>
                <w:color w:val="auto"/>
                <w:sz w:val="21"/>
                <w:szCs w:val="21"/>
                <w:highlight w:val="none"/>
                <w:lang w:eastAsia="en-US"/>
              </w:rPr>
            </w:pPr>
          </w:p>
        </w:tc>
      </w:tr>
      <w:tr w14:paraId="47F1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3BE0AF56">
            <w:pPr>
              <w:pStyle w:val="35"/>
              <w:spacing w:before="71" w:line="360" w:lineRule="auto"/>
              <w:ind w:left="9"/>
              <w:jc w:val="center"/>
              <w:rPr>
                <w:rFonts w:hint="eastAsia" w:eastAsia="宋体"/>
                <w:color w:val="auto"/>
                <w:w w:val="200"/>
                <w:sz w:val="21"/>
                <w:szCs w:val="21"/>
                <w:highlight w:val="none"/>
                <w:lang w:val="en-US" w:eastAsia="zh-CN"/>
              </w:rPr>
            </w:pPr>
            <w:r>
              <w:rPr>
                <w:rFonts w:hint="eastAsia"/>
                <w:color w:val="auto"/>
                <w:sz w:val="21"/>
                <w:szCs w:val="21"/>
                <w:highlight w:val="none"/>
                <w:lang w:val="en-US" w:eastAsia="zh-CN"/>
              </w:rPr>
              <w:t>4</w:t>
            </w:r>
          </w:p>
        </w:tc>
        <w:tc>
          <w:tcPr>
            <w:tcW w:w="1916" w:type="dxa"/>
            <w:shd w:val="clear" w:color="auto" w:fill="auto"/>
          </w:tcPr>
          <w:p w14:paraId="4C74A2B2">
            <w:pPr>
              <w:pStyle w:val="35"/>
              <w:spacing w:before="71" w:line="360" w:lineRule="auto"/>
              <w:ind w:left="454" w:right="446"/>
              <w:jc w:val="center"/>
              <w:rPr>
                <w:rFonts w:hint="eastAsia" w:eastAsia="宋体"/>
                <w:color w:val="auto"/>
                <w:sz w:val="21"/>
                <w:szCs w:val="21"/>
                <w:highlight w:val="none"/>
                <w:lang w:eastAsia="zh-CN"/>
              </w:rPr>
            </w:pPr>
            <w:r>
              <w:rPr>
                <w:rFonts w:hint="eastAsia"/>
                <w:color w:val="auto"/>
                <w:sz w:val="21"/>
                <w:szCs w:val="21"/>
                <w:highlight w:val="none"/>
                <w:lang w:eastAsia="zh-CN"/>
              </w:rPr>
              <w:t>服务要求</w:t>
            </w:r>
          </w:p>
        </w:tc>
        <w:tc>
          <w:tcPr>
            <w:tcW w:w="2497" w:type="dxa"/>
            <w:shd w:val="clear" w:color="auto" w:fill="auto"/>
          </w:tcPr>
          <w:p w14:paraId="6D92EA75">
            <w:pPr>
              <w:pStyle w:val="35"/>
              <w:spacing w:line="360" w:lineRule="auto"/>
              <w:rPr>
                <w:color w:val="auto"/>
                <w:sz w:val="21"/>
                <w:szCs w:val="21"/>
                <w:highlight w:val="none"/>
                <w:lang w:eastAsia="en-US"/>
              </w:rPr>
            </w:pPr>
          </w:p>
        </w:tc>
        <w:tc>
          <w:tcPr>
            <w:tcW w:w="2576" w:type="dxa"/>
            <w:shd w:val="clear" w:color="auto" w:fill="auto"/>
          </w:tcPr>
          <w:p w14:paraId="0354A4AE">
            <w:pPr>
              <w:pStyle w:val="35"/>
              <w:spacing w:line="360" w:lineRule="auto"/>
              <w:rPr>
                <w:color w:val="auto"/>
                <w:sz w:val="21"/>
                <w:szCs w:val="21"/>
                <w:highlight w:val="none"/>
                <w:lang w:eastAsia="en-US"/>
              </w:rPr>
            </w:pPr>
          </w:p>
        </w:tc>
        <w:tc>
          <w:tcPr>
            <w:tcW w:w="811" w:type="dxa"/>
            <w:shd w:val="clear" w:color="auto" w:fill="auto"/>
          </w:tcPr>
          <w:p w14:paraId="4054D6D4">
            <w:pPr>
              <w:pStyle w:val="35"/>
              <w:spacing w:line="360" w:lineRule="auto"/>
              <w:rPr>
                <w:color w:val="auto"/>
                <w:sz w:val="21"/>
                <w:szCs w:val="21"/>
                <w:highlight w:val="none"/>
                <w:lang w:eastAsia="en-US"/>
              </w:rPr>
            </w:pPr>
          </w:p>
        </w:tc>
      </w:tr>
      <w:tr w14:paraId="1AE0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696F65C6">
            <w:pPr>
              <w:pStyle w:val="35"/>
              <w:spacing w:before="72" w:line="360" w:lineRule="auto"/>
              <w:ind w:left="9"/>
              <w:jc w:val="center"/>
              <w:rPr>
                <w:color w:val="auto"/>
                <w:sz w:val="21"/>
                <w:szCs w:val="21"/>
                <w:highlight w:val="none"/>
                <w:lang w:eastAsia="en-US"/>
              </w:rPr>
            </w:pPr>
            <w:r>
              <w:rPr>
                <w:color w:val="auto"/>
                <w:w w:val="200"/>
                <w:sz w:val="21"/>
                <w:szCs w:val="21"/>
                <w:highlight w:val="none"/>
                <w:lang w:eastAsia="en-US"/>
              </w:rPr>
              <w:t>„</w:t>
            </w:r>
          </w:p>
        </w:tc>
        <w:tc>
          <w:tcPr>
            <w:tcW w:w="1916" w:type="dxa"/>
            <w:shd w:val="clear" w:color="auto" w:fill="auto"/>
          </w:tcPr>
          <w:p w14:paraId="135EB5E0">
            <w:pPr>
              <w:pStyle w:val="35"/>
              <w:spacing w:line="360" w:lineRule="auto"/>
              <w:rPr>
                <w:color w:val="auto"/>
                <w:sz w:val="21"/>
                <w:szCs w:val="21"/>
                <w:highlight w:val="none"/>
                <w:lang w:eastAsia="en-US"/>
              </w:rPr>
            </w:pPr>
          </w:p>
        </w:tc>
        <w:tc>
          <w:tcPr>
            <w:tcW w:w="2497" w:type="dxa"/>
            <w:shd w:val="clear" w:color="auto" w:fill="auto"/>
          </w:tcPr>
          <w:p w14:paraId="19D5E992">
            <w:pPr>
              <w:pStyle w:val="35"/>
              <w:spacing w:line="360" w:lineRule="auto"/>
              <w:rPr>
                <w:color w:val="auto"/>
                <w:sz w:val="21"/>
                <w:szCs w:val="21"/>
                <w:highlight w:val="none"/>
                <w:lang w:eastAsia="en-US"/>
              </w:rPr>
            </w:pPr>
          </w:p>
        </w:tc>
        <w:tc>
          <w:tcPr>
            <w:tcW w:w="2576" w:type="dxa"/>
            <w:shd w:val="clear" w:color="auto" w:fill="auto"/>
          </w:tcPr>
          <w:p w14:paraId="3B424BD7">
            <w:pPr>
              <w:pStyle w:val="35"/>
              <w:spacing w:line="360" w:lineRule="auto"/>
              <w:rPr>
                <w:color w:val="auto"/>
                <w:sz w:val="21"/>
                <w:szCs w:val="21"/>
                <w:highlight w:val="none"/>
                <w:lang w:eastAsia="en-US"/>
              </w:rPr>
            </w:pPr>
          </w:p>
        </w:tc>
        <w:tc>
          <w:tcPr>
            <w:tcW w:w="811" w:type="dxa"/>
            <w:shd w:val="clear" w:color="auto" w:fill="auto"/>
          </w:tcPr>
          <w:p w14:paraId="0B76F387">
            <w:pPr>
              <w:pStyle w:val="35"/>
              <w:spacing w:line="360" w:lineRule="auto"/>
              <w:rPr>
                <w:color w:val="auto"/>
                <w:sz w:val="21"/>
                <w:szCs w:val="21"/>
                <w:highlight w:val="none"/>
                <w:lang w:eastAsia="en-US"/>
              </w:rPr>
            </w:pPr>
          </w:p>
        </w:tc>
      </w:tr>
    </w:tbl>
    <w:p w14:paraId="3E748A6F">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31540D25">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六</w:t>
      </w:r>
      <w:r>
        <w:rPr>
          <w:b/>
          <w:color w:val="auto"/>
          <w:sz w:val="28"/>
          <w:szCs w:val="28"/>
          <w:highlight w:val="none"/>
        </w:rPr>
        <w:t>、</w:t>
      </w:r>
      <w:r>
        <w:rPr>
          <w:rFonts w:hint="eastAsia"/>
          <w:b/>
          <w:color w:val="auto"/>
          <w:sz w:val="28"/>
          <w:szCs w:val="28"/>
          <w:highlight w:val="none"/>
        </w:rPr>
        <w:t>人员配备（格式自拟）</w:t>
      </w:r>
    </w:p>
    <w:p w14:paraId="6F5E2ED7">
      <w:pPr>
        <w:rPr>
          <w:rFonts w:ascii="宋体" w:hAnsi="宋体"/>
          <w:b/>
          <w:color w:val="auto"/>
          <w:highlight w:val="none"/>
        </w:rPr>
      </w:pPr>
    </w:p>
    <w:p w14:paraId="7636FC0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417302E8">
      <w:pPr>
        <w:spacing w:before="240" w:beforeLines="100" w:after="240" w:afterLines="100"/>
        <w:jc w:val="center"/>
        <w:outlineLvl w:val="2"/>
        <w:rPr>
          <w:rFonts w:hint="default"/>
          <w:b/>
          <w:color w:val="auto"/>
          <w:sz w:val="28"/>
          <w:szCs w:val="28"/>
          <w:highlight w:val="none"/>
          <w:lang w:val="en-US" w:eastAsia="zh-CN"/>
        </w:rPr>
      </w:pPr>
      <w:r>
        <w:rPr>
          <w:rFonts w:hint="eastAsia"/>
          <w:b/>
          <w:color w:val="auto"/>
          <w:sz w:val="28"/>
          <w:szCs w:val="28"/>
          <w:highlight w:val="none"/>
          <w:lang w:val="en-US" w:eastAsia="zh-CN"/>
        </w:rPr>
        <w:t>七、服务方案（格式自拟）</w:t>
      </w:r>
    </w:p>
    <w:p w14:paraId="59AA66DE">
      <w:pPr>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14:paraId="46802114">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八</w:t>
      </w:r>
      <w:r>
        <w:rPr>
          <w:b/>
          <w:color w:val="auto"/>
          <w:sz w:val="28"/>
          <w:szCs w:val="28"/>
          <w:highlight w:val="none"/>
        </w:rPr>
        <w:t>、其他相关证明材料</w:t>
      </w:r>
    </w:p>
    <w:p w14:paraId="49448E9E">
      <w:pPr>
        <w:pStyle w:val="11"/>
        <w:spacing w:before="160" w:line="360" w:lineRule="auto"/>
        <w:ind w:left="220" w:right="361" w:firstLine="479"/>
        <w:rPr>
          <w:color w:val="auto"/>
          <w:sz w:val="21"/>
          <w:szCs w:val="21"/>
          <w:highlight w:val="none"/>
        </w:rPr>
      </w:pPr>
      <w:r>
        <w:rPr>
          <w:color w:val="auto"/>
          <w:sz w:val="21"/>
          <w:szCs w:val="21"/>
          <w:highlight w:val="none"/>
        </w:rPr>
        <w:t>提供符合磋商邀请（磋商公告</w:t>
      </w:r>
      <w:r>
        <w:rPr>
          <w:color w:val="auto"/>
          <w:spacing w:val="-118"/>
          <w:sz w:val="21"/>
          <w:szCs w:val="21"/>
          <w:highlight w:val="none"/>
        </w:rPr>
        <w:t>）</w:t>
      </w:r>
      <w:r>
        <w:rPr>
          <w:color w:val="auto"/>
          <w:spacing w:val="-1"/>
          <w:sz w:val="21"/>
          <w:szCs w:val="21"/>
          <w:highlight w:val="none"/>
        </w:rPr>
        <w:t>、采购需求及评审方法和标准规定的相关证</w:t>
      </w:r>
      <w:r>
        <w:rPr>
          <w:color w:val="auto"/>
          <w:sz w:val="21"/>
          <w:szCs w:val="21"/>
          <w:highlight w:val="none"/>
        </w:rPr>
        <w:t>明文件。</w:t>
      </w:r>
    </w:p>
    <w:p w14:paraId="6E1BE186">
      <w:pPr>
        <w:pStyle w:val="11"/>
        <w:spacing w:line="360" w:lineRule="auto"/>
        <w:rPr>
          <w:color w:val="auto"/>
          <w:sz w:val="21"/>
          <w:szCs w:val="21"/>
          <w:highlight w:val="none"/>
        </w:rPr>
      </w:pPr>
    </w:p>
    <w:p w14:paraId="6F7C5653">
      <w:pPr>
        <w:pStyle w:val="11"/>
        <w:spacing w:line="360" w:lineRule="auto"/>
        <w:rPr>
          <w:color w:val="auto"/>
          <w:sz w:val="21"/>
          <w:szCs w:val="21"/>
          <w:highlight w:val="none"/>
        </w:rPr>
      </w:pPr>
    </w:p>
    <w:p w14:paraId="780309DE">
      <w:pPr>
        <w:pStyle w:val="11"/>
        <w:spacing w:before="2" w:line="360" w:lineRule="auto"/>
        <w:rPr>
          <w:b/>
          <w:color w:val="auto"/>
          <w:sz w:val="28"/>
          <w:szCs w:val="28"/>
          <w:highlight w:val="none"/>
        </w:rPr>
      </w:pPr>
    </w:p>
    <w:p w14:paraId="0E979CEF">
      <w:pPr>
        <w:spacing w:line="360" w:lineRule="auto"/>
        <w:rPr>
          <w:rFonts w:ascii="宋体" w:hAnsi="宋体"/>
          <w:color w:val="auto"/>
          <w:highlight w:val="none"/>
        </w:rPr>
      </w:pPr>
    </w:p>
    <w:p w14:paraId="24D07E15">
      <w:pPr>
        <w:widowControl/>
        <w:spacing w:line="360" w:lineRule="auto"/>
        <w:jc w:val="left"/>
        <w:rPr>
          <w:color w:val="auto"/>
          <w:highlight w:val="none"/>
        </w:rPr>
      </w:pPr>
    </w:p>
    <w:p w14:paraId="56160B9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2C76B9-1B98-4DC6-834B-98F716129E30}"/>
  </w:font>
  <w:font w:name="黑体">
    <w:altName w:val="黑体"/>
    <w:panose1 w:val="02010609060101010101"/>
    <w:charset w:val="86"/>
    <w:family w:val="auto"/>
    <w:pitch w:val="default"/>
    <w:sig w:usb0="800002BF" w:usb1="38CF7CFA" w:usb2="00000016" w:usb3="00000000" w:csb0="00040001" w:csb1="00000000"/>
    <w:embedRegular r:id="rId2" w:fontKey="{33CF229A-9D78-43B9-BCC9-26D835CE60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3871A0E-CF2F-4F62-81E9-A2D8C1BA0B06}"/>
  </w:font>
  <w:font w:name="Consolas">
    <w:panose1 w:val="020B0609020204030204"/>
    <w:charset w:val="00"/>
    <w:family w:val="auto"/>
    <w:pitch w:val="default"/>
    <w:sig w:usb0="E00006FF" w:usb1="0000FCFF" w:usb2="00000001" w:usb3="00000000" w:csb0="6000019F" w:csb1="DFD7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521A841E-14A7-4541-A888-E32E50873BA8}"/>
  </w:font>
  <w:font w:name="华文仿宋">
    <w:panose1 w:val="02010600040101010101"/>
    <w:charset w:val="86"/>
    <w:family w:val="auto"/>
    <w:pitch w:val="default"/>
    <w:sig w:usb0="00000287" w:usb1="080F0000" w:usb2="00000000" w:usb3="00000000" w:csb0="0004009F" w:csb1="DFD70000"/>
    <w:embedRegular r:id="rId5" w:fontKey="{9E0D31BA-D603-4C57-9D07-10F6131C64B8}"/>
  </w:font>
  <w:font w:name="WPSEMBED1">
    <w:panose1 w:val="02010609060101010101"/>
    <w:charset w:val="86"/>
    <w:family w:val="auto"/>
    <w:pitch w:val="default"/>
    <w:sig w:usb0="800002BF" w:usb1="38CF7CFA" w:usb2="00000016"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B9E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C0F36">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C0F36">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DBFCEC6C"/>
    <w:multiLevelType w:val="singleLevel"/>
    <w:tmpl w:val="DBFCEC6C"/>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pStyle w:val="3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4">
    <w:nsid w:val="0247314A"/>
    <w:multiLevelType w:val="singleLevel"/>
    <w:tmpl w:val="0247314A"/>
    <w:lvl w:ilvl="0" w:tentative="0">
      <w:start w:val="1"/>
      <w:numFmt w:val="decimal"/>
      <w:suff w:val="nothing"/>
      <w:lvlText w:val="%1、"/>
      <w:lvlJc w:val="left"/>
    </w:lvl>
  </w:abstractNum>
  <w:abstractNum w:abstractNumId="5">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6">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7">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8">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9">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10">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3247289"/>
    <w:multiLevelType w:val="multilevel"/>
    <w:tmpl w:val="43247289"/>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tabs>
          <w:tab w:val="left" w:pos="420"/>
        </w:tabs>
        <w:ind w:left="283" w:leftChars="0" w:firstLine="385" w:firstLineChars="0"/>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15">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6">
    <w:nsid w:val="4AB0E427"/>
    <w:multiLevelType w:val="multilevel"/>
    <w:tmpl w:val="4AB0E427"/>
    <w:lvl w:ilvl="0" w:tentative="0">
      <w:start w:val="1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7">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8">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9">
    <w:nsid w:val="58930FBA"/>
    <w:multiLevelType w:val="singleLevel"/>
    <w:tmpl w:val="58930FBA"/>
    <w:lvl w:ilvl="0" w:tentative="0">
      <w:start w:val="7"/>
      <w:numFmt w:val="chineseCounting"/>
      <w:suff w:val="nothing"/>
      <w:lvlText w:val="%1、"/>
      <w:lvlJc w:val="left"/>
      <w:rPr>
        <w:rFonts w:hint="eastAsia"/>
      </w:rPr>
    </w:lvl>
  </w:abstractNum>
  <w:abstractNum w:abstractNumId="20">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1">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2">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3">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4">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5">
    <w:nsid w:val="73F7F1B5"/>
    <w:multiLevelType w:val="multilevel"/>
    <w:tmpl w:val="73F7F1B5"/>
    <w:lvl w:ilvl="0" w:tentative="0">
      <w:start w:val="30"/>
      <w:numFmt w:val="decimal"/>
      <w:lvlText w:val="%1"/>
      <w:lvlJc w:val="left"/>
      <w:pPr>
        <w:ind w:left="1209" w:hanging="540"/>
      </w:pPr>
      <w:rPr>
        <w:rFonts w:hint="default"/>
        <w:lang w:val="zh-CN" w:eastAsia="zh-CN" w:bidi="zh-CN"/>
      </w:rPr>
    </w:lvl>
    <w:lvl w:ilvl="1" w:tentative="0">
      <w:start w:val="1"/>
      <w:numFmt w:val="none"/>
      <w:lvlText w:val="31.1"/>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num w:numId="1">
    <w:abstractNumId w:val="3"/>
  </w:num>
  <w:num w:numId="2">
    <w:abstractNumId w:val="0"/>
  </w:num>
  <w:num w:numId="3">
    <w:abstractNumId w:val="19"/>
  </w:num>
  <w:num w:numId="4">
    <w:abstractNumId w:val="4"/>
  </w:num>
  <w:num w:numId="5">
    <w:abstractNumId w:val="13"/>
  </w:num>
  <w:num w:numId="6">
    <w:abstractNumId w:val="10"/>
  </w:num>
  <w:num w:numId="7">
    <w:abstractNumId w:val="7"/>
  </w:num>
  <w:num w:numId="8">
    <w:abstractNumId w:val="6"/>
  </w:num>
  <w:num w:numId="9">
    <w:abstractNumId w:val="16"/>
  </w:num>
  <w:num w:numId="10">
    <w:abstractNumId w:val="8"/>
  </w:num>
  <w:num w:numId="11">
    <w:abstractNumId w:val="11"/>
  </w:num>
  <w:num w:numId="12">
    <w:abstractNumId w:val="15"/>
  </w:num>
  <w:num w:numId="13">
    <w:abstractNumId w:val="5"/>
  </w:num>
  <w:num w:numId="14">
    <w:abstractNumId w:val="20"/>
  </w:num>
  <w:num w:numId="15">
    <w:abstractNumId w:val="9"/>
  </w:num>
  <w:num w:numId="16">
    <w:abstractNumId w:val="25"/>
  </w:num>
  <w:num w:numId="17">
    <w:abstractNumId w:val="18"/>
  </w:num>
  <w:num w:numId="18">
    <w:abstractNumId w:val="24"/>
  </w:num>
  <w:num w:numId="19">
    <w:abstractNumId w:val="14"/>
  </w:num>
  <w:num w:numId="20">
    <w:abstractNumId w:val="1"/>
  </w:num>
  <w:num w:numId="21">
    <w:abstractNumId w:val="22"/>
  </w:num>
  <w:num w:numId="22">
    <w:abstractNumId w:val="2"/>
  </w:num>
  <w:num w:numId="23">
    <w:abstractNumId w:val="23"/>
  </w:num>
  <w:num w:numId="24">
    <w:abstractNumId w:val="17"/>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0956454"/>
    <w:rsid w:val="01115B19"/>
    <w:rsid w:val="014D4677"/>
    <w:rsid w:val="01633E9B"/>
    <w:rsid w:val="01853E11"/>
    <w:rsid w:val="01C26E13"/>
    <w:rsid w:val="025D6B3C"/>
    <w:rsid w:val="0276496F"/>
    <w:rsid w:val="02E42DB9"/>
    <w:rsid w:val="03012D45"/>
    <w:rsid w:val="033124A2"/>
    <w:rsid w:val="04206073"/>
    <w:rsid w:val="0469150F"/>
    <w:rsid w:val="04695C6C"/>
    <w:rsid w:val="04D330E5"/>
    <w:rsid w:val="051931EE"/>
    <w:rsid w:val="054E21DB"/>
    <w:rsid w:val="05976809"/>
    <w:rsid w:val="067C2738"/>
    <w:rsid w:val="068E3768"/>
    <w:rsid w:val="06E81DAF"/>
    <w:rsid w:val="06E866D5"/>
    <w:rsid w:val="074F4D80"/>
    <w:rsid w:val="07CD206E"/>
    <w:rsid w:val="07F968F9"/>
    <w:rsid w:val="08AE49E9"/>
    <w:rsid w:val="08B91306"/>
    <w:rsid w:val="08C629D1"/>
    <w:rsid w:val="08D917FD"/>
    <w:rsid w:val="09376339"/>
    <w:rsid w:val="0A5B5FFE"/>
    <w:rsid w:val="0AE222D4"/>
    <w:rsid w:val="0AF0679F"/>
    <w:rsid w:val="0C7C1422"/>
    <w:rsid w:val="0C944B69"/>
    <w:rsid w:val="0CB80F31"/>
    <w:rsid w:val="0CBA652A"/>
    <w:rsid w:val="0D2B7F62"/>
    <w:rsid w:val="0D576FA9"/>
    <w:rsid w:val="0D662A42"/>
    <w:rsid w:val="0DF83342"/>
    <w:rsid w:val="0DFC602A"/>
    <w:rsid w:val="0E2F72E6"/>
    <w:rsid w:val="0EA80A39"/>
    <w:rsid w:val="0F162D44"/>
    <w:rsid w:val="0F6E2388"/>
    <w:rsid w:val="0F8A6A96"/>
    <w:rsid w:val="0FA84B52"/>
    <w:rsid w:val="0FE97C61"/>
    <w:rsid w:val="107604D1"/>
    <w:rsid w:val="1099299D"/>
    <w:rsid w:val="10F1501F"/>
    <w:rsid w:val="117A158E"/>
    <w:rsid w:val="11BB562D"/>
    <w:rsid w:val="11EA2697"/>
    <w:rsid w:val="122B0233"/>
    <w:rsid w:val="13070B2A"/>
    <w:rsid w:val="131B354D"/>
    <w:rsid w:val="1331204B"/>
    <w:rsid w:val="138A3509"/>
    <w:rsid w:val="142C7412"/>
    <w:rsid w:val="14302302"/>
    <w:rsid w:val="15455C12"/>
    <w:rsid w:val="15761F97"/>
    <w:rsid w:val="161B48EC"/>
    <w:rsid w:val="17141A67"/>
    <w:rsid w:val="1741301E"/>
    <w:rsid w:val="175E0F34"/>
    <w:rsid w:val="17C74D2B"/>
    <w:rsid w:val="17FA1687"/>
    <w:rsid w:val="193747F9"/>
    <w:rsid w:val="19946E8F"/>
    <w:rsid w:val="19DE2002"/>
    <w:rsid w:val="1A1A4418"/>
    <w:rsid w:val="1A1B310D"/>
    <w:rsid w:val="1A362258"/>
    <w:rsid w:val="1A89276C"/>
    <w:rsid w:val="1AD80545"/>
    <w:rsid w:val="1ADE3FFC"/>
    <w:rsid w:val="1B420340"/>
    <w:rsid w:val="1B5D1340"/>
    <w:rsid w:val="1C7E0123"/>
    <w:rsid w:val="1CB92BD4"/>
    <w:rsid w:val="1CBD494F"/>
    <w:rsid w:val="1D4E6229"/>
    <w:rsid w:val="1DFA4FB4"/>
    <w:rsid w:val="1E067975"/>
    <w:rsid w:val="1E380731"/>
    <w:rsid w:val="1EFB350D"/>
    <w:rsid w:val="1F1620F4"/>
    <w:rsid w:val="1F3C21A8"/>
    <w:rsid w:val="202F0D9F"/>
    <w:rsid w:val="213B126D"/>
    <w:rsid w:val="216E7FC6"/>
    <w:rsid w:val="21C86989"/>
    <w:rsid w:val="21D96A87"/>
    <w:rsid w:val="21F229A5"/>
    <w:rsid w:val="220F79FB"/>
    <w:rsid w:val="222F59A7"/>
    <w:rsid w:val="22896053"/>
    <w:rsid w:val="233960F1"/>
    <w:rsid w:val="236E24FF"/>
    <w:rsid w:val="242A6CBE"/>
    <w:rsid w:val="243E4B47"/>
    <w:rsid w:val="24C1549C"/>
    <w:rsid w:val="25507BE4"/>
    <w:rsid w:val="256637AE"/>
    <w:rsid w:val="26550140"/>
    <w:rsid w:val="265E036F"/>
    <w:rsid w:val="26D20FF7"/>
    <w:rsid w:val="26DB60FD"/>
    <w:rsid w:val="26FB67A0"/>
    <w:rsid w:val="270A481C"/>
    <w:rsid w:val="2715673F"/>
    <w:rsid w:val="275860C5"/>
    <w:rsid w:val="27B71CC8"/>
    <w:rsid w:val="28621A71"/>
    <w:rsid w:val="28D15422"/>
    <w:rsid w:val="293D3D2B"/>
    <w:rsid w:val="298F31CF"/>
    <w:rsid w:val="29A7676B"/>
    <w:rsid w:val="2A125CBB"/>
    <w:rsid w:val="2A192E47"/>
    <w:rsid w:val="2A742AF1"/>
    <w:rsid w:val="2A9036A3"/>
    <w:rsid w:val="2ADB491E"/>
    <w:rsid w:val="2B2929E2"/>
    <w:rsid w:val="2C5A3F68"/>
    <w:rsid w:val="2C8763E0"/>
    <w:rsid w:val="2CA04B5B"/>
    <w:rsid w:val="2CD0356E"/>
    <w:rsid w:val="2D002378"/>
    <w:rsid w:val="2D23435A"/>
    <w:rsid w:val="2D8C6181"/>
    <w:rsid w:val="2E751C04"/>
    <w:rsid w:val="2E9215C0"/>
    <w:rsid w:val="2F34284F"/>
    <w:rsid w:val="2F3D1696"/>
    <w:rsid w:val="2F675387"/>
    <w:rsid w:val="2FEA73B1"/>
    <w:rsid w:val="30756A97"/>
    <w:rsid w:val="308244B4"/>
    <w:rsid w:val="310F6DAB"/>
    <w:rsid w:val="324937FD"/>
    <w:rsid w:val="32D467F7"/>
    <w:rsid w:val="330B38C7"/>
    <w:rsid w:val="343706EB"/>
    <w:rsid w:val="345A73F0"/>
    <w:rsid w:val="34B561E0"/>
    <w:rsid w:val="34CF49F0"/>
    <w:rsid w:val="34D66156"/>
    <w:rsid w:val="35B91D00"/>
    <w:rsid w:val="365D08DD"/>
    <w:rsid w:val="365E1201"/>
    <w:rsid w:val="36767BF1"/>
    <w:rsid w:val="371B42F4"/>
    <w:rsid w:val="37210AC3"/>
    <w:rsid w:val="372907BF"/>
    <w:rsid w:val="372E5248"/>
    <w:rsid w:val="374F3F3E"/>
    <w:rsid w:val="38A66B7A"/>
    <w:rsid w:val="38A86960"/>
    <w:rsid w:val="38BD5663"/>
    <w:rsid w:val="38FD63A7"/>
    <w:rsid w:val="39134179"/>
    <w:rsid w:val="395F671A"/>
    <w:rsid w:val="39B67D68"/>
    <w:rsid w:val="3A307494"/>
    <w:rsid w:val="3A417C53"/>
    <w:rsid w:val="3A63511A"/>
    <w:rsid w:val="3A95616C"/>
    <w:rsid w:val="3AAB1E22"/>
    <w:rsid w:val="3B6A1821"/>
    <w:rsid w:val="3B6C3370"/>
    <w:rsid w:val="3B906B80"/>
    <w:rsid w:val="3B9B253A"/>
    <w:rsid w:val="3BA3537A"/>
    <w:rsid w:val="3C233CBA"/>
    <w:rsid w:val="3C2F0211"/>
    <w:rsid w:val="3C463BC1"/>
    <w:rsid w:val="3D1211F2"/>
    <w:rsid w:val="3EC07F02"/>
    <w:rsid w:val="3FF77AF5"/>
    <w:rsid w:val="40CF0629"/>
    <w:rsid w:val="413D1A37"/>
    <w:rsid w:val="41421566"/>
    <w:rsid w:val="41864563"/>
    <w:rsid w:val="41D37CA5"/>
    <w:rsid w:val="42BF46CD"/>
    <w:rsid w:val="42E278AA"/>
    <w:rsid w:val="43000F6E"/>
    <w:rsid w:val="43B92ECB"/>
    <w:rsid w:val="440E1469"/>
    <w:rsid w:val="44436BBC"/>
    <w:rsid w:val="445C07A4"/>
    <w:rsid w:val="44723243"/>
    <w:rsid w:val="4486067B"/>
    <w:rsid w:val="44B57B36"/>
    <w:rsid w:val="44CD30D2"/>
    <w:rsid w:val="457B2B2E"/>
    <w:rsid w:val="45F12797"/>
    <w:rsid w:val="466218E4"/>
    <w:rsid w:val="46D33D94"/>
    <w:rsid w:val="46E85A26"/>
    <w:rsid w:val="47270B14"/>
    <w:rsid w:val="473660FA"/>
    <w:rsid w:val="474D22A8"/>
    <w:rsid w:val="48D8703E"/>
    <w:rsid w:val="48F41775"/>
    <w:rsid w:val="490177EE"/>
    <w:rsid w:val="490B4434"/>
    <w:rsid w:val="49E8046B"/>
    <w:rsid w:val="4A2B0A27"/>
    <w:rsid w:val="4A800BE6"/>
    <w:rsid w:val="4ABE3E45"/>
    <w:rsid w:val="4B6E7D0A"/>
    <w:rsid w:val="4BD16D97"/>
    <w:rsid w:val="4C4023DB"/>
    <w:rsid w:val="4C70197B"/>
    <w:rsid w:val="4CF56B0E"/>
    <w:rsid w:val="4D11372A"/>
    <w:rsid w:val="4D986247"/>
    <w:rsid w:val="4DFE60AA"/>
    <w:rsid w:val="4E1F4272"/>
    <w:rsid w:val="4E2640CB"/>
    <w:rsid w:val="4E2D0616"/>
    <w:rsid w:val="4E2F05AE"/>
    <w:rsid w:val="4E513692"/>
    <w:rsid w:val="4E5E4D9B"/>
    <w:rsid w:val="4EE5726A"/>
    <w:rsid w:val="4EF17751"/>
    <w:rsid w:val="4F304D62"/>
    <w:rsid w:val="50091D29"/>
    <w:rsid w:val="508153F5"/>
    <w:rsid w:val="50ED0AF4"/>
    <w:rsid w:val="512C5D4A"/>
    <w:rsid w:val="518D47BD"/>
    <w:rsid w:val="51D27F79"/>
    <w:rsid w:val="51EC64A8"/>
    <w:rsid w:val="520738F3"/>
    <w:rsid w:val="526306BA"/>
    <w:rsid w:val="5295513C"/>
    <w:rsid w:val="52A6327E"/>
    <w:rsid w:val="52DA377C"/>
    <w:rsid w:val="52F17652"/>
    <w:rsid w:val="52FC4B82"/>
    <w:rsid w:val="533E38B1"/>
    <w:rsid w:val="538A2065"/>
    <w:rsid w:val="54972DB4"/>
    <w:rsid w:val="549F0A26"/>
    <w:rsid w:val="55C73B6D"/>
    <w:rsid w:val="55E81272"/>
    <w:rsid w:val="561E6EDF"/>
    <w:rsid w:val="56372A10"/>
    <w:rsid w:val="57572788"/>
    <w:rsid w:val="577D0987"/>
    <w:rsid w:val="57A32CC4"/>
    <w:rsid w:val="57B95A98"/>
    <w:rsid w:val="58022C3B"/>
    <w:rsid w:val="58150BC0"/>
    <w:rsid w:val="58501342"/>
    <w:rsid w:val="5884224A"/>
    <w:rsid w:val="59113D03"/>
    <w:rsid w:val="5936030B"/>
    <w:rsid w:val="59407EBE"/>
    <w:rsid w:val="598D0C2A"/>
    <w:rsid w:val="5A1465EF"/>
    <w:rsid w:val="5A6425AA"/>
    <w:rsid w:val="5A902780"/>
    <w:rsid w:val="5B1038C0"/>
    <w:rsid w:val="5BD963A8"/>
    <w:rsid w:val="5C090A3C"/>
    <w:rsid w:val="5CAB0CD5"/>
    <w:rsid w:val="5CB00EB7"/>
    <w:rsid w:val="5D103D2F"/>
    <w:rsid w:val="5D1077E9"/>
    <w:rsid w:val="5DD341C0"/>
    <w:rsid w:val="5DDE7C57"/>
    <w:rsid w:val="5E431130"/>
    <w:rsid w:val="5E4A0E97"/>
    <w:rsid w:val="5E6B6DF5"/>
    <w:rsid w:val="5F8F0AB9"/>
    <w:rsid w:val="5FB15995"/>
    <w:rsid w:val="5FB92779"/>
    <w:rsid w:val="5FBC44DB"/>
    <w:rsid w:val="5FBD301C"/>
    <w:rsid w:val="5FBE066A"/>
    <w:rsid w:val="600969EF"/>
    <w:rsid w:val="604011A2"/>
    <w:rsid w:val="60780956"/>
    <w:rsid w:val="607E751E"/>
    <w:rsid w:val="613B1F88"/>
    <w:rsid w:val="614B7400"/>
    <w:rsid w:val="618072BE"/>
    <w:rsid w:val="61864E71"/>
    <w:rsid w:val="61F01D56"/>
    <w:rsid w:val="620F48D2"/>
    <w:rsid w:val="625C484C"/>
    <w:rsid w:val="625D70C2"/>
    <w:rsid w:val="62C54F90"/>
    <w:rsid w:val="62EA2ECC"/>
    <w:rsid w:val="631E5DD8"/>
    <w:rsid w:val="6329414F"/>
    <w:rsid w:val="63566D1A"/>
    <w:rsid w:val="63E34D49"/>
    <w:rsid w:val="63FF44D2"/>
    <w:rsid w:val="64685A0D"/>
    <w:rsid w:val="648135C7"/>
    <w:rsid w:val="65826BA0"/>
    <w:rsid w:val="660B715E"/>
    <w:rsid w:val="66731F79"/>
    <w:rsid w:val="67CA66A5"/>
    <w:rsid w:val="68DB3760"/>
    <w:rsid w:val="68DF778D"/>
    <w:rsid w:val="69296276"/>
    <w:rsid w:val="692E7D33"/>
    <w:rsid w:val="696D4A39"/>
    <w:rsid w:val="6989175B"/>
    <w:rsid w:val="69A71894"/>
    <w:rsid w:val="69D75DFF"/>
    <w:rsid w:val="6A960736"/>
    <w:rsid w:val="6AFF1F99"/>
    <w:rsid w:val="6B6E6C81"/>
    <w:rsid w:val="6BB107A8"/>
    <w:rsid w:val="6C207B44"/>
    <w:rsid w:val="6C467142"/>
    <w:rsid w:val="6C6A03D4"/>
    <w:rsid w:val="6C700663"/>
    <w:rsid w:val="6CD72490"/>
    <w:rsid w:val="6D8575F7"/>
    <w:rsid w:val="6D986ABF"/>
    <w:rsid w:val="6DE009A9"/>
    <w:rsid w:val="6EEA46FD"/>
    <w:rsid w:val="6EF015E7"/>
    <w:rsid w:val="6F0574E6"/>
    <w:rsid w:val="6F4831D1"/>
    <w:rsid w:val="6F5B1156"/>
    <w:rsid w:val="6F603815"/>
    <w:rsid w:val="6F863CF9"/>
    <w:rsid w:val="6FD95B7F"/>
    <w:rsid w:val="6FDE58E3"/>
    <w:rsid w:val="70024410"/>
    <w:rsid w:val="704378B7"/>
    <w:rsid w:val="70B30221"/>
    <w:rsid w:val="70E85A74"/>
    <w:rsid w:val="70F47C81"/>
    <w:rsid w:val="71E60D12"/>
    <w:rsid w:val="71EE5B2E"/>
    <w:rsid w:val="71FE5255"/>
    <w:rsid w:val="725A7098"/>
    <w:rsid w:val="72DB127A"/>
    <w:rsid w:val="731145AE"/>
    <w:rsid w:val="73352D88"/>
    <w:rsid w:val="735942C3"/>
    <w:rsid w:val="73BB0416"/>
    <w:rsid w:val="74A0760B"/>
    <w:rsid w:val="74B07B9A"/>
    <w:rsid w:val="74D53759"/>
    <w:rsid w:val="75644A88"/>
    <w:rsid w:val="75662603"/>
    <w:rsid w:val="763C5F18"/>
    <w:rsid w:val="76592288"/>
    <w:rsid w:val="76B15B00"/>
    <w:rsid w:val="776502A1"/>
    <w:rsid w:val="77B04009"/>
    <w:rsid w:val="780879A1"/>
    <w:rsid w:val="7847671C"/>
    <w:rsid w:val="785D6A7A"/>
    <w:rsid w:val="78925460"/>
    <w:rsid w:val="78B2664B"/>
    <w:rsid w:val="78CF1727"/>
    <w:rsid w:val="78D42F91"/>
    <w:rsid w:val="79476380"/>
    <w:rsid w:val="797A051B"/>
    <w:rsid w:val="797F3C93"/>
    <w:rsid w:val="79F80310"/>
    <w:rsid w:val="7A150154"/>
    <w:rsid w:val="7A1D6601"/>
    <w:rsid w:val="7A823A40"/>
    <w:rsid w:val="7ACB2A0E"/>
    <w:rsid w:val="7AEE6A56"/>
    <w:rsid w:val="7B1F572E"/>
    <w:rsid w:val="7B93628D"/>
    <w:rsid w:val="7C3A0345"/>
    <w:rsid w:val="7C6F042B"/>
    <w:rsid w:val="7C8E252E"/>
    <w:rsid w:val="7D066EF0"/>
    <w:rsid w:val="7D450D50"/>
    <w:rsid w:val="7D67680C"/>
    <w:rsid w:val="7D90648A"/>
    <w:rsid w:val="7E4436FD"/>
    <w:rsid w:val="7EC860DC"/>
    <w:rsid w:val="7EDB66E4"/>
    <w:rsid w:val="7F863707"/>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1"/>
    <w:pPr>
      <w:keepNext/>
      <w:keepLines/>
      <w:spacing w:before="340" w:after="330" w:line="576" w:lineRule="auto"/>
      <w:outlineLvl w:val="0"/>
    </w:pPr>
    <w:rPr>
      <w:b/>
      <w:bCs/>
      <w:kern w:val="44"/>
      <w:sz w:val="44"/>
      <w:szCs w:val="44"/>
    </w:rPr>
  </w:style>
  <w:style w:type="paragraph" w:styleId="7">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paragraph" w:styleId="9">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firstLineChars="200"/>
    </w:pPr>
  </w:style>
  <w:style w:type="paragraph" w:styleId="3">
    <w:name w:val="Body Text Indent"/>
    <w:basedOn w:val="1"/>
    <w:next w:val="4"/>
    <w:qFormat/>
    <w:uiPriority w:val="0"/>
    <w:pPr>
      <w:ind w:firstLine="600"/>
    </w:pPr>
    <w:rPr>
      <w:rFonts w:ascii="Arial" w:hAnsi="Arial" w:eastAsia="仿宋_GB2312"/>
      <w:sz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qFormat/>
    <w:uiPriority w:val="0"/>
    <w:pPr>
      <w:ind w:left="1260"/>
      <w:jc w:val="left"/>
    </w:pPr>
    <w:rPr>
      <w:szCs w:val="21"/>
    </w:rPr>
  </w:style>
  <w:style w:type="paragraph" w:styleId="10">
    <w:name w:val="annotation text"/>
    <w:basedOn w:val="1"/>
    <w:next w:val="1"/>
    <w:semiHidden/>
    <w:unhideWhenUsed/>
    <w:qFormat/>
    <w:uiPriority w:val="99"/>
    <w:pPr>
      <w:jc w:val="left"/>
    </w:pPr>
    <w:rPr>
      <w:kern w:val="0"/>
      <w:sz w:val="20"/>
    </w:rPr>
  </w:style>
  <w:style w:type="paragraph" w:styleId="11">
    <w:name w:val="Body Text"/>
    <w:basedOn w:val="1"/>
    <w:qFormat/>
    <w:uiPriority w:val="1"/>
    <w:pPr>
      <w:autoSpaceDE w:val="0"/>
      <w:autoSpaceDN w:val="0"/>
      <w:jc w:val="left"/>
    </w:pPr>
    <w:rPr>
      <w:rFonts w:ascii="宋体" w:hAnsi="宋体" w:cs="宋体"/>
      <w:kern w:val="0"/>
      <w:sz w:val="24"/>
      <w:szCs w:val="24"/>
      <w:lang w:val="zh-CN" w:bidi="zh-CN"/>
    </w:rPr>
  </w:style>
  <w:style w:type="paragraph" w:styleId="12">
    <w:name w:val="Plain Text"/>
    <w:basedOn w:val="1"/>
    <w:unhideWhenUsed/>
    <w:qFormat/>
    <w:uiPriority w:val="0"/>
    <w:rPr>
      <w:rFonts w:ascii="宋体" w:hAnsi="Courier New"/>
      <w:szCs w:val="22"/>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toc 1"/>
    <w:basedOn w:val="1"/>
    <w:next w:val="1"/>
    <w:semiHidden/>
    <w:unhideWhenUsed/>
    <w:qFormat/>
    <w:uiPriority w:val="39"/>
  </w:style>
  <w:style w:type="paragraph" w:styleId="15">
    <w:name w:val="List"/>
    <w:basedOn w:val="1"/>
    <w:qFormat/>
    <w:uiPriority w:val="0"/>
    <w:pPr>
      <w:ind w:left="420" w:hanging="420"/>
    </w:pPr>
    <w:rPr>
      <w:rFonts w:ascii="Times New Roman" w:hAnsi="Times New Roman" w:eastAsia="宋体" w:cs="Times New Roman"/>
      <w:szCs w:val="21"/>
      <w14:ligatures w14:val="none"/>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3D3D3D"/>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Variable"/>
    <w:basedOn w:val="19"/>
    <w:qFormat/>
    <w:uiPriority w:val="0"/>
  </w:style>
  <w:style w:type="character" w:styleId="25">
    <w:name w:val="Hyperlink"/>
    <w:qFormat/>
    <w:uiPriority w:val="0"/>
    <w:rPr>
      <w:rFonts w:cs="Times New Roman"/>
      <w:color w:val="0000FF"/>
      <w:u w:val="single"/>
    </w:rPr>
  </w:style>
  <w:style w:type="character" w:styleId="26">
    <w:name w:val="HTML Code"/>
    <w:basedOn w:val="19"/>
    <w:qFormat/>
    <w:uiPriority w:val="0"/>
    <w:rPr>
      <w:rFonts w:hint="default" w:ascii="Consolas" w:hAnsi="Consolas" w:eastAsia="Consolas" w:cs="Consolas"/>
      <w:color w:val="C7254E"/>
      <w:sz w:val="21"/>
      <w:szCs w:val="21"/>
      <w:shd w:val="clear" w:fill="F9F2F4"/>
    </w:rPr>
  </w:style>
  <w:style w:type="character" w:styleId="27">
    <w:name w:val="HTML Cite"/>
    <w:basedOn w:val="19"/>
    <w:qFormat/>
    <w:uiPriority w:val="0"/>
  </w:style>
  <w:style w:type="character" w:styleId="28">
    <w:name w:val="HTML Keyboard"/>
    <w:basedOn w:val="19"/>
    <w:qFormat/>
    <w:uiPriority w:val="0"/>
    <w:rPr>
      <w:rFonts w:hint="default" w:ascii="Consolas" w:hAnsi="Consolas" w:eastAsia="Consolas" w:cs="Consolas"/>
      <w:color w:val="FFFFFF"/>
      <w:sz w:val="21"/>
      <w:szCs w:val="21"/>
      <w:shd w:val="clear" w:fill="333333"/>
    </w:rPr>
  </w:style>
  <w:style w:type="character" w:styleId="29">
    <w:name w:val="HTML Sample"/>
    <w:basedOn w:val="19"/>
    <w:qFormat/>
    <w:uiPriority w:val="0"/>
    <w:rPr>
      <w:rFonts w:ascii="Consolas" w:hAnsi="Consolas" w:eastAsia="Consolas" w:cs="Consolas"/>
      <w:sz w:val="21"/>
      <w:szCs w:val="21"/>
    </w:rPr>
  </w:style>
  <w:style w:type="paragraph" w:customStyle="1" w:styleId="30">
    <w:name w:val="Char"/>
    <w:basedOn w:val="1"/>
    <w:next w:val="1"/>
    <w:qFormat/>
    <w:uiPriority w:val="0"/>
    <w:pPr>
      <w:numPr>
        <w:ilvl w:val="0"/>
        <w:numId w:val="1"/>
      </w:numPr>
    </w:pPr>
    <w:rPr>
      <w:sz w:val="24"/>
      <w:szCs w:val="24"/>
    </w:rPr>
  </w:style>
  <w:style w:type="paragraph" w:customStyle="1" w:styleId="31">
    <w:name w:val="无间隔1"/>
    <w:basedOn w:val="1"/>
    <w:qFormat/>
    <w:uiPriority w:val="99"/>
    <w:pPr>
      <w:spacing w:line="400" w:lineRule="exact"/>
    </w:pPr>
    <w:rPr>
      <w:sz w:val="24"/>
    </w:rPr>
  </w:style>
  <w:style w:type="paragraph" w:customStyle="1" w:styleId="32">
    <w:name w:val="BodyText1I2"/>
    <w:basedOn w:val="33"/>
    <w:qFormat/>
    <w:uiPriority w:val="0"/>
    <w:pPr>
      <w:ind w:left="420" w:firstLine="420" w:firstLineChars="200"/>
      <w:jc w:val="both"/>
      <w:textAlignment w:val="baseline"/>
    </w:pPr>
  </w:style>
  <w:style w:type="paragraph" w:customStyle="1" w:styleId="33">
    <w:name w:val="BodyTextIndent"/>
    <w:basedOn w:val="1"/>
    <w:next w:val="3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6">
    <w:name w:val="List Paragraph"/>
    <w:basedOn w:val="1"/>
    <w:qFormat/>
    <w:uiPriority w:val="34"/>
    <w:pPr>
      <w:ind w:firstLine="420" w:firstLineChars="200"/>
    </w:pPr>
  </w:style>
  <w:style w:type="paragraph" w:customStyle="1" w:styleId="37">
    <w:name w:val="_Style 18"/>
    <w:basedOn w:val="1"/>
    <w:next w:val="3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38">
    <w:name w:val="正文new"/>
    <w:basedOn w:val="1"/>
    <w:qFormat/>
    <w:uiPriority w:val="0"/>
    <w:pPr>
      <w:adjustRightInd w:val="0"/>
      <w:snapToGrid w:val="0"/>
      <w:ind w:firstLine="480" w:firstLineChars="200"/>
    </w:pPr>
  </w:style>
  <w:style w:type="paragraph" w:customStyle="1" w:styleId="39">
    <w:name w:val="p15"/>
    <w:basedOn w:val="1"/>
    <w:next w:val="10"/>
    <w:qFormat/>
    <w:uiPriority w:val="99"/>
    <w:pPr>
      <w:widowControl/>
    </w:pPr>
    <w:rPr>
      <w:kern w:val="0"/>
    </w:rPr>
  </w:style>
  <w:style w:type="paragraph" w:customStyle="1" w:styleId="4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irst-child"/>
    <w:basedOn w:val="19"/>
    <w:qFormat/>
    <w:uiPriority w:val="0"/>
    <w:rPr>
      <w:sz w:val="39"/>
      <w:szCs w:val="39"/>
    </w:rPr>
  </w:style>
  <w:style w:type="character" w:customStyle="1" w:styleId="43">
    <w:name w:val="first-child1"/>
    <w:basedOn w:val="19"/>
    <w:qFormat/>
    <w:uiPriority w:val="0"/>
  </w:style>
  <w:style w:type="character" w:customStyle="1" w:styleId="44">
    <w:name w:val="first-child2"/>
    <w:basedOn w:val="19"/>
    <w:qFormat/>
    <w:uiPriority w:val="0"/>
  </w:style>
  <w:style w:type="character" w:customStyle="1" w:styleId="45">
    <w:name w:val="last-child4"/>
    <w:basedOn w:val="19"/>
    <w:qFormat/>
    <w:uiPriority w:val="0"/>
  </w:style>
  <w:style w:type="character" w:customStyle="1" w:styleId="46">
    <w:name w:val="layui-this"/>
    <w:basedOn w:val="19"/>
    <w:qFormat/>
    <w:uiPriority w:val="0"/>
    <w:rPr>
      <w:bdr w:val="single" w:color="EEEEEE" w:sz="6" w:space="0"/>
      <w:shd w:val="clear" w:fill="FFFFFF"/>
    </w:rPr>
  </w:style>
  <w:style w:type="character" w:customStyle="1" w:styleId="47">
    <w:name w:val="nth-child(2)1"/>
    <w:basedOn w:val="19"/>
    <w:qFormat/>
    <w:uiPriority w:val="0"/>
    <w:rPr>
      <w:color w:val="E00000"/>
    </w:rPr>
  </w:style>
  <w:style w:type="character" w:customStyle="1" w:styleId="48">
    <w:name w:val="last-child"/>
    <w:basedOn w:val="19"/>
    <w:qFormat/>
    <w:uiPriority w:val="0"/>
  </w:style>
  <w:style w:type="paragraph" w:customStyle="1" w:styleId="4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11543</Words>
  <Characters>12020</Characters>
  <Lines>0</Lines>
  <Paragraphs>0</Paragraphs>
  <TotalTime>24</TotalTime>
  <ScaleCrop>false</ScaleCrop>
  <LinksUpToDate>false</LinksUpToDate>
  <CharactersWithSpaces>12354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2026-07-09T08:02:55Z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2E63EF8D6FD64BD180120FFDE1149289_13</vt:lpwstr>
  </property>
  <property fmtid="{D5CDD505-2E9C-101B-9397-08002B2CF9AE}" pid="4" name="KSOTemplateDocerSaveRecord">
    <vt:lpwstr>eyJoZGlkIjoiNjljZTczNmE4ODI1ODA0OGQwODgwYzkxNDQ1NzNjMzciLCJ1c2VySWQiOiIzNzQ2OTQ1MDcifQ==</vt:lpwstr>
  </property>
</Properties>
</file>