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CFA56">
      <w:pPr>
        <w:jc w:val="center"/>
        <w:rPr>
          <w:rFonts w:hint="eastAsia" w:ascii="宋体"/>
          <w:b w:val="0"/>
          <w:bCs/>
          <w:sz w:val="40"/>
          <w:szCs w:val="40"/>
        </w:rPr>
      </w:pPr>
      <w:r>
        <w:rPr>
          <w:rFonts w:hint="eastAsia" w:ascii="宋体"/>
          <w:b w:val="0"/>
          <w:bCs/>
          <w:sz w:val="40"/>
          <w:szCs w:val="40"/>
          <w:lang w:val="en-US" w:eastAsia="zh-CN"/>
        </w:rPr>
        <w:t>建筑与市政资质企业筛选尽调及评估咨询服务采购项目</w:t>
      </w:r>
    </w:p>
    <w:p w14:paraId="0297D119">
      <w:pPr>
        <w:spacing w:line="360" w:lineRule="auto"/>
        <w:jc w:val="center"/>
        <w:rPr>
          <w:rFonts w:hint="eastAsia" w:ascii="宋体" w:hAnsi="宋体" w:eastAsia="宋体" w:cs="宋体"/>
          <w:color w:val="000000"/>
          <w:spacing w:val="-5"/>
          <w:position w:val="15"/>
          <w:sz w:val="52"/>
          <w:szCs w:val="52"/>
          <w:lang w:val="en-US" w:eastAsia="zh-CN"/>
        </w:rPr>
      </w:pP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9EDA718">
      <w:pPr>
        <w:jc w:val="center"/>
        <w:rPr>
          <w:rFonts w:ascii="Arial" w:hAnsi="Arial"/>
          <w:sz w:val="52"/>
        </w:rPr>
      </w:pPr>
      <w:r>
        <w:rPr>
          <w:rFonts w:hint="eastAsia" w:ascii="宋体"/>
          <w:b w:val="0"/>
          <w:bCs/>
          <w:sz w:val="32"/>
          <w:szCs w:val="32"/>
        </w:rPr>
        <w:t>项目编号：</w:t>
      </w:r>
      <w:r>
        <w:rPr>
          <w:rFonts w:hint="eastAsia" w:ascii="宋体"/>
          <w:b w:val="0"/>
          <w:bCs/>
          <w:sz w:val="32"/>
          <w:szCs w:val="32"/>
          <w:lang w:val="en-US" w:eastAsia="zh-CN"/>
        </w:rPr>
        <w:t xml:space="preserve">AHWM-20260014 </w:t>
      </w: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4C8605AD">
      <w:pPr>
        <w:jc w:val="both"/>
        <w:rPr>
          <w:rFonts w:hint="eastAsia" w:ascii="宋体" w:eastAsia="微软雅黑"/>
          <w:b w:val="0"/>
          <w:bCs/>
          <w:sz w:val="32"/>
          <w:szCs w:val="32"/>
          <w:lang w:eastAsia="zh-CN"/>
        </w:rPr>
      </w:pPr>
    </w:p>
    <w:p w14:paraId="7B58C138">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界首市绿博园林绿化有限公司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w:t>
      </w:r>
      <w:r>
        <w:rPr>
          <w:rFonts w:hint="eastAsia" w:ascii="宋体"/>
          <w:b w:val="0"/>
          <w:bCs/>
          <w:sz w:val="32"/>
          <w:szCs w:val="32"/>
          <w:lang w:val="en-US" w:eastAsia="zh-CN"/>
        </w:rPr>
        <w:t>26</w:t>
      </w:r>
      <w:r>
        <w:rPr>
          <w:rFonts w:hint="eastAsia" w:ascii="宋体"/>
          <w:b w:val="0"/>
          <w:bCs/>
          <w:sz w:val="32"/>
          <w:szCs w:val="32"/>
          <w:lang w:eastAsia="zh-CN"/>
        </w:rPr>
        <w:t>年</w:t>
      </w:r>
      <w:r>
        <w:rPr>
          <w:rFonts w:hint="eastAsia" w:ascii="宋体"/>
          <w:b w:val="0"/>
          <w:bCs/>
          <w:sz w:val="32"/>
          <w:szCs w:val="32"/>
          <w:lang w:val="en-US" w:eastAsia="zh-CN"/>
        </w:rPr>
        <w:t>7</w:t>
      </w:r>
      <w:r>
        <w:rPr>
          <w:rFonts w:hint="eastAsia" w:ascii="宋体"/>
          <w:b w:val="0"/>
          <w:bCs/>
          <w:sz w:val="32"/>
          <w:szCs w:val="32"/>
          <w:lang w:eastAsia="zh-CN"/>
        </w:rPr>
        <w:t>月</w:t>
      </w:r>
    </w:p>
    <w:p w14:paraId="1721DF44">
      <w:pPr>
        <w:pStyle w:val="8"/>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64480"/>
        <w15:color w:val="DBDBDB"/>
        <w:docPartObj>
          <w:docPartGallery w:val="Table of Contents"/>
          <w:docPartUnique/>
        </w:docPartObj>
      </w:sdtPr>
      <w:sdtEndPr>
        <w:rPr>
          <w:rFonts w:ascii="Tahoma" w:hAnsi="Tahoma" w:eastAsia="微软雅黑" w:cstheme="minorBidi"/>
          <w:sz w:val="22"/>
          <w:szCs w:val="22"/>
          <w:lang w:val="en-US" w:eastAsia="zh-CN" w:bidi="ar-SA"/>
        </w:rPr>
      </w:sdtEndPr>
      <w:sdtContent>
        <w:p w14:paraId="372DC2A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B17898D">
          <w:pPr>
            <w:pStyle w:val="17"/>
            <w:tabs>
              <w:tab w:val="right" w:leader="dot" w:pos="9680"/>
            </w:tabs>
          </w:pPr>
          <w:r>
            <w:fldChar w:fldCharType="begin"/>
          </w:r>
          <w:r>
            <w:instrText xml:space="preserve">TOC \o "1-3" \h \u </w:instrText>
          </w:r>
          <w:r>
            <w:fldChar w:fldCharType="separate"/>
          </w:r>
          <w:r>
            <w:fldChar w:fldCharType="begin"/>
          </w:r>
          <w:r>
            <w:instrText xml:space="preserve"> HYPERLINK \l _Toc31705 </w:instrText>
          </w:r>
          <w: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_Toc31705 \h </w:instrText>
          </w:r>
          <w:r>
            <w:fldChar w:fldCharType="separate"/>
          </w:r>
          <w:r>
            <w:t>1</w:t>
          </w:r>
          <w:r>
            <w:fldChar w:fldCharType="end"/>
          </w:r>
          <w:r>
            <w:fldChar w:fldCharType="end"/>
          </w:r>
        </w:p>
        <w:p w14:paraId="004DDF9C">
          <w:pPr>
            <w:pStyle w:val="18"/>
            <w:tabs>
              <w:tab w:val="right" w:leader="dot" w:pos="9680"/>
            </w:tabs>
          </w:pPr>
          <w:r>
            <w:fldChar w:fldCharType="begin"/>
          </w:r>
          <w:r>
            <w:instrText xml:space="preserve"> HYPERLINK \l _Toc14478 </w:instrText>
          </w:r>
          <w:r>
            <w:fldChar w:fldCharType="separate"/>
          </w:r>
          <w:r>
            <w:rPr>
              <w:rFonts w:hint="eastAsia" w:ascii="方正宋黑简体" w:hAnsi="宋体" w:eastAsia="方正宋黑简体" w:cs="黑体"/>
              <w:bCs/>
              <w:szCs w:val="30"/>
              <w:lang w:val="en-US" w:eastAsia="zh-CN"/>
            </w:rPr>
            <w:t>建筑与市政资质企业筛选尽调及评估咨询服务采购项目</w:t>
          </w:r>
          <w:r>
            <w:fldChar w:fldCharType="end"/>
          </w:r>
          <w:r>
            <w:fldChar w:fldCharType="begin"/>
          </w:r>
          <w:r>
            <w:instrText xml:space="preserve"> HYPERLINK \l _Toc18001 </w:instrText>
          </w:r>
          <w:r>
            <w:fldChar w:fldCharType="separate"/>
          </w:r>
          <w:r>
            <w:rPr>
              <w:rFonts w:hint="eastAsia" w:ascii="方正宋黑简体" w:hAnsi="宋体" w:eastAsia="方正宋黑简体" w:cs="黑体"/>
              <w:bCs/>
              <w:szCs w:val="30"/>
              <w:lang w:val="en-US" w:eastAsia="zh-CN"/>
            </w:rPr>
            <w:t>询价公告</w:t>
          </w:r>
          <w:r>
            <w:tab/>
          </w:r>
          <w:r>
            <w:fldChar w:fldCharType="begin"/>
          </w:r>
          <w:r>
            <w:instrText xml:space="preserve"> PAGEREF _Toc18001 \h </w:instrText>
          </w:r>
          <w:r>
            <w:fldChar w:fldCharType="separate"/>
          </w:r>
          <w:r>
            <w:t>1</w:t>
          </w:r>
          <w:r>
            <w:fldChar w:fldCharType="end"/>
          </w:r>
          <w:r>
            <w:fldChar w:fldCharType="end"/>
          </w:r>
        </w:p>
        <w:p w14:paraId="758BF9FD">
          <w:pPr>
            <w:pStyle w:val="18"/>
            <w:tabs>
              <w:tab w:val="right" w:leader="dot" w:pos="9680"/>
            </w:tabs>
          </w:pPr>
          <w:r>
            <w:fldChar w:fldCharType="begin"/>
          </w:r>
          <w:r>
            <w:instrText xml:space="preserve"> HYPERLINK \l _Toc26255 </w:instrText>
          </w:r>
          <w:r>
            <w:fldChar w:fldCharType="separate"/>
          </w:r>
          <w:r>
            <w:rPr>
              <w:rFonts w:hint="eastAsia" w:ascii="黑体" w:hAnsi="黑体" w:eastAsia="黑体" w:cs="宋体"/>
              <w:bCs/>
              <w:szCs w:val="28"/>
            </w:rPr>
            <w:t>一、采购项目名称及内容</w:t>
          </w:r>
          <w:r>
            <w:tab/>
          </w:r>
          <w:r>
            <w:fldChar w:fldCharType="begin"/>
          </w:r>
          <w:r>
            <w:instrText xml:space="preserve"> PAGEREF _Toc26255 \h </w:instrText>
          </w:r>
          <w:r>
            <w:fldChar w:fldCharType="separate"/>
          </w:r>
          <w:r>
            <w:t>1</w:t>
          </w:r>
          <w:r>
            <w:fldChar w:fldCharType="end"/>
          </w:r>
          <w:r>
            <w:fldChar w:fldCharType="end"/>
          </w:r>
        </w:p>
        <w:p w14:paraId="2DDB32B7">
          <w:pPr>
            <w:pStyle w:val="18"/>
            <w:tabs>
              <w:tab w:val="right" w:leader="dot" w:pos="9680"/>
            </w:tabs>
          </w:pPr>
          <w:r>
            <w:fldChar w:fldCharType="begin"/>
          </w:r>
          <w:r>
            <w:instrText xml:space="preserve"> HYPERLINK \l _Toc10677 </w:instrText>
          </w:r>
          <w: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_Toc10677 \h </w:instrText>
          </w:r>
          <w:r>
            <w:fldChar w:fldCharType="separate"/>
          </w:r>
          <w:r>
            <w:t>1</w:t>
          </w:r>
          <w:r>
            <w:fldChar w:fldCharType="end"/>
          </w:r>
          <w:r>
            <w:fldChar w:fldCharType="end"/>
          </w:r>
        </w:p>
        <w:p w14:paraId="7CD67784">
          <w:pPr>
            <w:pStyle w:val="18"/>
            <w:tabs>
              <w:tab w:val="right" w:leader="dot" w:pos="9680"/>
            </w:tabs>
          </w:pPr>
          <w:r>
            <w:fldChar w:fldCharType="begin"/>
          </w:r>
          <w:r>
            <w:instrText xml:space="preserve"> HYPERLINK \l _Toc13138 </w:instrText>
          </w:r>
          <w: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_Toc13138 \h </w:instrText>
          </w:r>
          <w:r>
            <w:fldChar w:fldCharType="separate"/>
          </w:r>
          <w:r>
            <w:t>1</w:t>
          </w:r>
          <w:r>
            <w:fldChar w:fldCharType="end"/>
          </w:r>
          <w:r>
            <w:fldChar w:fldCharType="end"/>
          </w:r>
        </w:p>
        <w:p w14:paraId="59A5C822">
          <w:pPr>
            <w:pStyle w:val="18"/>
            <w:tabs>
              <w:tab w:val="right" w:leader="dot" w:pos="9680"/>
            </w:tabs>
          </w:pPr>
          <w:r>
            <w:fldChar w:fldCharType="begin"/>
          </w:r>
          <w:r>
            <w:instrText xml:space="preserve"> HYPERLINK \l _Toc8508 </w:instrText>
          </w:r>
          <w: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_Toc8508 \h </w:instrText>
          </w:r>
          <w:r>
            <w:fldChar w:fldCharType="separate"/>
          </w:r>
          <w:r>
            <w:t>1</w:t>
          </w:r>
          <w:r>
            <w:fldChar w:fldCharType="end"/>
          </w:r>
          <w:r>
            <w:fldChar w:fldCharType="end"/>
          </w:r>
        </w:p>
        <w:p w14:paraId="1A16119E">
          <w:pPr>
            <w:pStyle w:val="18"/>
            <w:tabs>
              <w:tab w:val="right" w:leader="dot" w:pos="9680"/>
            </w:tabs>
          </w:pPr>
          <w:r>
            <w:fldChar w:fldCharType="begin"/>
          </w:r>
          <w:r>
            <w:instrText xml:space="preserve"> HYPERLINK \l _Toc27502 </w:instrText>
          </w:r>
          <w: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_Toc27502 \h </w:instrText>
          </w:r>
          <w:r>
            <w:fldChar w:fldCharType="separate"/>
          </w:r>
          <w:r>
            <w:t>2</w:t>
          </w:r>
          <w:r>
            <w:fldChar w:fldCharType="end"/>
          </w:r>
          <w:r>
            <w:fldChar w:fldCharType="end"/>
          </w:r>
        </w:p>
        <w:p w14:paraId="5B8FB3B1">
          <w:pPr>
            <w:pStyle w:val="18"/>
            <w:tabs>
              <w:tab w:val="right" w:leader="dot" w:pos="9680"/>
            </w:tabs>
          </w:pPr>
          <w:r>
            <w:fldChar w:fldCharType="begin"/>
          </w:r>
          <w:r>
            <w:instrText xml:space="preserve"> HYPERLINK \l _Toc29810 </w:instrText>
          </w:r>
          <w: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_Toc29810 \h </w:instrText>
          </w:r>
          <w:r>
            <w:fldChar w:fldCharType="separate"/>
          </w:r>
          <w:r>
            <w:t>3</w:t>
          </w:r>
          <w:r>
            <w:fldChar w:fldCharType="end"/>
          </w:r>
          <w:r>
            <w:fldChar w:fldCharType="end"/>
          </w:r>
        </w:p>
        <w:p w14:paraId="0B5E3CFF">
          <w:pPr>
            <w:pStyle w:val="18"/>
            <w:tabs>
              <w:tab w:val="right" w:leader="dot" w:pos="9680"/>
            </w:tabs>
          </w:pPr>
          <w:r>
            <w:fldChar w:fldCharType="begin"/>
          </w:r>
          <w:r>
            <w:instrText xml:space="preserve"> HYPERLINK \l _Toc30793 </w:instrText>
          </w:r>
          <w: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_Toc30793 \h </w:instrText>
          </w:r>
          <w:r>
            <w:fldChar w:fldCharType="separate"/>
          </w:r>
          <w:r>
            <w:t>5</w:t>
          </w:r>
          <w:r>
            <w:fldChar w:fldCharType="end"/>
          </w:r>
          <w:r>
            <w:fldChar w:fldCharType="end"/>
          </w:r>
        </w:p>
        <w:p w14:paraId="5404A30C">
          <w:pPr>
            <w:pStyle w:val="18"/>
            <w:tabs>
              <w:tab w:val="right" w:leader="dot" w:pos="9680"/>
            </w:tabs>
          </w:pPr>
          <w:r>
            <w:fldChar w:fldCharType="begin"/>
          </w:r>
          <w:r>
            <w:instrText xml:space="preserve"> HYPERLINK \l _Toc20235 </w:instrText>
          </w:r>
          <w:r>
            <w:fldChar w:fldCharType="separate"/>
          </w:r>
          <w:r>
            <w:rPr>
              <w:rFonts w:hint="eastAsia" w:ascii="方正宋黑简体" w:hAnsi="宋体" w:eastAsia="方正宋黑简体" w:cs="黑体"/>
              <w:bCs/>
              <w:szCs w:val="32"/>
            </w:rPr>
            <w:t>四、签订合同</w:t>
          </w:r>
          <w:r>
            <w:tab/>
          </w:r>
          <w:r>
            <w:fldChar w:fldCharType="begin"/>
          </w:r>
          <w:r>
            <w:instrText xml:space="preserve"> PAGEREF _Toc20235 \h </w:instrText>
          </w:r>
          <w:r>
            <w:fldChar w:fldCharType="separate"/>
          </w:r>
          <w:r>
            <w:t>6</w:t>
          </w:r>
          <w:r>
            <w:fldChar w:fldCharType="end"/>
          </w:r>
          <w:r>
            <w:fldChar w:fldCharType="end"/>
          </w:r>
        </w:p>
        <w:p w14:paraId="5EEA6F61">
          <w:pPr>
            <w:pStyle w:val="18"/>
            <w:tabs>
              <w:tab w:val="right" w:leader="dot" w:pos="9680"/>
            </w:tabs>
          </w:pPr>
          <w:r>
            <w:fldChar w:fldCharType="begin"/>
          </w:r>
          <w:r>
            <w:instrText xml:space="preserve"> HYPERLINK \l _Toc10016 </w:instrText>
          </w:r>
          <w: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_Toc10016 \h </w:instrText>
          </w:r>
          <w:r>
            <w:fldChar w:fldCharType="separate"/>
          </w:r>
          <w:r>
            <w:t>7</w:t>
          </w:r>
          <w:r>
            <w:fldChar w:fldCharType="end"/>
          </w:r>
          <w:r>
            <w:fldChar w:fldCharType="end"/>
          </w:r>
        </w:p>
        <w:p w14:paraId="4B879143">
          <w:pPr>
            <w:pStyle w:val="18"/>
            <w:tabs>
              <w:tab w:val="right" w:leader="dot" w:pos="9680"/>
            </w:tabs>
          </w:pPr>
          <w:r>
            <w:fldChar w:fldCharType="begin"/>
          </w:r>
          <w:r>
            <w:instrText xml:space="preserve"> HYPERLINK \l _Toc16451 </w:instrText>
          </w:r>
          <w: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_Toc16451 \h </w:instrText>
          </w:r>
          <w:r>
            <w:fldChar w:fldCharType="separate"/>
          </w:r>
          <w:r>
            <w:t>8</w:t>
          </w:r>
          <w:r>
            <w:fldChar w:fldCharType="end"/>
          </w:r>
          <w:r>
            <w:fldChar w:fldCharType="end"/>
          </w:r>
        </w:p>
        <w:p w14:paraId="5CAF75D5">
          <w:pPr>
            <w:pStyle w:val="18"/>
            <w:tabs>
              <w:tab w:val="right" w:leader="dot" w:pos="9680"/>
            </w:tabs>
          </w:pPr>
          <w:r>
            <w:fldChar w:fldCharType="begin"/>
          </w:r>
          <w:r>
            <w:instrText xml:space="preserve"> HYPERLINK \l _Toc11627 </w:instrText>
          </w:r>
          <w:r>
            <w:fldChar w:fldCharType="separate"/>
          </w:r>
          <w:r>
            <w:rPr>
              <w:rFonts w:hint="eastAsia" w:ascii="方正宋黑简体" w:hAnsi="宋体" w:eastAsia="方正宋黑简体" w:cs="黑体"/>
              <w:bCs/>
              <w:szCs w:val="32"/>
            </w:rPr>
            <w:t>七、 采购需求</w:t>
          </w:r>
          <w:r>
            <w:tab/>
          </w:r>
          <w:r>
            <w:fldChar w:fldCharType="begin"/>
          </w:r>
          <w:r>
            <w:instrText xml:space="preserve"> PAGEREF _Toc11627 \h </w:instrText>
          </w:r>
          <w:r>
            <w:fldChar w:fldCharType="separate"/>
          </w:r>
          <w:r>
            <w:t>9</w:t>
          </w:r>
          <w:r>
            <w:fldChar w:fldCharType="end"/>
          </w:r>
          <w:r>
            <w:fldChar w:fldCharType="end"/>
          </w:r>
        </w:p>
        <w:p w14:paraId="2C86D10E">
          <w:pPr>
            <w:pStyle w:val="18"/>
            <w:tabs>
              <w:tab w:val="right" w:leader="dot" w:pos="9680"/>
            </w:tabs>
          </w:pPr>
          <w:r>
            <w:fldChar w:fldCharType="begin"/>
          </w:r>
          <w:r>
            <w:instrText xml:space="preserve"> HYPERLINK \l _Toc9773 </w:instrText>
          </w:r>
          <w:r>
            <w:fldChar w:fldCharType="separate"/>
          </w:r>
          <w:r>
            <w:rPr>
              <w:rFonts w:hint="eastAsia" w:ascii="方正宋黑简体" w:hAnsi="宋体" w:eastAsia="方正宋黑简体" w:cs="黑体"/>
              <w:bCs/>
              <w:szCs w:val="32"/>
            </w:rPr>
            <w:t>八、合同格式</w:t>
          </w:r>
          <w:r>
            <w:tab/>
          </w:r>
          <w:r>
            <w:fldChar w:fldCharType="begin"/>
          </w:r>
          <w:r>
            <w:instrText xml:space="preserve"> PAGEREF _Toc9773 \h </w:instrText>
          </w:r>
          <w:r>
            <w:fldChar w:fldCharType="separate"/>
          </w:r>
          <w:r>
            <w:t>14</w:t>
          </w:r>
          <w:r>
            <w:fldChar w:fldCharType="end"/>
          </w:r>
          <w:r>
            <w:fldChar w:fldCharType="end"/>
          </w:r>
        </w:p>
        <w:p w14:paraId="445BB48C">
          <w:pPr>
            <w:pStyle w:val="17"/>
            <w:tabs>
              <w:tab w:val="right" w:leader="dot" w:pos="9680"/>
            </w:tabs>
          </w:pPr>
          <w:r>
            <w:fldChar w:fldCharType="begin"/>
          </w:r>
          <w:r>
            <w:instrText xml:space="preserve"> HYPERLINK \l _Toc22440 </w:instrText>
          </w:r>
          <w: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_Toc22440 \h </w:instrText>
          </w:r>
          <w:r>
            <w:fldChar w:fldCharType="separate"/>
          </w:r>
          <w:r>
            <w:t>19</w:t>
          </w:r>
          <w:r>
            <w:fldChar w:fldCharType="end"/>
          </w:r>
          <w:r>
            <w:fldChar w:fldCharType="end"/>
          </w:r>
        </w:p>
        <w:p w14:paraId="7AB08BD6">
          <w:pPr>
            <w:pStyle w:val="18"/>
            <w:tabs>
              <w:tab w:val="right" w:leader="dot" w:pos="9680"/>
            </w:tabs>
          </w:pPr>
          <w:r>
            <w:fldChar w:fldCharType="begin"/>
          </w:r>
          <w:r>
            <w:instrText xml:space="preserve"> HYPERLINK \l _Toc498 </w:instrText>
          </w:r>
          <w: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_Toc498 \h </w:instrText>
          </w:r>
          <w:r>
            <w:fldChar w:fldCharType="separate"/>
          </w:r>
          <w:r>
            <w:t>20</w:t>
          </w:r>
          <w:r>
            <w:fldChar w:fldCharType="end"/>
          </w:r>
          <w:r>
            <w:fldChar w:fldCharType="end"/>
          </w:r>
        </w:p>
        <w:p w14:paraId="0D66BA0B">
          <w:pPr>
            <w:pStyle w:val="18"/>
            <w:tabs>
              <w:tab w:val="right" w:leader="dot" w:pos="9680"/>
            </w:tabs>
          </w:pPr>
          <w:r>
            <w:fldChar w:fldCharType="begin"/>
          </w:r>
          <w:r>
            <w:instrText xml:space="preserve"> HYPERLINK \l _Toc4402 </w:instrText>
          </w:r>
          <w:r>
            <w:fldChar w:fldCharType="separate"/>
          </w:r>
          <w:r>
            <w:rPr>
              <w:rFonts w:hint="eastAsia" w:ascii="方正宋黑简体" w:hAnsi="宋体" w:eastAsia="方正宋黑简体" w:cs="黑体"/>
              <w:bCs/>
              <w:szCs w:val="32"/>
            </w:rPr>
            <w:t>二、报价函格式</w:t>
          </w:r>
          <w:r>
            <w:tab/>
          </w:r>
          <w:r>
            <w:fldChar w:fldCharType="begin"/>
          </w:r>
          <w:r>
            <w:instrText xml:space="preserve"> PAGEREF _Toc4402 \h </w:instrText>
          </w:r>
          <w:r>
            <w:fldChar w:fldCharType="separate"/>
          </w:r>
          <w:r>
            <w:t>21</w:t>
          </w:r>
          <w:r>
            <w:fldChar w:fldCharType="end"/>
          </w:r>
          <w:r>
            <w:fldChar w:fldCharType="end"/>
          </w:r>
        </w:p>
        <w:p w14:paraId="0DCEA333">
          <w:pPr>
            <w:pStyle w:val="18"/>
            <w:tabs>
              <w:tab w:val="right" w:leader="dot" w:pos="9680"/>
            </w:tabs>
          </w:pPr>
          <w:r>
            <w:fldChar w:fldCharType="begin"/>
          </w:r>
          <w:r>
            <w:instrText xml:space="preserve"> HYPERLINK \l _Toc22600 </w:instrText>
          </w:r>
          <w: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_Toc22600 \h </w:instrText>
          </w:r>
          <w:r>
            <w:fldChar w:fldCharType="separate"/>
          </w:r>
          <w:r>
            <w:t>22</w:t>
          </w:r>
          <w:r>
            <w:fldChar w:fldCharType="end"/>
          </w:r>
          <w:r>
            <w:fldChar w:fldCharType="end"/>
          </w:r>
        </w:p>
        <w:p w14:paraId="61C57DE3">
          <w:pPr>
            <w:pStyle w:val="18"/>
            <w:tabs>
              <w:tab w:val="right" w:leader="dot" w:pos="9680"/>
            </w:tabs>
          </w:pPr>
          <w:r>
            <w:fldChar w:fldCharType="begin"/>
          </w:r>
          <w:r>
            <w:instrText xml:space="preserve"> HYPERLINK \l _Toc1782 </w:instrText>
          </w:r>
          <w:r>
            <w:fldChar w:fldCharType="separate"/>
          </w:r>
          <w:r>
            <w:rPr>
              <w:rFonts w:hint="eastAsia" w:ascii="宋体" w:hAnsi="宋体" w:eastAsia="宋体" w:cs="宋体"/>
              <w:szCs w:val="32"/>
              <w:lang w:val="en-US" w:eastAsia="zh-CN"/>
            </w:rPr>
            <w:t>四、 人员配置</w:t>
          </w:r>
          <w:r>
            <w:tab/>
          </w:r>
          <w:r>
            <w:fldChar w:fldCharType="begin"/>
          </w:r>
          <w:r>
            <w:instrText xml:space="preserve"> PAGEREF _Toc1782 \h </w:instrText>
          </w:r>
          <w:r>
            <w:fldChar w:fldCharType="separate"/>
          </w:r>
          <w:r>
            <w:t>24</w:t>
          </w:r>
          <w:r>
            <w:fldChar w:fldCharType="end"/>
          </w:r>
          <w:r>
            <w:fldChar w:fldCharType="end"/>
          </w:r>
        </w:p>
        <w:p w14:paraId="7A454F25">
          <w:pPr>
            <w:pStyle w:val="18"/>
            <w:tabs>
              <w:tab w:val="right" w:leader="dot" w:pos="9680"/>
            </w:tabs>
          </w:pPr>
          <w:r>
            <w:fldChar w:fldCharType="begin"/>
          </w:r>
          <w:r>
            <w:instrText xml:space="preserve"> HYPERLINK \l _Toc2000 </w:instrText>
          </w:r>
          <w:r>
            <w:fldChar w:fldCharType="separate"/>
          </w:r>
          <w:r>
            <w:rPr>
              <w:rFonts w:hint="eastAsia" w:ascii="宋体" w:hAnsi="宋体" w:eastAsia="宋体" w:cs="宋体"/>
              <w:szCs w:val="32"/>
              <w:lang w:val="en-US" w:eastAsia="zh-CN"/>
            </w:rPr>
            <w:t>五、 服务方案</w:t>
          </w:r>
          <w:r>
            <w:tab/>
          </w:r>
          <w:r>
            <w:fldChar w:fldCharType="begin"/>
          </w:r>
          <w:r>
            <w:instrText xml:space="preserve"> PAGEREF _Toc2000 \h </w:instrText>
          </w:r>
          <w:r>
            <w:fldChar w:fldCharType="separate"/>
          </w:r>
          <w:r>
            <w:t>25</w:t>
          </w:r>
          <w:r>
            <w:fldChar w:fldCharType="end"/>
          </w:r>
          <w:r>
            <w:fldChar w:fldCharType="end"/>
          </w:r>
        </w:p>
        <w:p w14:paraId="4256797D">
          <w:pPr>
            <w:pStyle w:val="18"/>
            <w:tabs>
              <w:tab w:val="right" w:leader="dot" w:pos="9680"/>
            </w:tabs>
          </w:pPr>
          <w:r>
            <w:fldChar w:fldCharType="begin"/>
          </w:r>
          <w:r>
            <w:instrText xml:space="preserve"> HYPERLINK \l _Toc21635 </w:instrText>
          </w:r>
          <w:r>
            <w:fldChar w:fldCharType="separate"/>
          </w:r>
          <w:r>
            <w:rPr>
              <w:rFonts w:hint="eastAsia" w:ascii="方正宋黑简体" w:hAnsi="宋体" w:eastAsia="方正宋黑简体" w:cs="黑体"/>
              <w:bCs/>
              <w:szCs w:val="36"/>
              <w:lang w:val="en-US" w:eastAsia="zh-CN"/>
            </w:rPr>
            <w:t>六</w:t>
          </w:r>
          <w:r>
            <w:rPr>
              <w:rFonts w:hint="eastAsia" w:ascii="方正宋黑简体" w:hAnsi="宋体" w:eastAsia="方正宋黑简体" w:cs="黑体"/>
              <w:bCs/>
              <w:szCs w:val="36"/>
            </w:rPr>
            <w:t>、资格证明材料</w:t>
          </w:r>
          <w:r>
            <w:tab/>
          </w:r>
          <w:r>
            <w:fldChar w:fldCharType="begin"/>
          </w:r>
          <w:r>
            <w:instrText xml:space="preserve"> PAGEREF _Toc21635 \h </w:instrText>
          </w:r>
          <w:r>
            <w:fldChar w:fldCharType="separate"/>
          </w:r>
          <w:r>
            <w:t>26</w:t>
          </w:r>
          <w:r>
            <w:fldChar w:fldCharType="end"/>
          </w:r>
          <w:r>
            <w:fldChar w:fldCharType="end"/>
          </w:r>
        </w:p>
        <w:p w14:paraId="37405F17">
          <w:pPr>
            <w:rPr>
              <w:rFonts w:ascii="Tahoma" w:hAnsi="Tahoma" w:eastAsia="微软雅黑" w:cstheme="minorBidi"/>
              <w:sz w:val="22"/>
              <w:szCs w:val="22"/>
              <w:lang w:val="en-US" w:eastAsia="zh-CN" w:bidi="ar-SA"/>
            </w:rPr>
          </w:pPr>
          <w:r>
            <w:fldChar w:fldCharType="end"/>
          </w:r>
        </w:p>
      </w:sdtContent>
    </w:sdt>
    <w:p w14:paraId="4AA329EF">
      <w:pPr>
        <w:rPr>
          <w:rFonts w:ascii="Tahoma" w:hAnsi="Tahoma" w:eastAsia="微软雅黑" w:cstheme="minorBidi"/>
          <w:sz w:val="22"/>
          <w:szCs w:val="22"/>
          <w:lang w:val="en-US" w:eastAsia="zh-CN" w:bidi="ar-SA"/>
        </w:rPr>
      </w:pPr>
    </w:p>
    <w:p w14:paraId="474C199D">
      <w:pPr>
        <w:rPr>
          <w:rFonts w:ascii="Tahoma" w:hAnsi="Tahoma" w:eastAsia="微软雅黑" w:cstheme="minorBidi"/>
          <w:sz w:val="22"/>
          <w:szCs w:val="22"/>
          <w:lang w:val="en-US" w:eastAsia="zh-CN" w:bidi="ar-SA"/>
        </w:rPr>
      </w:pPr>
    </w:p>
    <w:p w14:paraId="418BCB7B">
      <w:pPr>
        <w:spacing w:line="420" w:lineRule="exact"/>
        <w:jc w:val="center"/>
        <w:outlineLvl w:val="0"/>
        <w:rPr>
          <w:rFonts w:hint="eastAsia" w:ascii="方正宋黑简体" w:hAnsi="宋体" w:eastAsia="方正宋黑简体" w:cs="黑体"/>
          <w:b/>
          <w:bCs/>
          <w:sz w:val="32"/>
          <w:szCs w:val="32"/>
        </w:rPr>
        <w:sectPr>
          <w:headerReference r:id="rId4" w:type="default"/>
          <w:footerReference r:id="rId5" w:type="default"/>
          <w:pgSz w:w="11907" w:h="16840"/>
          <w:pgMar w:top="1418" w:right="980" w:bottom="1247" w:left="1247" w:header="851" w:footer="851" w:gutter="0"/>
          <w:pgNumType w:fmt="decimal" w:start="1"/>
          <w:cols w:space="720" w:num="1"/>
          <w:titlePg/>
          <w:docGrid w:linePitch="312" w:charSpace="0"/>
        </w:sectPr>
      </w:pPr>
      <w:bookmarkStart w:id="0" w:name="_Toc31705"/>
    </w:p>
    <w:p w14:paraId="547A1A8A">
      <w:pPr>
        <w:spacing w:line="420" w:lineRule="exact"/>
        <w:jc w:val="center"/>
        <w:outlineLvl w:val="0"/>
        <w:rPr>
          <w:rFonts w:hint="eastAsia"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第一章  询价文件</w:t>
      </w:r>
      <w:bookmarkEnd w:id="0"/>
    </w:p>
    <w:p w14:paraId="67A853A8">
      <w:pPr>
        <w:spacing w:line="240" w:lineRule="auto"/>
        <w:jc w:val="center"/>
        <w:outlineLvl w:val="1"/>
        <w:rPr>
          <w:rFonts w:hint="eastAsia" w:ascii="方正宋黑简体" w:hAnsi="宋体" w:eastAsia="方正宋黑简体" w:cs="黑体"/>
          <w:b/>
          <w:bCs/>
          <w:sz w:val="30"/>
          <w:szCs w:val="30"/>
          <w:lang w:val="en-US" w:eastAsia="zh-CN"/>
        </w:rPr>
      </w:pPr>
      <w:bookmarkStart w:id="1" w:name="_Toc466549684"/>
      <w:bookmarkStart w:id="2" w:name="_Toc18001"/>
      <w:r>
        <w:rPr>
          <w:rFonts w:hint="eastAsia" w:ascii="方正宋黑简体" w:hAnsi="宋体" w:eastAsia="方正宋黑简体" w:cs="黑体"/>
          <w:b/>
          <w:bCs/>
          <w:sz w:val="30"/>
          <w:szCs w:val="30"/>
          <w:lang w:val="en-US" w:eastAsia="zh-CN"/>
        </w:rPr>
        <w:t>建筑与市政资质企业筛选尽调及评估咨询服务采购项目询价</w:t>
      </w:r>
      <w:bookmarkEnd w:id="1"/>
      <w:r>
        <w:rPr>
          <w:rFonts w:hint="eastAsia" w:ascii="方正宋黑简体" w:hAnsi="宋体" w:eastAsia="方正宋黑简体" w:cs="黑体"/>
          <w:b/>
          <w:bCs/>
          <w:sz w:val="30"/>
          <w:szCs w:val="30"/>
          <w:lang w:val="en-US" w:eastAsia="zh-CN"/>
        </w:rPr>
        <w:t>公告</w:t>
      </w:r>
      <w:bookmarkEnd w:id="2"/>
    </w:p>
    <w:p w14:paraId="5A2C81D2">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single"/>
          <w:lang w:val="en-US" w:eastAsia="zh-CN"/>
        </w:rPr>
        <w:t>建筑与市政资质企业筛选尽调及评估咨询服务采购项目</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26255"/>
      <w:r>
        <w:rPr>
          <w:rFonts w:hint="eastAsia" w:ascii="黑体" w:hAnsi="黑体" w:eastAsia="黑体" w:cs="宋体"/>
          <w:b/>
          <w:bCs/>
          <w:color w:val="000000"/>
          <w:sz w:val="28"/>
          <w:szCs w:val="28"/>
        </w:rPr>
        <w:t>一、采购项目名称及内容</w:t>
      </w:r>
      <w:bookmarkEnd w:id="4"/>
    </w:p>
    <w:p w14:paraId="0904ECFD">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 xml:space="preserve">1、项目编号：AHWM-20260014 </w:t>
      </w:r>
    </w:p>
    <w:p w14:paraId="15B1A7D5">
      <w:pPr>
        <w:autoSpaceDE w:val="0"/>
        <w:autoSpaceDN w:val="0"/>
        <w:adjustRightInd w:val="0"/>
        <w:snapToGrid w:val="0"/>
        <w:spacing w:line="480" w:lineRule="exact"/>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2、项目名称：建筑与市政资质企业筛选尽调及评估咨询服务采购项目</w:t>
      </w:r>
    </w:p>
    <w:p w14:paraId="7B30B295">
      <w:pPr>
        <w:autoSpaceDE w:val="0"/>
        <w:autoSpaceDN w:val="0"/>
        <w:adjustRightInd w:val="0"/>
        <w:snapToGrid w:val="0"/>
        <w:spacing w:line="480" w:lineRule="exact"/>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3、项目单位：界首市绿博园林绿化有限公司</w:t>
      </w:r>
    </w:p>
    <w:p w14:paraId="475050E7">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4、资金来源：自筹资金</w:t>
      </w:r>
    </w:p>
    <w:p w14:paraId="4C0A0E2A">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5、采购范围：建筑与市政资质企业筛选尽调及评估咨询服务采购项目，具体内容详见采购需求。</w:t>
      </w:r>
    </w:p>
    <w:p w14:paraId="2404BDD1">
      <w:pPr>
        <w:numPr>
          <w:ilvl w:val="0"/>
          <w:numId w:val="0"/>
        </w:numPr>
        <w:spacing w:before="120" w:after="120" w:line="288"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6、服务期限：</w:t>
      </w:r>
      <w:r>
        <w:rPr>
          <w:rFonts w:hint="eastAsia" w:ascii="仿宋" w:hAnsi="仿宋" w:eastAsia="仿宋" w:cs="仿宋"/>
          <w:color w:val="auto"/>
          <w:sz w:val="28"/>
          <w:szCs w:val="28"/>
          <w:lang w:val="en-US" w:eastAsia="zh-CN"/>
        </w:rPr>
        <w:t>自合同签订之日起20个工作日内完成全部服务。</w:t>
      </w:r>
    </w:p>
    <w:p w14:paraId="429D213A">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7、标段划分：一个标段。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10677"/>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464C5428">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1、符合《中华人民共和国政府采购法》第二十二条要求；</w:t>
      </w:r>
    </w:p>
    <w:p w14:paraId="192A031E">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2、须具有有效的营业执照。</w:t>
      </w:r>
    </w:p>
    <w:p w14:paraId="7E9E9CFC">
      <w:pPr>
        <w:pStyle w:val="19"/>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13138"/>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6"/>
    </w:p>
    <w:p w14:paraId="1FD379F8">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26</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7</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27</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9"/>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界首市复兴路企业服务中心5楼会议室</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7" w:name="_Toc8508"/>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2026年7月27日15时00 分（迟于截止时间递交的响应文件，将不予接受）</w:t>
      </w:r>
    </w:p>
    <w:p w14:paraId="6624EAB2">
      <w:pPr>
        <w:pStyle w:val="19"/>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6271909"/>
      <w:bookmarkStart w:id="9" w:name="_Toc412647032"/>
      <w:bookmarkStart w:id="10" w:name="_Toc416271380"/>
      <w:bookmarkStart w:id="11" w:name="_Toc412647584"/>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界首市复兴路企业服务中心5楼会议室。</w:t>
      </w:r>
    </w:p>
    <w:p w14:paraId="239CFCB2">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27502"/>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19"/>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界首市绿博园林绿化有限公司</w:t>
      </w:r>
    </w:p>
    <w:p w14:paraId="713C6373">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址：界首市复兴路企业服务中心5楼</w:t>
      </w:r>
    </w:p>
    <w:p w14:paraId="312419A1">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联系人：王先生 </w:t>
      </w:r>
    </w:p>
    <w:p w14:paraId="6C3B32FD">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话：18855856621                           </w:t>
      </w:r>
    </w:p>
    <w:p w14:paraId="4519D6E9">
      <w:pPr>
        <w:pStyle w:val="19"/>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9"/>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68392380">
      <w:pPr>
        <w:pStyle w:val="8"/>
        <w:ind w:left="0" w:leftChars="0" w:firstLine="0" w:firstLineChars="0"/>
        <w:rPr>
          <w:rFonts w:hint="eastAsia"/>
        </w:rPr>
      </w:pPr>
    </w:p>
    <w:p w14:paraId="7F1047C7">
      <w:pPr>
        <w:rPr>
          <w:rFonts w:hint="eastAsia"/>
        </w:rPr>
      </w:pPr>
    </w:p>
    <w:p w14:paraId="32EA4D18">
      <w:pPr>
        <w:rPr>
          <w:rFonts w:hint="eastAsia"/>
        </w:rPr>
      </w:pPr>
    </w:p>
    <w:p w14:paraId="209D9812">
      <w:pPr>
        <w:pStyle w:val="8"/>
        <w:rPr>
          <w:rFonts w:hint="eastAsia"/>
        </w:rPr>
      </w:pPr>
    </w:p>
    <w:p w14:paraId="2C6DF63B">
      <w:pPr>
        <w:rPr>
          <w:rFonts w:hint="eastAsia"/>
        </w:rPr>
      </w:pPr>
    </w:p>
    <w:p w14:paraId="0203CAC0">
      <w:pPr>
        <w:rPr>
          <w:rFonts w:hint="eastAsia"/>
        </w:rPr>
      </w:pPr>
    </w:p>
    <w:p w14:paraId="6E06FFA8">
      <w:pPr>
        <w:rPr>
          <w:rFonts w:hint="eastAsia"/>
        </w:rPr>
      </w:pPr>
    </w:p>
    <w:p w14:paraId="5E58D7C8">
      <w:pPr>
        <w:rPr>
          <w:rFonts w:hint="eastAsia"/>
        </w:rPr>
      </w:pPr>
    </w:p>
    <w:p w14:paraId="153AE9C6">
      <w:pPr>
        <w:rPr>
          <w:rFonts w:hint="eastAsia"/>
        </w:rPr>
      </w:pPr>
    </w:p>
    <w:p w14:paraId="66C532BD">
      <w:pPr>
        <w:rPr>
          <w:rFonts w:hint="eastAsia"/>
        </w:rPr>
      </w:pPr>
    </w:p>
    <w:p w14:paraId="3EBC3D18">
      <w:pPr>
        <w:rPr>
          <w:rFonts w:hint="eastAsia"/>
        </w:rPr>
      </w:pPr>
    </w:p>
    <w:p w14:paraId="2A51FFCF">
      <w:pPr>
        <w:rPr>
          <w:rFonts w:hint="eastAsia"/>
        </w:rPr>
      </w:pPr>
    </w:p>
    <w:p w14:paraId="5136F211">
      <w:pPr>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29810"/>
      <w:r>
        <w:rPr>
          <w:rFonts w:hint="eastAsia" w:ascii="方正宋黑简体" w:hAnsi="宋体" w:eastAsia="方正宋黑简体" w:cs="黑体"/>
          <w:b/>
          <w:bCs/>
          <w:sz w:val="32"/>
          <w:szCs w:val="32"/>
        </w:rPr>
        <w:t>二、供应商须知前附表</w:t>
      </w:r>
      <w:bookmarkEnd w:id="3"/>
      <w:bookmarkEnd w:id="13"/>
    </w:p>
    <w:tbl>
      <w:tblPr>
        <w:tblStyle w:val="21"/>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2C264483">
            <w:pPr>
              <w:pStyle w:val="19"/>
              <w:shd w:val="clear" w:color="auto" w:fill="FFFFFF"/>
              <w:spacing w:before="0" w:beforeAutospacing="0" w:after="0" w:afterAutospacing="0" w:line="560" w:lineRule="exact"/>
              <w:jc w:val="both"/>
              <w:rPr>
                <w:rFonts w:hint="eastAsia" w:ascii="仿宋" w:hAnsi="仿宋" w:eastAsia="仿宋"/>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建筑与市政资质企业筛选尽调及评估咨询服务采购项目</w:t>
            </w:r>
          </w:p>
          <w:p w14:paraId="2175A83E">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项目编号：AHWM-20260014 </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采购人：界首市绿博园林绿化有限公司</w:t>
            </w:r>
          </w:p>
          <w:p w14:paraId="19205942">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联系人：王先生</w:t>
            </w:r>
          </w:p>
          <w:p w14:paraId="050F08E6">
            <w:pPr>
              <w:pStyle w:val="19"/>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话：18855856621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9"/>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30000.00元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采购人指定地点。</w:t>
            </w:r>
          </w:p>
          <w:p w14:paraId="12362FD7">
            <w:pPr>
              <w:numPr>
                <w:ilvl w:val="0"/>
                <w:numId w:val="0"/>
              </w:numPr>
              <w:spacing w:before="120" w:after="120" w:line="288" w:lineRule="auto"/>
              <w:jc w:val="left"/>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服务期限：</w:t>
            </w:r>
            <w:r>
              <w:rPr>
                <w:rFonts w:hint="eastAsia" w:ascii="仿宋" w:hAnsi="仿宋" w:eastAsia="仿宋" w:cs="仿宋"/>
                <w:color w:val="auto"/>
                <w:sz w:val="28"/>
                <w:szCs w:val="28"/>
                <w:lang w:val="en-US" w:eastAsia="zh-CN"/>
              </w:rPr>
              <w:t>自合同签订之日起20个工作日内完成全部服务。</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9"/>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报价文件递交至：界首市复兴路企业服务中心5楼会议室。</w:t>
            </w:r>
          </w:p>
          <w:p w14:paraId="6FAB9A05">
            <w:pPr>
              <w:pStyle w:val="19"/>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报价文件递交截止时间：2026年7月27日15时00分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招标代理费用：参照国家计委计价格【2002】1980号文件收取</w:t>
            </w:r>
            <w:r>
              <w:rPr>
                <w:rFonts w:hint="eastAsia" w:ascii="仿宋" w:hAnsi="仿宋" w:eastAsia="仿宋"/>
                <w:color w:val="000000"/>
                <w:sz w:val="28"/>
                <w:szCs w:val="28"/>
                <w:lang w:val="en-US" w:eastAsia="zh-CN"/>
              </w:rPr>
              <w:t>3000.00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footerReference r:id="rId7" w:type="first"/>
          <w:footerReference r:id="rId6" w:type="default"/>
          <w:pgSz w:w="11907" w:h="16840"/>
          <w:pgMar w:top="1418" w:right="980" w:bottom="1247" w:left="1247" w:header="851" w:footer="851" w:gutter="0"/>
          <w:pgNumType w:fmt="decimal" w:start="1"/>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4" w:name="_Toc466549686"/>
      <w:bookmarkStart w:id="15" w:name="_Toc30793"/>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466549687"/>
      <w:bookmarkStart w:id="17" w:name="_Toc20235"/>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8" w:name="_Toc10016"/>
      <w:bookmarkStart w:id="19" w:name="_Toc466549688"/>
      <w:r>
        <w:rPr>
          <w:rFonts w:hint="eastAsia" w:ascii="方正宋黑简体" w:hAnsi="宋体" w:eastAsia="方正宋黑简体" w:cs="黑体"/>
          <w:b/>
          <w:bCs/>
          <w:sz w:val="32"/>
          <w:szCs w:val="32"/>
        </w:rPr>
        <w:t>五、评审方法及废标</w:t>
      </w:r>
      <w:bookmarkEnd w:id="18"/>
      <w:bookmarkEnd w:id="19"/>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466549689"/>
      <w:bookmarkStart w:id="21" w:name="_Toc16451"/>
      <w:r>
        <w:rPr>
          <w:rFonts w:hint="eastAsia" w:ascii="方正宋黑简体" w:hAnsi="宋体" w:eastAsia="方正宋黑简体" w:cs="黑体"/>
          <w:b/>
          <w:bCs/>
          <w:sz w:val="32"/>
          <w:szCs w:val="32"/>
        </w:rPr>
        <w:t>六、供应商须提供资格审查材料</w:t>
      </w:r>
      <w:bookmarkEnd w:id="20"/>
      <w:bookmarkEnd w:id="21"/>
    </w:p>
    <w:p w14:paraId="4A2C1F20">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b w:val="0"/>
          <w:bCs w:val="0"/>
          <w:color w:val="auto"/>
          <w:sz w:val="28"/>
          <w:szCs w:val="28"/>
          <w:lang w:eastAsia="zh-CN"/>
        </w:rPr>
        <w:t>1、符合《中华人民共和国政府采购法》第二十二条要求；</w:t>
      </w:r>
    </w:p>
    <w:p w14:paraId="00F04383">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olor w:val="000000"/>
          <w:sz w:val="28"/>
          <w:szCs w:val="28"/>
          <w:lang w:val="en-US" w:eastAsia="zh-CN"/>
        </w:rPr>
        <w:t>2、须具有有效的营业执照。</w:t>
      </w:r>
    </w:p>
    <w:p w14:paraId="456816F5">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8"/>
        <w:rPr>
          <w:rFonts w:ascii="方正宋黑简体" w:hAnsi="宋体" w:eastAsia="方正宋黑简体" w:cs="黑体"/>
          <w:b/>
          <w:bCs/>
          <w:sz w:val="32"/>
          <w:szCs w:val="32"/>
        </w:rPr>
      </w:pPr>
    </w:p>
    <w:p w14:paraId="059989CC">
      <w:pPr>
        <w:pStyle w:val="8"/>
        <w:rPr>
          <w:rFonts w:ascii="方正宋黑简体" w:hAnsi="宋体" w:eastAsia="方正宋黑简体" w:cs="黑体"/>
          <w:b/>
          <w:bCs/>
          <w:sz w:val="32"/>
          <w:szCs w:val="32"/>
        </w:rPr>
      </w:pPr>
    </w:p>
    <w:p w14:paraId="05CE2FB3">
      <w:pPr>
        <w:pStyle w:val="8"/>
        <w:rPr>
          <w:rFonts w:ascii="方正宋黑简体" w:hAnsi="宋体" w:eastAsia="方正宋黑简体" w:cs="黑体"/>
          <w:b/>
          <w:bCs/>
          <w:sz w:val="32"/>
          <w:szCs w:val="32"/>
        </w:rPr>
      </w:pPr>
    </w:p>
    <w:p w14:paraId="7138E8F9">
      <w:pPr>
        <w:pStyle w:val="8"/>
        <w:ind w:left="0" w:leftChars="0" w:firstLine="0" w:firstLineChars="0"/>
        <w:rPr>
          <w:rFonts w:ascii="方正宋黑简体" w:hAnsi="宋体" w:eastAsia="方正宋黑简体" w:cs="黑体"/>
          <w:b/>
          <w:bCs/>
          <w:sz w:val="32"/>
          <w:szCs w:val="32"/>
        </w:rPr>
      </w:pPr>
    </w:p>
    <w:p w14:paraId="60D0D691">
      <w:pPr>
        <w:pStyle w:val="8"/>
        <w:ind w:left="0" w:leftChars="0" w:firstLine="0" w:firstLineChars="0"/>
        <w:rPr>
          <w:rFonts w:ascii="方正宋黑简体" w:hAnsi="宋体" w:eastAsia="方正宋黑简体" w:cs="黑体"/>
          <w:b/>
          <w:bCs/>
          <w:sz w:val="32"/>
          <w:szCs w:val="32"/>
        </w:rPr>
      </w:pPr>
    </w:p>
    <w:p w14:paraId="11DD2239">
      <w:pPr>
        <w:pStyle w:val="8"/>
        <w:ind w:left="0" w:leftChars="0" w:firstLine="0" w:firstLineChars="0"/>
        <w:rPr>
          <w:rFonts w:ascii="方正宋黑简体" w:hAnsi="宋体" w:eastAsia="方正宋黑简体" w:cs="黑体"/>
          <w:b/>
          <w:bCs/>
          <w:sz w:val="32"/>
          <w:szCs w:val="32"/>
        </w:rPr>
      </w:pPr>
    </w:p>
    <w:p w14:paraId="33AF4E2E">
      <w:pPr>
        <w:pStyle w:val="8"/>
        <w:ind w:left="0" w:leftChars="0" w:firstLine="0" w:firstLineChars="0"/>
        <w:rPr>
          <w:rFonts w:ascii="方正宋黑简体" w:hAnsi="宋体" w:eastAsia="方正宋黑简体" w:cs="黑体"/>
          <w:b/>
          <w:bCs/>
          <w:sz w:val="32"/>
          <w:szCs w:val="32"/>
        </w:rPr>
      </w:pPr>
    </w:p>
    <w:p w14:paraId="720A9754">
      <w:pPr>
        <w:pStyle w:val="8"/>
        <w:ind w:left="0" w:leftChars="0" w:firstLine="0" w:firstLineChars="0"/>
        <w:rPr>
          <w:rFonts w:ascii="方正宋黑简体" w:hAnsi="宋体" w:eastAsia="方正宋黑简体" w:cs="黑体"/>
          <w:b/>
          <w:bCs/>
          <w:sz w:val="32"/>
          <w:szCs w:val="32"/>
        </w:rPr>
      </w:pPr>
    </w:p>
    <w:p w14:paraId="0568ACF7">
      <w:pPr>
        <w:rPr>
          <w:rFonts w:ascii="方正宋黑简体" w:hAnsi="宋体" w:eastAsia="方正宋黑简体" w:cs="黑体"/>
          <w:b/>
          <w:bCs/>
          <w:sz w:val="32"/>
          <w:szCs w:val="32"/>
        </w:rPr>
      </w:pPr>
    </w:p>
    <w:p w14:paraId="3B10E22F">
      <w:pPr>
        <w:rPr>
          <w:rFonts w:ascii="方正宋黑简体" w:hAnsi="宋体" w:eastAsia="方正宋黑简体" w:cs="黑体"/>
          <w:b/>
          <w:bCs/>
          <w:sz w:val="32"/>
          <w:szCs w:val="32"/>
        </w:rPr>
      </w:pPr>
    </w:p>
    <w:p w14:paraId="2B30750A">
      <w:pPr>
        <w:pStyle w:val="8"/>
        <w:ind w:left="0" w:leftChars="0" w:firstLine="0" w:firstLineChars="0"/>
        <w:rPr>
          <w:rFonts w:ascii="方正宋黑简体" w:hAnsi="宋体" w:eastAsia="方正宋黑简体" w:cs="黑体"/>
          <w:b/>
          <w:bCs/>
          <w:sz w:val="32"/>
          <w:szCs w:val="32"/>
        </w:rPr>
      </w:pPr>
    </w:p>
    <w:p w14:paraId="54C667EB">
      <w:pPr>
        <w:rPr>
          <w:rFonts w:hint="eastAsia" w:ascii="方正宋黑简体" w:hAnsi="宋体" w:eastAsia="方正宋黑简体" w:cs="黑体"/>
          <w:b/>
          <w:bCs/>
          <w:sz w:val="32"/>
          <w:szCs w:val="32"/>
          <w:lang w:eastAsia="zh-CN"/>
        </w:rPr>
      </w:pPr>
    </w:p>
    <w:p w14:paraId="5BE1AF3F">
      <w:pPr>
        <w:rPr>
          <w:rFonts w:hint="eastAsia" w:ascii="方正宋黑简体" w:hAnsi="宋体" w:eastAsia="方正宋黑简体" w:cs="黑体"/>
          <w:b/>
          <w:bCs/>
          <w:sz w:val="32"/>
          <w:szCs w:val="32"/>
          <w:lang w:eastAsia="zh-CN"/>
        </w:rPr>
      </w:pPr>
    </w:p>
    <w:p w14:paraId="1743C4BF">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11627"/>
      <w:r>
        <w:rPr>
          <w:rFonts w:hint="eastAsia" w:ascii="方正宋黑简体" w:hAnsi="宋体" w:eastAsia="方正宋黑简体" w:cs="黑体"/>
          <w:b/>
          <w:bCs/>
          <w:sz w:val="32"/>
          <w:szCs w:val="32"/>
        </w:rPr>
        <w:t>采购需求</w:t>
      </w:r>
      <w:bookmarkEnd w:id="22"/>
      <w:bookmarkEnd w:id="23"/>
      <w:bookmarkStart w:id="24" w:name="_Toc466549691"/>
    </w:p>
    <w:p w14:paraId="371DCB25">
      <w:pPr>
        <w:pStyle w:val="19"/>
        <w:widowControl/>
        <w:shd w:val="clear" w:color="auto" w:fill="FFFFFF"/>
        <w:spacing w:before="0" w:beforeAutospacing="0" w:after="0" w:afterAutospacing="0" w:line="560" w:lineRule="exact"/>
        <w:ind w:firstLine="482" w:firstLineChars="200"/>
        <w:jc w:val="both"/>
        <w:rPr>
          <w:rFonts w:hint="eastAsia" w:ascii="仿宋" w:hAnsi="仿宋" w:eastAsia="仿宋" w:cs="宋体"/>
          <w:b/>
          <w:bCs/>
          <w:color w:val="auto"/>
          <w:sz w:val="24"/>
          <w:szCs w:val="24"/>
          <w:lang w:val="en-US" w:eastAsia="zh-CN" w:bidi="ar-SA"/>
        </w:rPr>
      </w:pPr>
      <w:bookmarkStart w:id="25" w:name="heading_0"/>
      <w:r>
        <w:rPr>
          <w:rFonts w:hint="eastAsia" w:ascii="仿宋" w:hAnsi="仿宋" w:eastAsia="仿宋" w:cs="宋体"/>
          <w:b/>
          <w:bCs/>
          <w:color w:val="auto"/>
          <w:sz w:val="24"/>
          <w:szCs w:val="24"/>
          <w:lang w:val="en-US" w:eastAsia="zh-CN" w:bidi="ar-SA"/>
        </w:rPr>
        <w:t>一、项目概述</w:t>
      </w:r>
      <w:bookmarkEnd w:id="25"/>
    </w:p>
    <w:p w14:paraId="454FA23E">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为助力采购人业务拓展，完善工程施工资质体系，提升市场招投标竞争力与工程承接能力，采购人拟通过采购专业咨询服务的方式，遴选优质独立第三方咨询服务机构，为采购人提供二级及以上建筑工程、市政公用工程施工资质企业筛选、尽职调查、价值评估、方案推荐、报告编制及配套咨询协助服务。供应商需凭借专业能力，严格按照行业规范及采购人要求，筛选合规优质的意向施工企业，出具真实、客观、完整的尽调评估推荐报告，并配合采购人完成后续洽谈对接工作，保障采购人资质收购及合作工作合规、高效推进。</w:t>
      </w:r>
    </w:p>
    <w:p w14:paraId="177B8F51">
      <w:pPr>
        <w:pStyle w:val="19"/>
        <w:widowControl/>
        <w:shd w:val="clear" w:color="auto" w:fill="FFFFFF"/>
        <w:spacing w:before="0" w:beforeAutospacing="0" w:after="0" w:afterAutospacing="0" w:line="560" w:lineRule="exact"/>
        <w:ind w:firstLine="482" w:firstLineChars="200"/>
        <w:jc w:val="both"/>
        <w:rPr>
          <w:rFonts w:hint="eastAsia" w:ascii="仿宋" w:hAnsi="仿宋" w:eastAsia="仿宋" w:cs="宋体"/>
          <w:b/>
          <w:bCs/>
          <w:color w:val="auto"/>
          <w:sz w:val="24"/>
          <w:szCs w:val="24"/>
          <w:lang w:val="en-US" w:eastAsia="zh-CN" w:bidi="ar-SA"/>
        </w:rPr>
      </w:pPr>
      <w:bookmarkStart w:id="26" w:name="heading_1"/>
      <w:r>
        <w:rPr>
          <w:rFonts w:hint="eastAsia" w:ascii="仿宋" w:hAnsi="仿宋" w:eastAsia="仿宋" w:cs="宋体"/>
          <w:b/>
          <w:bCs/>
          <w:color w:val="auto"/>
          <w:sz w:val="24"/>
          <w:szCs w:val="24"/>
          <w:lang w:val="en-US" w:eastAsia="zh-CN" w:bidi="ar-SA"/>
        </w:rPr>
        <w:t>二、采购服务主体要求</w:t>
      </w:r>
      <w:bookmarkEnd w:id="26"/>
    </w:p>
    <w:p w14:paraId="42B44E99">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本次采购服务商为独立第三方咨询公司，需具备独立法人资格，无关联交易、无利益冲突，全程独立开展调研、评估、推荐工作，保证服务结果的客观性、公正性、真实性，不得与意向施工企业串通舞弊、隐瞒真实信息。</w:t>
      </w:r>
    </w:p>
    <w:p w14:paraId="677E898F">
      <w:pPr>
        <w:pStyle w:val="19"/>
        <w:widowControl/>
        <w:shd w:val="clear" w:color="auto" w:fill="FFFFFF"/>
        <w:spacing w:before="0" w:beforeAutospacing="0" w:after="0" w:afterAutospacing="0" w:line="560" w:lineRule="exact"/>
        <w:ind w:firstLine="482" w:firstLineChars="200"/>
        <w:jc w:val="both"/>
        <w:rPr>
          <w:rFonts w:hint="eastAsia" w:ascii="仿宋" w:hAnsi="仿宋" w:eastAsia="仿宋" w:cs="宋体"/>
          <w:b/>
          <w:bCs/>
          <w:color w:val="auto"/>
          <w:sz w:val="24"/>
          <w:szCs w:val="24"/>
          <w:lang w:val="en-US" w:eastAsia="zh-CN" w:bidi="ar-SA"/>
        </w:rPr>
      </w:pPr>
      <w:bookmarkStart w:id="27" w:name="heading_2"/>
      <w:r>
        <w:rPr>
          <w:rFonts w:hint="eastAsia" w:ascii="仿宋" w:hAnsi="仿宋" w:eastAsia="仿宋" w:cs="宋体"/>
          <w:b/>
          <w:bCs/>
          <w:color w:val="auto"/>
          <w:sz w:val="24"/>
          <w:szCs w:val="24"/>
          <w:lang w:val="en-US" w:eastAsia="zh-CN" w:bidi="ar-SA"/>
        </w:rPr>
        <w:t>三、核心采购服务内容</w:t>
      </w:r>
      <w:bookmarkEnd w:id="27"/>
    </w:p>
    <w:p w14:paraId="1092D1E4">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供应商需围绕采购人建筑、市政资质升级及企业合作收购需求，供应商须为采购人推荐不少于3家建筑、市政资质企业，出具意向施工企业尽调及评估调查报告、价值评估及收购推荐报告，全方位提供专项咨询服务，具体服务内容包含企业筛选、尽职调查、价值评估、方案推荐、报告编制、商务协助，具体如下：</w:t>
      </w:r>
    </w:p>
    <w:p w14:paraId="4E990E91">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bookmarkStart w:id="28" w:name="heading_3"/>
      <w:r>
        <w:rPr>
          <w:rFonts w:hint="eastAsia" w:ascii="仿宋" w:hAnsi="仿宋" w:eastAsia="仿宋" w:cs="宋体"/>
          <w:color w:val="auto"/>
          <w:sz w:val="24"/>
          <w:szCs w:val="24"/>
          <w:lang w:val="en-US" w:eastAsia="zh-CN" w:bidi="ar-SA"/>
        </w:rPr>
        <w:t>（一）意向施工企业筛选服务</w:t>
      </w:r>
      <w:bookmarkEnd w:id="28"/>
    </w:p>
    <w:p w14:paraId="585B9164">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根据采购人明确的资质需求，精准筛选具备二级及以上建筑工程施工资质、二级及以上市政公用工程施工资质的合法存续施工企业，可具备双项资质或包含该双相及以上资质。筛选过程中需严格核查企业基础准入条件，剔除经营异常、司法风险、资质失效、信用不良、股权纠纷的企业，初步筛选出符合采购人业务发展、收购适配性高的意向企业名录。</w:t>
      </w:r>
    </w:p>
    <w:p w14:paraId="591AD4F0">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bookmarkStart w:id="29" w:name="heading_4"/>
      <w:r>
        <w:rPr>
          <w:rFonts w:hint="eastAsia" w:ascii="仿宋" w:hAnsi="仿宋" w:eastAsia="仿宋" w:cs="宋体"/>
          <w:color w:val="auto"/>
          <w:sz w:val="24"/>
          <w:szCs w:val="24"/>
          <w:lang w:val="en-US" w:eastAsia="zh-CN" w:bidi="ar-SA"/>
        </w:rPr>
        <w:t>（二）全方位企业尽职调查服务</w:t>
      </w:r>
      <w:bookmarkEnd w:id="29"/>
    </w:p>
    <w:p w14:paraId="0387D964">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供应商需对筛选后的意向施工企业开展全面、细致的专项尽职调查，覆盖企业资质、经营、法务、财务、人员、设备、信用等全维度，具体调查内容如下：</w:t>
      </w:r>
    </w:p>
    <w:p w14:paraId="53A220BF">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资质核查：核实企业建筑、市政资质等级、资质有效期、资质备案信息、资质增项/减项情况，核查资质是否真实有效、可正常变更、无冻结、无挂靠违规记录，确认资质满足采购人采购及业务使用需求。</w:t>
      </w:r>
    </w:p>
    <w:p w14:paraId="77DEBDB6">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工商经营尽调：核查企业营业执照、存续状态、注册地址、经营范围、股权结构、股东背景、历年工商变更记录，确认企业合法合规经营，无虚假注册、异常经营、吊销注销等情况。</w:t>
      </w:r>
    </w:p>
    <w:p w14:paraId="3E71D373">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法务风险尽调：排查企业近3年诉讼仲裁案件、行政处罚、行业监管处罚、失信被执行人、限制高消费、股权质押、资产抵押、对外担保、债务纠纷等各类法律风险，评估企业法务风险等级。</w:t>
      </w:r>
    </w:p>
    <w:p w14:paraId="16AA2586">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财务状况尽调：核查企业近2-3年财务报表、营收情况、纳税情况、资产负债、现金流状况，评估企业财务稳定性、偿债能力、经营盈利能力，排查隐性债务、财务造假、税务违规等问题。</w:t>
      </w:r>
    </w:p>
    <w:p w14:paraId="798E08CE">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人员及设备尽调：核查企业注册建造师、技术负责人、八大员等核心技术人员配置情况，人员社保、持证有效性；核查企业施工设备、办公资产配置，确认企业具备正常施工运营能力。</w:t>
      </w:r>
    </w:p>
    <w:p w14:paraId="1E0AD945">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信用及口碑尽调：查询企业信用中国、政府采购网、住建部门平台公示信息，核查企业是否存在招投标失信、工程质量事故、安全事故、行业黑名单、投诉举报等不良记录，调研企业行业口碑及履约情况。</w:t>
      </w:r>
    </w:p>
    <w:p w14:paraId="6553D98B">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bookmarkStart w:id="30" w:name="heading_5"/>
      <w:r>
        <w:rPr>
          <w:rFonts w:hint="eastAsia" w:ascii="仿宋" w:hAnsi="仿宋" w:eastAsia="仿宋" w:cs="宋体"/>
          <w:color w:val="auto"/>
          <w:sz w:val="24"/>
          <w:szCs w:val="24"/>
          <w:lang w:val="en-US" w:eastAsia="zh-CN" w:bidi="ar-SA"/>
        </w:rPr>
        <w:t>（三）企业价值评估服务</w:t>
      </w:r>
      <w:bookmarkEnd w:id="30"/>
    </w:p>
    <w:p w14:paraId="5B5E3CC6">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结合尽职调查结果，采用行业通用、科学合规的评估方法，对意向施工企业进行整体价值评估。评估维度包含企业资质价值、固定资产价值、无形资产价值、客户资源价值、年度营收价值、品牌行业价值等，结合当前建筑资质市场行情、行业估值标准、企业发展潜力、风险系数，精准测算企业合理估值区间，明确最优建议收购价格、价格浮动区间、议价底线，同时列明价格评估依据、测算标准、风险折价因素。</w:t>
      </w:r>
    </w:p>
    <w:p w14:paraId="39CE9809">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bookmarkStart w:id="31" w:name="heading_6"/>
      <w:r>
        <w:rPr>
          <w:rFonts w:hint="eastAsia" w:ascii="仿宋" w:hAnsi="仿宋" w:eastAsia="仿宋" w:cs="宋体"/>
          <w:color w:val="auto"/>
          <w:sz w:val="24"/>
          <w:szCs w:val="24"/>
          <w:lang w:val="en-US" w:eastAsia="zh-CN" w:bidi="ar-SA"/>
        </w:rPr>
        <w:t>（四）企业及方案推荐服务</w:t>
      </w:r>
      <w:bookmarkEnd w:id="31"/>
    </w:p>
    <w:p w14:paraId="1D0BF56B">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根据尽调结果、价值评估结论、企业适配度、风险等级、性价比等维度，对所有意向企业进行综合评级排序，为采购人择优推荐优质意向施工企业。同时针对每家推荐企业，详细列明核心推荐理由、优势亮点、潜在风险、适配采购人发展的核心价值，结合采购人资金预算、业务规划，提供针对性的收购合作方案建议，包含收购模式、合作方式、风险规避方案、价格谈判策略等。</w:t>
      </w:r>
    </w:p>
    <w:p w14:paraId="19B0D13D">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bookmarkStart w:id="32" w:name="heading_7"/>
      <w:r>
        <w:rPr>
          <w:rFonts w:hint="eastAsia" w:ascii="仿宋" w:hAnsi="仿宋" w:eastAsia="仿宋" w:cs="宋体"/>
          <w:color w:val="auto"/>
          <w:sz w:val="24"/>
          <w:szCs w:val="24"/>
          <w:lang w:val="en-US" w:eastAsia="zh-CN" w:bidi="ar-SA"/>
        </w:rPr>
        <w:t>（五）专项报告编制服务</w:t>
      </w:r>
      <w:bookmarkEnd w:id="32"/>
    </w:p>
    <w:p w14:paraId="7EF6D6AD">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供应商需整合全部调研、评估、分析成果，为采购人编制正式、规范、完整的《意向施工企业尽职调查报告、价值评估及收购推荐报告》，报告需内容详实、数据真实、逻辑清晰、结论明确，加盖供应商公章，作为采购人决策、商务洽谈、收购合作的正式依据。报告需包含项目概况、调研依据、企业基本信息、尽调明细、风险分析、价值评估结果、推荐排名、收购建议、价格方案、风险防控措施、附件佐证材料等完整内容。</w:t>
      </w:r>
    </w:p>
    <w:p w14:paraId="58A722FA">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bookmarkStart w:id="33" w:name="heading_8"/>
      <w:r>
        <w:rPr>
          <w:rFonts w:hint="eastAsia" w:ascii="仿宋" w:hAnsi="仿宋" w:eastAsia="仿宋" w:cs="宋体"/>
          <w:color w:val="auto"/>
          <w:sz w:val="24"/>
          <w:szCs w:val="24"/>
          <w:lang w:val="en-US" w:eastAsia="zh-CN" w:bidi="ar-SA"/>
        </w:rPr>
        <w:t>（六）商务洽谈协助服务</w:t>
      </w:r>
      <w:bookmarkEnd w:id="33"/>
    </w:p>
    <w:p w14:paraId="1EB903EE">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报告交付后，供应商需全程配合采购人开展后续工作，依据出具的专业报告，协助采购人与推荐的意向施工企业开展商务竞谈、对接沟通、疑问答疑工作。针对洽谈过程中出现的资质解读、估值争议、风险疑问、合作条款等问题，提供专业咨询支撑，协助采购人把控洽谈风险、争取最优合作条件；协助完成意向施工企业法人、财务、税务、地址等变更工作，直至采购人完成初步合作对接。</w:t>
      </w:r>
    </w:p>
    <w:p w14:paraId="6D997108">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bookmarkStart w:id="34" w:name="heading_9"/>
      <w:r>
        <w:rPr>
          <w:rFonts w:hint="eastAsia" w:ascii="仿宋" w:hAnsi="仿宋" w:eastAsia="仿宋" w:cs="宋体"/>
          <w:color w:val="auto"/>
          <w:sz w:val="24"/>
          <w:szCs w:val="24"/>
          <w:lang w:val="en-US" w:eastAsia="zh-CN" w:bidi="ar-SA"/>
        </w:rPr>
        <w:t>四、服务标准及要求</w:t>
      </w:r>
      <w:bookmarkEnd w:id="34"/>
    </w:p>
    <w:p w14:paraId="333E885A">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真实性原则：供应商所有调研数据、评估结果、报告内容必须真实准确，严禁虚构数据、隐瞒风险、虚假推荐，若因信息不实造成采购人损失，供应商需承担全部责任。</w:t>
      </w:r>
    </w:p>
    <w:p w14:paraId="7E2BBC58">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客观性原则：供应商需保持独立第三方立场，客观公正开展尽调与评估，如实披露企业优势及潜在风险，不得偏袒任何意向企业。</w:t>
      </w:r>
    </w:p>
    <w:p w14:paraId="755D9341">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专业性原则：服务全过程需遵循住建行业资质管理规范、资产评估行业准则、企业尽调行业标准，保证服务流程合规、成果专业。</w:t>
      </w:r>
    </w:p>
    <w:p w14:paraId="3D40E01C">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完整性原则：服务内容无遗漏，报告内容完整覆盖采购要求的全部板块，佐证材料齐全、数据来源可追溯。</w:t>
      </w:r>
    </w:p>
    <w:p w14:paraId="6B847EEA">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保密性原则：供应商对采购人项目信息、预算信息、合作规划，以及意向企业的商业数据、财务信息、涉密资料严格保密，不得向第三方泄露，服务结束后不得私自留存涉密资料。</w:t>
      </w:r>
    </w:p>
    <w:p w14:paraId="1876BB2A">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bookmarkStart w:id="35" w:name="heading_10"/>
      <w:r>
        <w:rPr>
          <w:rFonts w:hint="eastAsia" w:ascii="仿宋" w:hAnsi="仿宋" w:eastAsia="仿宋" w:cs="宋体"/>
          <w:color w:val="auto"/>
          <w:sz w:val="24"/>
          <w:szCs w:val="24"/>
          <w:lang w:val="en-US" w:eastAsia="zh-CN" w:bidi="ar-SA"/>
        </w:rPr>
        <w:t>五、项目成果交付要求</w:t>
      </w:r>
      <w:bookmarkEnd w:id="35"/>
    </w:p>
    <w:p w14:paraId="38A03A9C">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正式纸质版《意向施工企业尽调及评估调查报告、价值评估及收购推荐报告》（加盖公章）一式2份，同时提供可编辑电子版1份、PDF盖章版1份；</w:t>
      </w:r>
    </w:p>
    <w:p w14:paraId="4C6EC815">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配套佐证资料：企业资质截图、工商公示信息、信用查询报告、财务资料核查记录、评估测算明细、尽调工作底稿等全套附件资料；</w:t>
      </w:r>
    </w:p>
    <w:p w14:paraId="17E42C76">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交付成果需通过采购人审核，若内容缺失、数据错误、结论不合理，供应商需无条件修改、补充、重新编制，直至满足采购人使用要求。</w:t>
      </w:r>
    </w:p>
    <w:p w14:paraId="5AB175F3">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bookmarkStart w:id="36" w:name="heading_11"/>
      <w:r>
        <w:rPr>
          <w:rFonts w:hint="eastAsia" w:ascii="仿宋" w:hAnsi="仿宋" w:eastAsia="仿宋" w:cs="宋体"/>
          <w:color w:val="auto"/>
          <w:sz w:val="24"/>
          <w:szCs w:val="24"/>
          <w:lang w:val="en-US" w:eastAsia="zh-CN" w:bidi="ar-SA"/>
        </w:rPr>
        <w:t>六、服务周期要求</w:t>
      </w:r>
      <w:bookmarkEnd w:id="36"/>
    </w:p>
    <w:p w14:paraId="3CC7FE5A">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自双方签订服务合同、采购人提供基础需求资料之日起，15个工作日内完成企业筛选、尽职调查、价值评估工作，20个工作日内完成全套正式报告编制并交付采购人；后续商务洽谈协助服务持续至采购人完成意向企业初步对接工作结束。</w:t>
      </w:r>
    </w:p>
    <w:p w14:paraId="3FBB2968">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bookmarkStart w:id="37" w:name="heading_12"/>
      <w:r>
        <w:rPr>
          <w:rFonts w:hint="eastAsia" w:ascii="仿宋" w:hAnsi="仿宋" w:eastAsia="仿宋" w:cs="宋体"/>
          <w:color w:val="auto"/>
          <w:sz w:val="24"/>
          <w:szCs w:val="24"/>
          <w:lang w:val="en-US" w:eastAsia="zh-CN" w:bidi="ar-SA"/>
        </w:rPr>
        <w:t>七、人员及资质要求</w:t>
      </w:r>
      <w:bookmarkEnd w:id="37"/>
    </w:p>
    <w:p w14:paraId="4F07157D">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供应商需具备企业咨询、资产评估、商务尽调相关服务能力，拥有固定的专业服务团队；</w:t>
      </w:r>
    </w:p>
    <w:p w14:paraId="55AFEDBA">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项目负责人需具备建筑行业企业尽调、资质评估相关工作经验，熟悉建筑、市政资质管理政策及行业市场行情；</w:t>
      </w:r>
    </w:p>
    <w:p w14:paraId="09A2CEE4">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服务团队需配备熟悉工商法务、财务评估、建筑资质政策的专项工作人员，保障服务专业性。</w:t>
      </w:r>
    </w:p>
    <w:p w14:paraId="50267209">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bookmarkStart w:id="38" w:name="heading_13"/>
      <w:r>
        <w:rPr>
          <w:rFonts w:hint="eastAsia" w:ascii="仿宋" w:hAnsi="仿宋" w:eastAsia="仿宋" w:cs="宋体"/>
          <w:color w:val="auto"/>
          <w:sz w:val="24"/>
          <w:szCs w:val="24"/>
          <w:lang w:val="en-US" w:eastAsia="zh-CN" w:bidi="ar-SA"/>
        </w:rPr>
        <w:t>八、售后服务及责任要求</w:t>
      </w:r>
      <w:bookmarkEnd w:id="38"/>
    </w:p>
    <w:p w14:paraId="59A3E4F5">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报告交付后6个月内，供应商需为采购人提供报告答疑、政策解读、数据核对等售后咨询服务；</w:t>
      </w:r>
    </w:p>
    <w:p w14:paraId="0C2C78CC">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若因供应商尽调疏漏、评估失误、刻意隐瞒风险、推荐不实，导致采购人收购合作出现资质失效、重大法务风险、经济损失等问题，供应商需承担相应赔偿责任；</w:t>
      </w:r>
    </w:p>
    <w:p w14:paraId="70FD7DE0">
      <w:pPr>
        <w:pStyle w:val="19"/>
        <w:widowControl/>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供应商不得转包、分包本项目服务，必须全程自主完成核心服务工作。</w:t>
      </w:r>
    </w:p>
    <w:p w14:paraId="6EF93276">
      <w:pPr>
        <w:pStyle w:val="19"/>
        <w:widowControl/>
        <w:shd w:val="clear" w:color="auto" w:fill="FFFFFF"/>
        <w:spacing w:before="0" w:beforeAutospacing="0" w:after="0" w:afterAutospacing="0" w:line="560" w:lineRule="exact"/>
        <w:ind w:firstLine="482" w:firstLineChars="200"/>
        <w:jc w:val="both"/>
        <w:rPr>
          <w:rFonts w:hint="eastAsia" w:ascii="仿宋" w:hAnsi="仿宋" w:eastAsia="仿宋" w:cs="宋体"/>
          <w:b/>
          <w:bCs/>
          <w:color w:val="auto"/>
          <w:sz w:val="24"/>
          <w:szCs w:val="24"/>
          <w:lang w:val="en-US" w:eastAsia="zh-CN" w:bidi="ar-SA"/>
        </w:rPr>
      </w:pPr>
      <w:r>
        <w:rPr>
          <w:rFonts w:hint="eastAsia" w:ascii="仿宋" w:hAnsi="仿宋" w:eastAsia="仿宋" w:cs="宋体"/>
          <w:b/>
          <w:bCs/>
          <w:color w:val="auto"/>
          <w:sz w:val="24"/>
          <w:szCs w:val="24"/>
          <w:lang w:val="en-US" w:eastAsia="zh-CN" w:bidi="ar-SA"/>
        </w:rPr>
        <w:t>四、报价要求</w:t>
      </w:r>
    </w:p>
    <w:p w14:paraId="3AF0EE0E">
      <w:pPr>
        <w:pStyle w:val="19"/>
        <w:widowControl/>
        <w:numPr>
          <w:ilvl w:val="0"/>
          <w:numId w:val="0"/>
        </w:numPr>
        <w:shd w:val="clear" w:color="auto" w:fill="FFFFFF"/>
        <w:spacing w:before="0" w:beforeAutospacing="0" w:after="0" w:afterAutospacing="0" w:line="560" w:lineRule="exact"/>
        <w:ind w:firstLine="480" w:firstLineChars="20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本项目固定总价报价，报价包含完成本项目所产生的一切费用，采购人后期不再追加任何费用，供应商报价时应综合考虑报价风险。</w:t>
      </w:r>
    </w:p>
    <w:bookmarkEnd w:id="24"/>
    <w:p w14:paraId="5088CC8A">
      <w:pPr>
        <w:rPr>
          <w:rFonts w:hint="eastAsia"/>
        </w:rPr>
      </w:pPr>
      <w:bookmarkStart w:id="39" w:name="_Toc466549692"/>
    </w:p>
    <w:p w14:paraId="7AB7466A">
      <w:pPr>
        <w:pStyle w:val="8"/>
        <w:rPr>
          <w:rFonts w:hint="eastAsia"/>
        </w:rPr>
      </w:pPr>
    </w:p>
    <w:p w14:paraId="6AC2C5A8">
      <w:pPr>
        <w:rPr>
          <w:rFonts w:hint="eastAsia"/>
        </w:rPr>
      </w:pPr>
    </w:p>
    <w:p w14:paraId="18E71C00">
      <w:pPr>
        <w:rPr>
          <w:rFonts w:hint="eastAsia"/>
        </w:rPr>
      </w:pPr>
    </w:p>
    <w:p w14:paraId="75C67775">
      <w:pPr>
        <w:rPr>
          <w:rFonts w:hint="eastAsia"/>
        </w:rPr>
      </w:pPr>
    </w:p>
    <w:p w14:paraId="5C58FA7E">
      <w:pPr>
        <w:rPr>
          <w:rFonts w:hint="eastAsia"/>
        </w:rPr>
      </w:pPr>
    </w:p>
    <w:p w14:paraId="7E457879">
      <w:pPr>
        <w:rPr>
          <w:rFonts w:hint="eastAsia"/>
        </w:rPr>
      </w:pPr>
    </w:p>
    <w:p w14:paraId="198F62E7">
      <w:pPr>
        <w:rPr>
          <w:rFonts w:hint="eastAsia"/>
        </w:rPr>
      </w:pPr>
    </w:p>
    <w:p w14:paraId="1869DF7D">
      <w:pPr>
        <w:rPr>
          <w:rFonts w:hint="eastAsia"/>
        </w:rPr>
      </w:pPr>
    </w:p>
    <w:p w14:paraId="0A469FCC">
      <w:pPr>
        <w:rPr>
          <w:rFonts w:hint="eastAsia"/>
        </w:rPr>
      </w:pPr>
    </w:p>
    <w:p w14:paraId="1D9F1655">
      <w:pPr>
        <w:rPr>
          <w:rFonts w:hint="eastAsia"/>
        </w:rPr>
      </w:pPr>
    </w:p>
    <w:p w14:paraId="56B862F1">
      <w:pPr>
        <w:rPr>
          <w:rFonts w:hint="eastAsia"/>
        </w:rPr>
      </w:pPr>
    </w:p>
    <w:p w14:paraId="537FD09D">
      <w:pPr>
        <w:rPr>
          <w:rFonts w:hint="eastAsia"/>
        </w:rPr>
      </w:pPr>
    </w:p>
    <w:p w14:paraId="6443C134">
      <w:pPr>
        <w:rPr>
          <w:rFonts w:hint="eastAsia"/>
        </w:rPr>
      </w:pPr>
    </w:p>
    <w:p w14:paraId="40D282DB">
      <w:pPr>
        <w:rPr>
          <w:rFonts w:hint="eastAsia"/>
        </w:rPr>
      </w:pPr>
    </w:p>
    <w:p w14:paraId="02E9E44B">
      <w:pPr>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40" w:name="_Toc9773"/>
      <w:r>
        <w:rPr>
          <w:rFonts w:hint="eastAsia" w:ascii="方正宋黑简体" w:hAnsi="宋体" w:eastAsia="方正宋黑简体" w:cs="黑体"/>
          <w:b/>
          <w:bCs/>
          <w:color w:val="auto"/>
          <w:sz w:val="32"/>
          <w:szCs w:val="32"/>
        </w:rPr>
        <w:t>八、合同格式</w:t>
      </w:r>
      <w:bookmarkEnd w:id="40"/>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bookmarkStart w:id="41" w:name="_Toc32103"/>
      <w:r>
        <w:t>第一部分 合同书</w:t>
      </w:r>
      <w:bookmarkEnd w:id="41"/>
    </w:p>
    <w:p w14:paraId="7CB234BD">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8" w:type="default"/>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2"/>
        </w:numPr>
        <w:tabs>
          <w:tab w:val="left" w:pos="1110"/>
        </w:tabs>
        <w:spacing w:before="2" w:line="360" w:lineRule="auto"/>
        <w:rPr>
          <w:sz w:val="21"/>
          <w:szCs w:val="21"/>
        </w:rPr>
      </w:pPr>
      <w:bookmarkStart w:id="42" w:name="_Toc27817"/>
      <w:r>
        <w:rPr>
          <w:sz w:val="21"/>
          <w:szCs w:val="21"/>
        </w:rPr>
        <w:t>合同组成部分</w:t>
      </w:r>
      <w:bookmarkEnd w:id="42"/>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5"/>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5"/>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5"/>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5"/>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5"/>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2"/>
        </w:numPr>
        <w:tabs>
          <w:tab w:val="left" w:pos="1110"/>
        </w:tabs>
        <w:spacing w:before="161" w:line="360" w:lineRule="auto"/>
        <w:rPr>
          <w:sz w:val="21"/>
          <w:szCs w:val="21"/>
        </w:rPr>
      </w:pPr>
      <w:bookmarkStart w:id="43" w:name="_Toc21439"/>
      <w:r>
        <w:rPr>
          <w:sz w:val="21"/>
          <w:szCs w:val="21"/>
        </w:rPr>
        <w:t>服务</w:t>
      </w:r>
      <w:bookmarkEnd w:id="43"/>
    </w:p>
    <w:p w14:paraId="129A0541">
      <w:pPr>
        <w:pStyle w:val="45"/>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5"/>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5"/>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2"/>
        </w:numPr>
        <w:tabs>
          <w:tab w:val="left" w:pos="1110"/>
        </w:tabs>
        <w:spacing w:before="161" w:line="360" w:lineRule="auto"/>
        <w:rPr>
          <w:sz w:val="21"/>
          <w:szCs w:val="21"/>
        </w:rPr>
      </w:pPr>
      <w:bookmarkStart w:id="44" w:name="_Toc1240"/>
      <w:r>
        <w:rPr>
          <w:sz w:val="21"/>
          <w:szCs w:val="21"/>
        </w:rPr>
        <w:t>价款</w:t>
      </w:r>
      <w:bookmarkEnd w:id="44"/>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2"/>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2"/>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2"/>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2"/>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2"/>
              <w:rPr>
                <w:rFonts w:ascii="Times New Roman"/>
                <w:lang w:eastAsia="en-US"/>
              </w:rPr>
            </w:pPr>
          </w:p>
        </w:tc>
        <w:tc>
          <w:tcPr>
            <w:tcW w:w="3490" w:type="dxa"/>
            <w:shd w:val="clear" w:color="auto" w:fill="auto"/>
            <w:noWrap w:val="0"/>
            <w:vAlign w:val="top"/>
          </w:tcPr>
          <w:p w14:paraId="3060808C">
            <w:pPr>
              <w:pStyle w:val="52"/>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2"/>
              <w:ind w:left="19"/>
              <w:jc w:val="center"/>
              <w:rPr>
                <w:sz w:val="24"/>
                <w:lang w:eastAsia="en-US"/>
              </w:rPr>
            </w:pPr>
            <w:r>
              <w:rPr>
                <w:sz w:val="24"/>
                <w:lang w:eastAsia="en-US"/>
              </w:rPr>
              <w:t>2</w:t>
            </w:r>
          </w:p>
        </w:tc>
        <w:tc>
          <w:tcPr>
            <w:tcW w:w="4657" w:type="dxa"/>
            <w:shd w:val="clear" w:color="auto" w:fill="auto"/>
            <w:noWrap w:val="0"/>
            <w:vAlign w:val="top"/>
          </w:tcPr>
          <w:p w14:paraId="2AB70EBC">
            <w:pPr>
              <w:pStyle w:val="52"/>
              <w:rPr>
                <w:rFonts w:ascii="Times New Roman"/>
                <w:lang w:eastAsia="en-US"/>
              </w:rPr>
            </w:pPr>
          </w:p>
        </w:tc>
        <w:tc>
          <w:tcPr>
            <w:tcW w:w="3490" w:type="dxa"/>
            <w:shd w:val="clear" w:color="auto" w:fill="auto"/>
            <w:noWrap w:val="0"/>
            <w:vAlign w:val="top"/>
          </w:tcPr>
          <w:p w14:paraId="4C8CD17A">
            <w:pPr>
              <w:pStyle w:val="52"/>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2"/>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2"/>
              <w:rPr>
                <w:rFonts w:ascii="Times New Roman"/>
                <w:lang w:eastAsia="en-US"/>
              </w:rPr>
            </w:pPr>
          </w:p>
        </w:tc>
        <w:tc>
          <w:tcPr>
            <w:tcW w:w="3490" w:type="dxa"/>
            <w:shd w:val="clear" w:color="auto" w:fill="auto"/>
            <w:noWrap w:val="0"/>
            <w:vAlign w:val="top"/>
          </w:tcPr>
          <w:p w14:paraId="780D1E57">
            <w:pPr>
              <w:pStyle w:val="52"/>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2"/>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2"/>
              <w:rPr>
                <w:rFonts w:ascii="Times New Roman"/>
                <w:lang w:eastAsia="en-US"/>
              </w:rPr>
            </w:pPr>
          </w:p>
        </w:tc>
        <w:tc>
          <w:tcPr>
            <w:tcW w:w="3490" w:type="dxa"/>
            <w:shd w:val="clear" w:color="auto" w:fill="auto"/>
            <w:noWrap w:val="0"/>
            <w:vAlign w:val="top"/>
          </w:tcPr>
          <w:p w14:paraId="24C57236">
            <w:pPr>
              <w:pStyle w:val="52"/>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2"/>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2"/>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4"/>
        <w:numPr>
          <w:ilvl w:val="1"/>
          <w:numId w:val="2"/>
        </w:numPr>
        <w:tabs>
          <w:tab w:val="left" w:pos="1110"/>
        </w:tabs>
        <w:spacing w:line="360" w:lineRule="auto"/>
        <w:rPr>
          <w:sz w:val="21"/>
          <w:szCs w:val="21"/>
        </w:rPr>
      </w:pPr>
      <w:bookmarkStart w:id="45" w:name="_Toc28590"/>
      <w:r>
        <w:rPr>
          <w:sz w:val="21"/>
          <w:szCs w:val="21"/>
        </w:rPr>
        <w:t>付款方式和发票开具方式</w:t>
      </w:r>
      <w:bookmarkEnd w:id="45"/>
    </w:p>
    <w:p w14:paraId="66792B47">
      <w:pPr>
        <w:spacing w:line="360" w:lineRule="auto"/>
        <w:ind w:firstLine="420" w:firstLineChars="200"/>
        <w:jc w:val="left"/>
        <w:rPr>
          <w:color w:val="auto"/>
          <w:sz w:val="21"/>
          <w:szCs w:val="21"/>
        </w:rPr>
      </w:pPr>
      <w:r>
        <w:rPr>
          <w:color w:val="auto"/>
          <w:sz w:val="21"/>
          <w:szCs w:val="21"/>
        </w:rPr>
        <w:t>付款方式</w:t>
      </w:r>
      <w:r>
        <w:rPr>
          <w:rFonts w:ascii="宋体" w:hAnsi="宋体" w:eastAsia="宋体" w:cs="宋体"/>
          <w:color w:val="auto"/>
          <w:sz w:val="21"/>
          <w:szCs w:val="21"/>
          <w:lang w:val="zh-CN" w:eastAsia="zh-CN" w:bidi="zh-CN"/>
        </w:rPr>
        <w:t>：</w:t>
      </w:r>
      <w:r>
        <w:rPr>
          <w:rFonts w:hint="eastAsia" w:ascii="宋体" w:hAnsi="宋体" w:eastAsia="宋体" w:cs="宋体"/>
          <w:color w:val="auto"/>
          <w:sz w:val="22"/>
          <w:szCs w:val="22"/>
          <w:u w:val="single" w:color="auto"/>
          <w:lang w:val="en-US" w:eastAsia="zh-CN" w:bidi="ar-SA"/>
        </w:rPr>
        <w:t>服务结束经采购人验收合格后，一次性付清</w:t>
      </w:r>
      <w:r>
        <w:rPr>
          <w:rFonts w:hint="eastAsia" w:ascii="宋体" w:hAnsi="宋体" w:eastAsia="宋体" w:cs="宋体"/>
          <w:b w:val="0"/>
          <w:color w:val="auto"/>
          <w:sz w:val="24"/>
          <w:szCs w:val="24"/>
          <w:highlight w:val="none"/>
        </w:rPr>
        <w:t>。</w:t>
      </w:r>
    </w:p>
    <w:p w14:paraId="77C13E51">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发票开具方式：</w:t>
      </w:r>
      <w:r>
        <w:rPr>
          <w:color w:val="auto"/>
          <w:sz w:val="21"/>
          <w:szCs w:val="21"/>
          <w:u w:val="single"/>
        </w:rPr>
        <w:t xml:space="preserve"> </w:t>
      </w:r>
      <w:r>
        <w:rPr>
          <w:color w:val="auto"/>
          <w:sz w:val="21"/>
          <w:szCs w:val="21"/>
          <w:u w:val="single"/>
        </w:rPr>
        <w:tab/>
      </w:r>
      <w:r>
        <w:rPr>
          <w:color w:val="auto"/>
          <w:sz w:val="21"/>
          <w:szCs w:val="21"/>
        </w:rPr>
        <w:t>。</w:t>
      </w:r>
    </w:p>
    <w:p w14:paraId="54D1075A">
      <w:pPr>
        <w:pStyle w:val="4"/>
        <w:numPr>
          <w:ilvl w:val="1"/>
          <w:numId w:val="2"/>
        </w:numPr>
        <w:tabs>
          <w:tab w:val="left" w:pos="1110"/>
        </w:tabs>
        <w:spacing w:before="104" w:line="360" w:lineRule="auto"/>
        <w:rPr>
          <w:color w:val="auto"/>
          <w:sz w:val="21"/>
          <w:szCs w:val="21"/>
        </w:rPr>
      </w:pPr>
      <w:bookmarkStart w:id="46" w:name="_Toc24892"/>
      <w:r>
        <w:rPr>
          <w:color w:val="auto"/>
          <w:sz w:val="21"/>
          <w:szCs w:val="21"/>
        </w:rPr>
        <w:t>服务期限、地点和方式</w:t>
      </w:r>
      <w:bookmarkEnd w:id="46"/>
    </w:p>
    <w:p w14:paraId="2DB73264">
      <w:pPr>
        <w:pStyle w:val="45"/>
        <w:numPr>
          <w:ilvl w:val="0"/>
          <w:numId w:val="0"/>
        </w:numPr>
        <w:tabs>
          <w:tab w:val="left" w:pos="1269"/>
          <w:tab w:val="left" w:pos="7622"/>
        </w:tabs>
        <w:spacing w:before="160" w:line="360" w:lineRule="auto"/>
        <w:ind w:leftChars="200"/>
        <w:rPr>
          <w:color w:val="auto"/>
          <w:sz w:val="21"/>
          <w:szCs w:val="21"/>
        </w:rPr>
      </w:pPr>
      <w:r>
        <w:rPr>
          <w:rFonts w:hint="eastAsia"/>
          <w:color w:val="auto"/>
          <w:sz w:val="21"/>
          <w:szCs w:val="21"/>
          <w:lang w:val="en-US" w:eastAsia="zh-CN"/>
        </w:rPr>
        <w:t>服务期限</w:t>
      </w:r>
      <w:r>
        <w:rPr>
          <w:color w:val="auto"/>
          <w:sz w:val="21"/>
          <w:szCs w:val="21"/>
        </w:rPr>
        <w:t>：</w:t>
      </w:r>
      <w:r>
        <w:rPr>
          <w:rFonts w:hint="eastAsia" w:ascii="宋体" w:hAnsi="宋体" w:eastAsia="宋体" w:cs="宋体"/>
          <w:color w:val="auto"/>
          <w:sz w:val="22"/>
          <w:szCs w:val="22"/>
          <w:u w:val="single" w:color="auto"/>
          <w:lang w:val="en-US" w:eastAsia="zh-CN" w:bidi="ar-SA"/>
        </w:rPr>
        <w:t>自合同签订之日起20个工作日内完成全部服务</w:t>
      </w:r>
      <w:r>
        <w:rPr>
          <w:color w:val="auto"/>
          <w:sz w:val="21"/>
          <w:szCs w:val="21"/>
        </w:rPr>
        <w:t>；</w:t>
      </w:r>
    </w:p>
    <w:p w14:paraId="7515E475">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服务地点：</w:t>
      </w:r>
      <w:r>
        <w:rPr>
          <w:rFonts w:hint="eastAsia" w:ascii="宋体" w:hAnsi="宋体" w:eastAsia="宋体" w:cs="宋体"/>
          <w:color w:val="auto"/>
          <w:sz w:val="22"/>
          <w:szCs w:val="22"/>
          <w:u w:val="single" w:color="auto"/>
          <w:lang w:val="en-US" w:eastAsia="zh-CN" w:bidi="ar-SA"/>
        </w:rPr>
        <w:t>采购人指定地点；</w:t>
      </w:r>
    </w:p>
    <w:p w14:paraId="49778CF1">
      <w:pPr>
        <w:pStyle w:val="45"/>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2"/>
        </w:numPr>
        <w:tabs>
          <w:tab w:val="left" w:pos="1110"/>
        </w:tabs>
        <w:spacing w:before="161" w:line="360" w:lineRule="auto"/>
        <w:jc w:val="both"/>
        <w:rPr>
          <w:sz w:val="21"/>
          <w:szCs w:val="21"/>
        </w:rPr>
      </w:pPr>
      <w:bookmarkStart w:id="47" w:name="_Toc12564"/>
      <w:r>
        <w:rPr>
          <w:sz w:val="21"/>
          <w:szCs w:val="21"/>
        </w:rPr>
        <w:t>违约责任</w:t>
      </w:r>
      <w:bookmarkEnd w:id="47"/>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2"/>
        </w:numPr>
        <w:tabs>
          <w:tab w:val="left" w:pos="1110"/>
        </w:tabs>
        <w:spacing w:before="160" w:line="360" w:lineRule="auto"/>
        <w:rPr>
          <w:sz w:val="21"/>
          <w:szCs w:val="21"/>
        </w:rPr>
      </w:pPr>
      <w:bookmarkStart w:id="48" w:name="_Toc25587"/>
      <w:r>
        <w:rPr>
          <w:sz w:val="21"/>
          <w:szCs w:val="21"/>
        </w:rPr>
        <w:t>合同争议的解决</w:t>
      </w:r>
      <w:bookmarkEnd w:id="48"/>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2"/>
        </w:numPr>
        <w:tabs>
          <w:tab w:val="left" w:pos="1110"/>
        </w:tabs>
        <w:spacing w:before="160" w:line="360" w:lineRule="auto"/>
        <w:rPr>
          <w:sz w:val="21"/>
          <w:szCs w:val="21"/>
        </w:rPr>
      </w:pPr>
      <w:bookmarkStart w:id="49" w:name="_Toc29780"/>
      <w:r>
        <w:rPr>
          <w:sz w:val="21"/>
          <w:szCs w:val="21"/>
        </w:rPr>
        <w:t>合同生效</w:t>
      </w:r>
      <w:bookmarkEnd w:id="49"/>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50" w:name="_Toc22440"/>
      <w:r>
        <w:rPr>
          <w:rFonts w:hint="eastAsia" w:ascii="方正宋黑简体" w:hAnsi="宋体" w:eastAsia="方正宋黑简体" w:cs="黑体"/>
          <w:b/>
          <w:bCs/>
          <w:sz w:val="48"/>
          <w:szCs w:val="48"/>
        </w:rPr>
        <w:t>第二章  报价文件</w:t>
      </w:r>
      <w:bookmarkEnd w:id="39"/>
      <w:bookmarkEnd w:id="50"/>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51" w:name="_Toc466549693"/>
    </w:p>
    <w:p w14:paraId="79ECE926">
      <w:pPr>
        <w:spacing w:line="420" w:lineRule="exact"/>
        <w:jc w:val="center"/>
        <w:outlineLvl w:val="1"/>
        <w:rPr>
          <w:rFonts w:ascii="方正宋黑简体" w:hAnsi="宋体" w:eastAsia="方正宋黑简体" w:cs="黑体"/>
          <w:b/>
          <w:bCs/>
          <w:sz w:val="32"/>
          <w:szCs w:val="32"/>
        </w:rPr>
      </w:pPr>
      <w:bookmarkStart w:id="52" w:name="_Toc498"/>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51"/>
      <w:bookmarkEnd w:id="52"/>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53" w:name="_Toc4402"/>
      <w:bookmarkStart w:id="54" w:name="_Toc466549694"/>
      <w:r>
        <w:rPr>
          <w:rFonts w:hint="eastAsia" w:ascii="方正宋黑简体" w:hAnsi="宋体" w:eastAsia="方正宋黑简体" w:cs="黑体"/>
          <w:b/>
          <w:bCs/>
          <w:sz w:val="32"/>
          <w:szCs w:val="32"/>
        </w:rPr>
        <w:t>二、报价函格式</w:t>
      </w:r>
      <w:bookmarkEnd w:id="53"/>
      <w:bookmarkEnd w:id="54"/>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u w:val="none"/>
          <w:lang w:val="en-US" w:eastAsia="zh-CN"/>
        </w:rPr>
        <w:t>项目负责人：</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 xml:space="preserve">               </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55" w:name="_Toc22600"/>
      <w:bookmarkStart w:id="56"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55"/>
      <w:bookmarkEnd w:id="56"/>
    </w:p>
    <w:p w14:paraId="2B7D9F27">
      <w:pPr>
        <w:spacing w:line="360" w:lineRule="auto"/>
        <w:ind w:firstLine="560" w:firstLineChars="200"/>
        <w:rPr>
          <w:rFonts w:hint="eastAsia" w:ascii="仿宋" w:hAnsi="仿宋" w:eastAsia="仿宋" w:cs="Arial"/>
          <w:sz w:val="28"/>
          <w:szCs w:val="28"/>
        </w:rPr>
      </w:pPr>
      <w:bookmarkStart w:id="57"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57"/>
    </w:p>
    <w:p w14:paraId="4F259EFB">
      <w:pPr>
        <w:pStyle w:val="8"/>
        <w:numPr>
          <w:ilvl w:val="0"/>
          <w:numId w:val="0"/>
        </w:numPr>
        <w:rPr>
          <w:rFonts w:hint="default"/>
          <w:lang w:val="en-US" w:eastAsia="zh-CN"/>
        </w:rPr>
      </w:pPr>
    </w:p>
    <w:p w14:paraId="34A48CF9">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58" w:name="_Toc1782"/>
      <w:r>
        <w:rPr>
          <w:rFonts w:hint="eastAsia" w:ascii="宋体" w:hAnsi="宋体" w:eastAsia="宋体" w:cs="宋体"/>
          <w:sz w:val="32"/>
          <w:szCs w:val="32"/>
          <w:lang w:val="en-US" w:eastAsia="zh-CN"/>
        </w:rPr>
        <w:t>人员配置</w:t>
      </w:r>
      <w:bookmarkEnd w:id="58"/>
    </w:p>
    <w:p w14:paraId="715C4285">
      <w:pPr>
        <w:pStyle w:val="8"/>
        <w:numPr>
          <w:ilvl w:val="0"/>
          <w:numId w:val="0"/>
        </w:numPr>
        <w:rPr>
          <w:rFonts w:hint="default"/>
          <w:lang w:val="en-US" w:eastAsia="zh-CN"/>
        </w:rPr>
      </w:pPr>
    </w:p>
    <w:p w14:paraId="42D0C997">
      <w:pPr>
        <w:pStyle w:val="8"/>
        <w:numPr>
          <w:ilvl w:val="0"/>
          <w:numId w:val="0"/>
        </w:numPr>
        <w:rPr>
          <w:rFonts w:hint="default"/>
          <w:lang w:val="en-US" w:eastAsia="zh-CN"/>
        </w:rPr>
      </w:pPr>
      <w:r>
        <w:rPr>
          <w:rFonts w:hint="eastAsia"/>
          <w:lang w:val="en-US" w:eastAsia="zh-CN"/>
        </w:rPr>
        <w:t>（供应商格式自拟）</w:t>
      </w:r>
    </w:p>
    <w:p w14:paraId="44C48DD2">
      <w:pPr>
        <w:pStyle w:val="8"/>
        <w:numPr>
          <w:ilvl w:val="0"/>
          <w:numId w:val="0"/>
        </w:numPr>
        <w:rPr>
          <w:rFonts w:hint="default"/>
          <w:lang w:val="en-US" w:eastAsia="zh-CN"/>
        </w:rPr>
      </w:pPr>
    </w:p>
    <w:p w14:paraId="05B9476A">
      <w:pPr>
        <w:pStyle w:val="8"/>
        <w:numPr>
          <w:ilvl w:val="0"/>
          <w:numId w:val="0"/>
        </w:numPr>
        <w:rPr>
          <w:rFonts w:hint="default"/>
          <w:lang w:val="en-US" w:eastAsia="zh-CN"/>
        </w:rPr>
      </w:pPr>
    </w:p>
    <w:p w14:paraId="3A114513">
      <w:pPr>
        <w:pStyle w:val="8"/>
        <w:numPr>
          <w:ilvl w:val="0"/>
          <w:numId w:val="0"/>
        </w:numPr>
        <w:rPr>
          <w:rFonts w:hint="default"/>
          <w:lang w:val="en-US" w:eastAsia="zh-CN"/>
        </w:rPr>
      </w:pPr>
    </w:p>
    <w:p w14:paraId="74C25424">
      <w:pPr>
        <w:pStyle w:val="8"/>
        <w:numPr>
          <w:ilvl w:val="0"/>
          <w:numId w:val="0"/>
        </w:numPr>
        <w:rPr>
          <w:rFonts w:hint="default"/>
          <w:lang w:val="en-US" w:eastAsia="zh-CN"/>
        </w:rPr>
      </w:pPr>
    </w:p>
    <w:p w14:paraId="2662B1FD">
      <w:pPr>
        <w:pStyle w:val="8"/>
        <w:numPr>
          <w:ilvl w:val="0"/>
          <w:numId w:val="0"/>
        </w:numPr>
        <w:rPr>
          <w:rFonts w:hint="default"/>
          <w:lang w:val="en-US" w:eastAsia="zh-CN"/>
        </w:rPr>
      </w:pPr>
    </w:p>
    <w:p w14:paraId="1AA7EB6B">
      <w:pPr>
        <w:pStyle w:val="8"/>
        <w:numPr>
          <w:ilvl w:val="0"/>
          <w:numId w:val="0"/>
        </w:numPr>
        <w:rPr>
          <w:rFonts w:hint="default"/>
          <w:lang w:val="en-US" w:eastAsia="zh-CN"/>
        </w:rPr>
      </w:pPr>
    </w:p>
    <w:p w14:paraId="5492C365">
      <w:pPr>
        <w:pStyle w:val="8"/>
        <w:numPr>
          <w:ilvl w:val="0"/>
          <w:numId w:val="0"/>
        </w:numPr>
        <w:rPr>
          <w:rFonts w:hint="default"/>
          <w:lang w:val="en-US" w:eastAsia="zh-CN"/>
        </w:rPr>
      </w:pPr>
    </w:p>
    <w:p w14:paraId="2BDDB2AE">
      <w:pPr>
        <w:pStyle w:val="8"/>
        <w:numPr>
          <w:ilvl w:val="0"/>
          <w:numId w:val="0"/>
        </w:numPr>
        <w:rPr>
          <w:rFonts w:hint="default"/>
          <w:lang w:val="en-US" w:eastAsia="zh-CN"/>
        </w:rPr>
      </w:pPr>
    </w:p>
    <w:p w14:paraId="0998C475">
      <w:pPr>
        <w:pStyle w:val="8"/>
        <w:numPr>
          <w:ilvl w:val="0"/>
          <w:numId w:val="0"/>
        </w:numPr>
        <w:rPr>
          <w:rFonts w:hint="default"/>
          <w:lang w:val="en-US" w:eastAsia="zh-CN"/>
        </w:rPr>
      </w:pPr>
    </w:p>
    <w:p w14:paraId="130B9DB6">
      <w:pPr>
        <w:pStyle w:val="8"/>
        <w:numPr>
          <w:ilvl w:val="0"/>
          <w:numId w:val="0"/>
        </w:numPr>
        <w:rPr>
          <w:rFonts w:hint="default"/>
          <w:lang w:val="en-US" w:eastAsia="zh-CN"/>
        </w:rPr>
      </w:pPr>
    </w:p>
    <w:p w14:paraId="6D93A0A3">
      <w:pPr>
        <w:pStyle w:val="8"/>
        <w:numPr>
          <w:ilvl w:val="0"/>
          <w:numId w:val="0"/>
        </w:numPr>
        <w:rPr>
          <w:rFonts w:hint="default"/>
          <w:lang w:val="en-US" w:eastAsia="zh-CN"/>
        </w:rPr>
      </w:pPr>
    </w:p>
    <w:p w14:paraId="2D90889A">
      <w:pPr>
        <w:pStyle w:val="8"/>
        <w:numPr>
          <w:ilvl w:val="0"/>
          <w:numId w:val="0"/>
        </w:numPr>
        <w:rPr>
          <w:rFonts w:hint="default"/>
          <w:lang w:val="en-US" w:eastAsia="zh-CN"/>
        </w:rPr>
      </w:pPr>
    </w:p>
    <w:p w14:paraId="166C7297">
      <w:pPr>
        <w:pStyle w:val="8"/>
        <w:numPr>
          <w:ilvl w:val="0"/>
          <w:numId w:val="0"/>
        </w:numPr>
        <w:rPr>
          <w:rFonts w:hint="default"/>
          <w:lang w:val="en-US" w:eastAsia="zh-CN"/>
        </w:rPr>
      </w:pPr>
    </w:p>
    <w:p w14:paraId="2B433534">
      <w:pPr>
        <w:pStyle w:val="8"/>
        <w:numPr>
          <w:ilvl w:val="0"/>
          <w:numId w:val="0"/>
        </w:numPr>
        <w:rPr>
          <w:rFonts w:hint="default"/>
          <w:lang w:val="en-US" w:eastAsia="zh-CN"/>
        </w:rPr>
      </w:pPr>
    </w:p>
    <w:p w14:paraId="26A59382">
      <w:pPr>
        <w:pStyle w:val="8"/>
        <w:numPr>
          <w:ilvl w:val="0"/>
          <w:numId w:val="0"/>
        </w:numPr>
        <w:rPr>
          <w:rFonts w:hint="default"/>
          <w:lang w:val="en-US" w:eastAsia="zh-CN"/>
        </w:rPr>
      </w:pPr>
    </w:p>
    <w:p w14:paraId="306059AC">
      <w:pPr>
        <w:pStyle w:val="8"/>
        <w:numPr>
          <w:ilvl w:val="0"/>
          <w:numId w:val="0"/>
        </w:numPr>
        <w:rPr>
          <w:rFonts w:hint="default"/>
          <w:lang w:val="en-US" w:eastAsia="zh-CN"/>
        </w:rPr>
      </w:pPr>
    </w:p>
    <w:p w14:paraId="0D9E3500">
      <w:pPr>
        <w:pStyle w:val="8"/>
        <w:numPr>
          <w:ilvl w:val="0"/>
          <w:numId w:val="0"/>
        </w:numPr>
        <w:rPr>
          <w:rFonts w:hint="default"/>
          <w:lang w:val="en-US" w:eastAsia="zh-CN"/>
        </w:rPr>
      </w:pPr>
    </w:p>
    <w:p w14:paraId="211EEA9A">
      <w:pPr>
        <w:pStyle w:val="8"/>
        <w:numPr>
          <w:ilvl w:val="0"/>
          <w:numId w:val="0"/>
        </w:numPr>
        <w:rPr>
          <w:rFonts w:hint="default"/>
          <w:lang w:val="en-US" w:eastAsia="zh-CN"/>
        </w:rPr>
      </w:pPr>
    </w:p>
    <w:p w14:paraId="17BDA9AE">
      <w:pPr>
        <w:pStyle w:val="8"/>
        <w:numPr>
          <w:ilvl w:val="0"/>
          <w:numId w:val="0"/>
        </w:numPr>
        <w:rPr>
          <w:rFonts w:hint="default"/>
          <w:lang w:val="en-US" w:eastAsia="zh-CN"/>
        </w:rPr>
      </w:pPr>
    </w:p>
    <w:p w14:paraId="5F52231A">
      <w:pPr>
        <w:pStyle w:val="8"/>
        <w:numPr>
          <w:ilvl w:val="0"/>
          <w:numId w:val="0"/>
        </w:numPr>
        <w:rPr>
          <w:rFonts w:hint="default"/>
          <w:lang w:val="en-US" w:eastAsia="zh-CN"/>
        </w:rPr>
      </w:pPr>
    </w:p>
    <w:p w14:paraId="6EEFC39A">
      <w:pPr>
        <w:pStyle w:val="8"/>
        <w:numPr>
          <w:ilvl w:val="0"/>
          <w:numId w:val="0"/>
        </w:numPr>
        <w:rPr>
          <w:rFonts w:hint="default"/>
          <w:lang w:val="en-US" w:eastAsia="zh-CN"/>
        </w:rPr>
      </w:pPr>
    </w:p>
    <w:p w14:paraId="73B3AC2B">
      <w:pPr>
        <w:pStyle w:val="8"/>
        <w:numPr>
          <w:ilvl w:val="0"/>
          <w:numId w:val="0"/>
        </w:numPr>
        <w:rPr>
          <w:rFonts w:hint="default"/>
          <w:lang w:val="en-US" w:eastAsia="zh-CN"/>
        </w:rPr>
      </w:pPr>
    </w:p>
    <w:p w14:paraId="09B5B453">
      <w:pPr>
        <w:pStyle w:val="8"/>
        <w:numPr>
          <w:ilvl w:val="0"/>
          <w:numId w:val="0"/>
        </w:numPr>
        <w:rPr>
          <w:rFonts w:hint="default"/>
          <w:lang w:val="en-US" w:eastAsia="zh-CN"/>
        </w:rPr>
      </w:pPr>
    </w:p>
    <w:p w14:paraId="3539D5A4">
      <w:pPr>
        <w:pStyle w:val="8"/>
        <w:numPr>
          <w:ilvl w:val="0"/>
          <w:numId w:val="0"/>
        </w:numPr>
        <w:rPr>
          <w:rFonts w:hint="default"/>
          <w:lang w:val="en-US" w:eastAsia="zh-CN"/>
        </w:rPr>
      </w:pPr>
    </w:p>
    <w:p w14:paraId="75CB27B3">
      <w:pPr>
        <w:pStyle w:val="8"/>
        <w:numPr>
          <w:ilvl w:val="0"/>
          <w:numId w:val="0"/>
        </w:numPr>
        <w:rPr>
          <w:rFonts w:hint="default"/>
          <w:lang w:val="en-US" w:eastAsia="zh-CN"/>
        </w:rPr>
      </w:pPr>
    </w:p>
    <w:p w14:paraId="3686B32D">
      <w:pPr>
        <w:pStyle w:val="8"/>
        <w:numPr>
          <w:ilvl w:val="0"/>
          <w:numId w:val="0"/>
        </w:numPr>
        <w:rPr>
          <w:rFonts w:hint="default"/>
          <w:lang w:val="en-US" w:eastAsia="zh-CN"/>
        </w:rPr>
      </w:pPr>
    </w:p>
    <w:p w14:paraId="03D82E8D">
      <w:pPr>
        <w:pStyle w:val="8"/>
        <w:numPr>
          <w:ilvl w:val="0"/>
          <w:numId w:val="0"/>
        </w:numPr>
        <w:rPr>
          <w:rFonts w:hint="default"/>
          <w:lang w:val="en-US" w:eastAsia="zh-CN"/>
        </w:rPr>
      </w:pPr>
    </w:p>
    <w:p w14:paraId="13103A52">
      <w:pPr>
        <w:pStyle w:val="8"/>
        <w:numPr>
          <w:ilvl w:val="0"/>
          <w:numId w:val="0"/>
        </w:numPr>
        <w:rPr>
          <w:rFonts w:hint="default"/>
          <w:lang w:val="en-US" w:eastAsia="zh-CN"/>
        </w:rPr>
      </w:pPr>
    </w:p>
    <w:p w14:paraId="2265C735">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59" w:name="_Toc2000"/>
      <w:r>
        <w:rPr>
          <w:rFonts w:hint="eastAsia" w:ascii="宋体" w:hAnsi="宋体" w:eastAsia="宋体" w:cs="宋体"/>
          <w:sz w:val="32"/>
          <w:szCs w:val="32"/>
          <w:lang w:val="en-US" w:eastAsia="zh-CN"/>
        </w:rPr>
        <w:t>服务方案</w:t>
      </w:r>
      <w:bookmarkEnd w:id="59"/>
    </w:p>
    <w:p w14:paraId="49926633">
      <w:pPr>
        <w:pStyle w:val="8"/>
        <w:numPr>
          <w:ilvl w:val="0"/>
          <w:numId w:val="0"/>
        </w:numPr>
        <w:rPr>
          <w:rFonts w:hint="default"/>
          <w:lang w:val="en-US" w:eastAsia="zh-CN"/>
        </w:rPr>
      </w:pPr>
      <w:r>
        <w:rPr>
          <w:rFonts w:hint="eastAsia"/>
          <w:lang w:val="en-US" w:eastAsia="zh-CN"/>
        </w:rPr>
        <w:t>（供应商格式自拟）</w:t>
      </w:r>
    </w:p>
    <w:p w14:paraId="464D09AD">
      <w:pPr>
        <w:pStyle w:val="8"/>
        <w:numPr>
          <w:ilvl w:val="0"/>
          <w:numId w:val="0"/>
        </w:numPr>
        <w:rPr>
          <w:rFonts w:hint="default"/>
          <w:lang w:val="en-US" w:eastAsia="zh-CN"/>
        </w:rPr>
      </w:pPr>
    </w:p>
    <w:p w14:paraId="1F479D74">
      <w:pPr>
        <w:pStyle w:val="8"/>
        <w:numPr>
          <w:ilvl w:val="0"/>
          <w:numId w:val="0"/>
        </w:numPr>
        <w:rPr>
          <w:rFonts w:hint="default"/>
          <w:lang w:val="en-US" w:eastAsia="zh-CN"/>
        </w:rPr>
      </w:pPr>
    </w:p>
    <w:p w14:paraId="325FE52B">
      <w:pPr>
        <w:pStyle w:val="8"/>
        <w:numPr>
          <w:ilvl w:val="0"/>
          <w:numId w:val="0"/>
        </w:numPr>
        <w:rPr>
          <w:rFonts w:hint="default"/>
          <w:lang w:val="en-US" w:eastAsia="zh-CN"/>
        </w:rPr>
      </w:pPr>
    </w:p>
    <w:p w14:paraId="6B820D3B">
      <w:pPr>
        <w:pStyle w:val="8"/>
        <w:numPr>
          <w:ilvl w:val="0"/>
          <w:numId w:val="0"/>
        </w:numPr>
        <w:rPr>
          <w:rFonts w:hint="default"/>
          <w:lang w:val="en-US" w:eastAsia="zh-CN"/>
        </w:rPr>
      </w:pPr>
    </w:p>
    <w:p w14:paraId="1879F33D">
      <w:pPr>
        <w:pStyle w:val="8"/>
        <w:numPr>
          <w:ilvl w:val="0"/>
          <w:numId w:val="0"/>
        </w:numPr>
        <w:rPr>
          <w:rFonts w:hint="default"/>
          <w:lang w:val="en-US" w:eastAsia="zh-CN"/>
        </w:rPr>
      </w:pPr>
    </w:p>
    <w:p w14:paraId="70F4DC7E">
      <w:pPr>
        <w:pStyle w:val="8"/>
        <w:numPr>
          <w:ilvl w:val="0"/>
          <w:numId w:val="0"/>
        </w:numPr>
        <w:rPr>
          <w:rFonts w:hint="default"/>
          <w:lang w:val="en-US" w:eastAsia="zh-CN"/>
        </w:rPr>
      </w:pPr>
    </w:p>
    <w:p w14:paraId="22FF068B">
      <w:pPr>
        <w:pStyle w:val="8"/>
        <w:numPr>
          <w:ilvl w:val="0"/>
          <w:numId w:val="0"/>
        </w:numPr>
        <w:rPr>
          <w:rFonts w:hint="default"/>
          <w:lang w:val="en-US" w:eastAsia="zh-CN"/>
        </w:rPr>
      </w:pPr>
    </w:p>
    <w:p w14:paraId="10C4DCF0">
      <w:pPr>
        <w:pStyle w:val="8"/>
        <w:numPr>
          <w:ilvl w:val="0"/>
          <w:numId w:val="0"/>
        </w:numPr>
        <w:rPr>
          <w:rFonts w:hint="default"/>
          <w:lang w:val="en-US" w:eastAsia="zh-CN"/>
        </w:rPr>
      </w:pPr>
    </w:p>
    <w:p w14:paraId="00E8461D">
      <w:pPr>
        <w:pStyle w:val="8"/>
        <w:numPr>
          <w:ilvl w:val="0"/>
          <w:numId w:val="0"/>
        </w:numPr>
        <w:rPr>
          <w:rFonts w:hint="default"/>
          <w:lang w:val="en-US" w:eastAsia="zh-CN"/>
        </w:rPr>
      </w:pPr>
    </w:p>
    <w:p w14:paraId="4667EDFF">
      <w:pPr>
        <w:pStyle w:val="8"/>
        <w:numPr>
          <w:ilvl w:val="0"/>
          <w:numId w:val="0"/>
        </w:numPr>
        <w:rPr>
          <w:rFonts w:hint="default"/>
          <w:lang w:val="en-US" w:eastAsia="zh-CN"/>
        </w:rPr>
      </w:pPr>
    </w:p>
    <w:p w14:paraId="0D4B1BAA">
      <w:pPr>
        <w:pStyle w:val="8"/>
        <w:numPr>
          <w:ilvl w:val="0"/>
          <w:numId w:val="0"/>
        </w:numPr>
        <w:rPr>
          <w:rFonts w:hint="default"/>
          <w:lang w:val="en-US" w:eastAsia="zh-CN"/>
        </w:rPr>
      </w:pPr>
    </w:p>
    <w:p w14:paraId="4F02D534">
      <w:pPr>
        <w:pStyle w:val="8"/>
        <w:numPr>
          <w:ilvl w:val="0"/>
          <w:numId w:val="0"/>
        </w:numPr>
        <w:rPr>
          <w:rFonts w:hint="default"/>
          <w:lang w:val="en-US" w:eastAsia="zh-CN"/>
        </w:rPr>
      </w:pPr>
    </w:p>
    <w:p w14:paraId="5B73D30C">
      <w:pPr>
        <w:pStyle w:val="8"/>
        <w:numPr>
          <w:ilvl w:val="0"/>
          <w:numId w:val="0"/>
        </w:numPr>
        <w:rPr>
          <w:rFonts w:hint="default"/>
          <w:lang w:val="en-US" w:eastAsia="zh-CN"/>
        </w:rPr>
      </w:pPr>
    </w:p>
    <w:p w14:paraId="36DE18A4">
      <w:pPr>
        <w:pStyle w:val="8"/>
        <w:numPr>
          <w:ilvl w:val="0"/>
          <w:numId w:val="0"/>
        </w:numPr>
        <w:rPr>
          <w:rFonts w:hint="default"/>
          <w:lang w:val="en-US" w:eastAsia="zh-CN"/>
        </w:rPr>
      </w:pPr>
    </w:p>
    <w:p w14:paraId="5C9F4A52">
      <w:pPr>
        <w:pStyle w:val="8"/>
        <w:numPr>
          <w:ilvl w:val="0"/>
          <w:numId w:val="0"/>
        </w:numPr>
        <w:rPr>
          <w:rFonts w:hint="default"/>
          <w:lang w:val="en-US" w:eastAsia="zh-CN"/>
        </w:rPr>
      </w:pPr>
    </w:p>
    <w:p w14:paraId="1CB218D9">
      <w:pPr>
        <w:pStyle w:val="8"/>
        <w:numPr>
          <w:ilvl w:val="0"/>
          <w:numId w:val="0"/>
        </w:numPr>
        <w:rPr>
          <w:rFonts w:hint="default"/>
          <w:lang w:val="en-US" w:eastAsia="zh-CN"/>
        </w:rPr>
      </w:pPr>
    </w:p>
    <w:p w14:paraId="193916DD">
      <w:pPr>
        <w:pStyle w:val="8"/>
        <w:numPr>
          <w:ilvl w:val="0"/>
          <w:numId w:val="0"/>
        </w:numPr>
        <w:rPr>
          <w:rFonts w:hint="default"/>
          <w:lang w:val="en-US" w:eastAsia="zh-CN"/>
        </w:rPr>
      </w:pPr>
    </w:p>
    <w:p w14:paraId="511E953A">
      <w:pPr>
        <w:pStyle w:val="8"/>
        <w:numPr>
          <w:ilvl w:val="0"/>
          <w:numId w:val="0"/>
        </w:numPr>
        <w:rPr>
          <w:rFonts w:hint="default"/>
          <w:lang w:val="en-US" w:eastAsia="zh-CN"/>
        </w:rPr>
      </w:pPr>
    </w:p>
    <w:p w14:paraId="29CED102">
      <w:pPr>
        <w:pStyle w:val="8"/>
        <w:numPr>
          <w:ilvl w:val="0"/>
          <w:numId w:val="0"/>
        </w:numPr>
        <w:rPr>
          <w:rFonts w:hint="default"/>
          <w:lang w:val="en-US" w:eastAsia="zh-CN"/>
        </w:rPr>
      </w:pPr>
    </w:p>
    <w:p w14:paraId="645E593D">
      <w:pPr>
        <w:pStyle w:val="8"/>
        <w:numPr>
          <w:ilvl w:val="0"/>
          <w:numId w:val="0"/>
        </w:numPr>
        <w:rPr>
          <w:rFonts w:hint="default"/>
          <w:lang w:val="en-US" w:eastAsia="zh-CN"/>
        </w:rPr>
      </w:pPr>
    </w:p>
    <w:p w14:paraId="702D290A">
      <w:pPr>
        <w:pStyle w:val="8"/>
        <w:numPr>
          <w:ilvl w:val="0"/>
          <w:numId w:val="0"/>
        </w:numPr>
        <w:rPr>
          <w:rFonts w:hint="default"/>
          <w:lang w:val="en-US" w:eastAsia="zh-CN"/>
        </w:rPr>
      </w:pPr>
    </w:p>
    <w:p w14:paraId="5DE63FA2">
      <w:pPr>
        <w:pStyle w:val="8"/>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60"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61" w:name="_Toc21635"/>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60"/>
      <w:bookmarkEnd w:id="61"/>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21"/>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界首市绿博园林绿化有限公司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王先生</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电  话：</w:t>
            </w:r>
            <w:r>
              <w:rPr>
                <w:rFonts w:hint="eastAsia" w:ascii="宋体" w:hAnsi="宋体" w:cs="Arial"/>
                <w:sz w:val="24"/>
                <w:szCs w:val="24"/>
                <w:lang w:eastAsia="zh-CN"/>
              </w:rPr>
              <w:t>18855856621</w:t>
            </w:r>
            <w:r>
              <w:rPr>
                <w:rFonts w:hint="eastAsia" w:ascii="宋体" w:hAnsi="宋体" w:cs="Arial"/>
                <w:sz w:val="24"/>
                <w:szCs w:val="24"/>
                <w:lang w:val="en-US" w:eastAsia="zh-CN"/>
              </w:rPr>
              <w:t xml:space="preserve">  </w:t>
            </w:r>
            <w:r>
              <w:rPr>
                <w:rFonts w:hint="eastAsia" w:ascii="宋体" w:hAnsi="宋体" w:cs="Arial"/>
                <w:sz w:val="24"/>
                <w:szCs w:val="24"/>
              </w:rPr>
              <w:t xml:space="preserve">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bookmarkStart w:id="62" w:name="_GoBack"/>
            <w:bookmarkEnd w:id="62"/>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26</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7</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21</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KSOF98BADBC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8463">
    <w:pPr>
      <w:pStyle w:val="15"/>
      <w:jc w:val="both"/>
    </w:pP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BB1B">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8DC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D8DC7D">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安徽宛鸣工程管理有限公司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A832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49D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2C49D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6F4C3">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06F4C3">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1B28B3"/>
    <w:rsid w:val="01565F5E"/>
    <w:rsid w:val="0159126E"/>
    <w:rsid w:val="01A9205E"/>
    <w:rsid w:val="02647ECA"/>
    <w:rsid w:val="02EB125D"/>
    <w:rsid w:val="04243DD2"/>
    <w:rsid w:val="04A86794"/>
    <w:rsid w:val="04C41D81"/>
    <w:rsid w:val="04E674D6"/>
    <w:rsid w:val="060E0879"/>
    <w:rsid w:val="069B779E"/>
    <w:rsid w:val="06D21D6E"/>
    <w:rsid w:val="073521A4"/>
    <w:rsid w:val="0775005F"/>
    <w:rsid w:val="07D94961"/>
    <w:rsid w:val="07FA3DBD"/>
    <w:rsid w:val="08A977A9"/>
    <w:rsid w:val="09532D47"/>
    <w:rsid w:val="09853B96"/>
    <w:rsid w:val="09B25DA3"/>
    <w:rsid w:val="09BD560E"/>
    <w:rsid w:val="09D63B14"/>
    <w:rsid w:val="0B110C11"/>
    <w:rsid w:val="0B455196"/>
    <w:rsid w:val="0BCC649F"/>
    <w:rsid w:val="0CEC0866"/>
    <w:rsid w:val="0D2412B6"/>
    <w:rsid w:val="0DAE2941"/>
    <w:rsid w:val="0E4D2A06"/>
    <w:rsid w:val="0EDE08AA"/>
    <w:rsid w:val="0EF6634E"/>
    <w:rsid w:val="0F0E2956"/>
    <w:rsid w:val="10F20D97"/>
    <w:rsid w:val="110C1288"/>
    <w:rsid w:val="111E0FFE"/>
    <w:rsid w:val="11E15093"/>
    <w:rsid w:val="120848A5"/>
    <w:rsid w:val="127137AB"/>
    <w:rsid w:val="12907B30"/>
    <w:rsid w:val="135B5893"/>
    <w:rsid w:val="1361501A"/>
    <w:rsid w:val="13B16CE7"/>
    <w:rsid w:val="13BF09F4"/>
    <w:rsid w:val="146819AE"/>
    <w:rsid w:val="147F6DE6"/>
    <w:rsid w:val="15A5046C"/>
    <w:rsid w:val="15C75210"/>
    <w:rsid w:val="168E325B"/>
    <w:rsid w:val="170F26A3"/>
    <w:rsid w:val="173C07D6"/>
    <w:rsid w:val="17CD6433"/>
    <w:rsid w:val="17CE60BA"/>
    <w:rsid w:val="17D73DBB"/>
    <w:rsid w:val="17E5547C"/>
    <w:rsid w:val="182F1EB5"/>
    <w:rsid w:val="184D685F"/>
    <w:rsid w:val="18A673D2"/>
    <w:rsid w:val="18AC27F1"/>
    <w:rsid w:val="19B62313"/>
    <w:rsid w:val="19B968F6"/>
    <w:rsid w:val="19EE47F1"/>
    <w:rsid w:val="1A0617E9"/>
    <w:rsid w:val="1A3D3083"/>
    <w:rsid w:val="1A4E26D4"/>
    <w:rsid w:val="1AA93B96"/>
    <w:rsid w:val="1BC7026D"/>
    <w:rsid w:val="1BFE285A"/>
    <w:rsid w:val="1C0143F1"/>
    <w:rsid w:val="1C4C3F34"/>
    <w:rsid w:val="1C8E664A"/>
    <w:rsid w:val="1CB87339"/>
    <w:rsid w:val="1D9957C6"/>
    <w:rsid w:val="1DBD6DF4"/>
    <w:rsid w:val="1E023943"/>
    <w:rsid w:val="1E2E2B21"/>
    <w:rsid w:val="1F477960"/>
    <w:rsid w:val="1FA65DD9"/>
    <w:rsid w:val="1FAC7F3E"/>
    <w:rsid w:val="206A13ED"/>
    <w:rsid w:val="20BB5506"/>
    <w:rsid w:val="21EA15A1"/>
    <w:rsid w:val="21F91F85"/>
    <w:rsid w:val="22B94012"/>
    <w:rsid w:val="23217FEA"/>
    <w:rsid w:val="23226109"/>
    <w:rsid w:val="23802DCF"/>
    <w:rsid w:val="23B754F8"/>
    <w:rsid w:val="23EA0E2A"/>
    <w:rsid w:val="24253C3D"/>
    <w:rsid w:val="24AA08DA"/>
    <w:rsid w:val="24F230AC"/>
    <w:rsid w:val="25BD5D03"/>
    <w:rsid w:val="265B1230"/>
    <w:rsid w:val="27551185"/>
    <w:rsid w:val="27A331B3"/>
    <w:rsid w:val="281239A8"/>
    <w:rsid w:val="289935D0"/>
    <w:rsid w:val="296F5C2E"/>
    <w:rsid w:val="297F116D"/>
    <w:rsid w:val="29F15C38"/>
    <w:rsid w:val="2AF11DC3"/>
    <w:rsid w:val="2B7D568A"/>
    <w:rsid w:val="2B9F0AFA"/>
    <w:rsid w:val="2BD77336"/>
    <w:rsid w:val="2C137AB2"/>
    <w:rsid w:val="2C6C3710"/>
    <w:rsid w:val="2D4A661B"/>
    <w:rsid w:val="2D6271B8"/>
    <w:rsid w:val="2E1D6FFC"/>
    <w:rsid w:val="2E4028D1"/>
    <w:rsid w:val="2E6D742C"/>
    <w:rsid w:val="30417BED"/>
    <w:rsid w:val="30AE13C0"/>
    <w:rsid w:val="30C3522A"/>
    <w:rsid w:val="326E219C"/>
    <w:rsid w:val="32FB03C8"/>
    <w:rsid w:val="334A24A5"/>
    <w:rsid w:val="341B77F9"/>
    <w:rsid w:val="34E5618B"/>
    <w:rsid w:val="35B93AAE"/>
    <w:rsid w:val="35E03756"/>
    <w:rsid w:val="35E87731"/>
    <w:rsid w:val="35E90367"/>
    <w:rsid w:val="363B7238"/>
    <w:rsid w:val="36697C0F"/>
    <w:rsid w:val="383A5121"/>
    <w:rsid w:val="38EF41B7"/>
    <w:rsid w:val="391E1E7A"/>
    <w:rsid w:val="3A17031A"/>
    <w:rsid w:val="3A612DEC"/>
    <w:rsid w:val="3A663082"/>
    <w:rsid w:val="3ABE0410"/>
    <w:rsid w:val="3B7F1661"/>
    <w:rsid w:val="3C251366"/>
    <w:rsid w:val="3C6D55F2"/>
    <w:rsid w:val="3CDE526C"/>
    <w:rsid w:val="3D3C29A9"/>
    <w:rsid w:val="3DBA42C7"/>
    <w:rsid w:val="3DC94AAA"/>
    <w:rsid w:val="3DCE38F3"/>
    <w:rsid w:val="3E3A37F9"/>
    <w:rsid w:val="3E566F56"/>
    <w:rsid w:val="3E577BFC"/>
    <w:rsid w:val="3E580E80"/>
    <w:rsid w:val="3EA2253E"/>
    <w:rsid w:val="3EC73711"/>
    <w:rsid w:val="3EF91A2E"/>
    <w:rsid w:val="3F065BE0"/>
    <w:rsid w:val="3F0A2B27"/>
    <w:rsid w:val="3F1061F2"/>
    <w:rsid w:val="3FF269A3"/>
    <w:rsid w:val="41144C6D"/>
    <w:rsid w:val="412A1C1A"/>
    <w:rsid w:val="416606A4"/>
    <w:rsid w:val="42195D90"/>
    <w:rsid w:val="4233496A"/>
    <w:rsid w:val="424031B4"/>
    <w:rsid w:val="428F4D97"/>
    <w:rsid w:val="432033BE"/>
    <w:rsid w:val="436040FA"/>
    <w:rsid w:val="43FB1195"/>
    <w:rsid w:val="44103694"/>
    <w:rsid w:val="444F1B53"/>
    <w:rsid w:val="45190A56"/>
    <w:rsid w:val="45950554"/>
    <w:rsid w:val="45AB33AE"/>
    <w:rsid w:val="45BA7E1A"/>
    <w:rsid w:val="45CA0891"/>
    <w:rsid w:val="46696E2A"/>
    <w:rsid w:val="46767799"/>
    <w:rsid w:val="46A768C1"/>
    <w:rsid w:val="46B1432D"/>
    <w:rsid w:val="46C82140"/>
    <w:rsid w:val="470E59CC"/>
    <w:rsid w:val="47835CCA"/>
    <w:rsid w:val="47B23092"/>
    <w:rsid w:val="47EC23EB"/>
    <w:rsid w:val="47F23A8F"/>
    <w:rsid w:val="482F04E2"/>
    <w:rsid w:val="48894AC7"/>
    <w:rsid w:val="48D30E6C"/>
    <w:rsid w:val="48D60B9D"/>
    <w:rsid w:val="4907292A"/>
    <w:rsid w:val="4A0A6CE0"/>
    <w:rsid w:val="4A745010"/>
    <w:rsid w:val="4AB03597"/>
    <w:rsid w:val="4B3C6DDC"/>
    <w:rsid w:val="4BA27F7B"/>
    <w:rsid w:val="4C3419F8"/>
    <w:rsid w:val="4C832FBC"/>
    <w:rsid w:val="4D6E74E2"/>
    <w:rsid w:val="4D9B4A06"/>
    <w:rsid w:val="4E2D35B2"/>
    <w:rsid w:val="4EBD2914"/>
    <w:rsid w:val="4F487B55"/>
    <w:rsid w:val="4F4F7DE9"/>
    <w:rsid w:val="4FB93955"/>
    <w:rsid w:val="4FE775D6"/>
    <w:rsid w:val="50203B81"/>
    <w:rsid w:val="50550E6A"/>
    <w:rsid w:val="512B716F"/>
    <w:rsid w:val="512D35D3"/>
    <w:rsid w:val="51501CA0"/>
    <w:rsid w:val="51541F2B"/>
    <w:rsid w:val="518A40F8"/>
    <w:rsid w:val="518F5D7E"/>
    <w:rsid w:val="526130AB"/>
    <w:rsid w:val="528A2602"/>
    <w:rsid w:val="534B434D"/>
    <w:rsid w:val="53C953AC"/>
    <w:rsid w:val="542E2CF2"/>
    <w:rsid w:val="54A32188"/>
    <w:rsid w:val="54E65AEA"/>
    <w:rsid w:val="54F2623D"/>
    <w:rsid w:val="550F21D8"/>
    <w:rsid w:val="55C227D4"/>
    <w:rsid w:val="55E3481E"/>
    <w:rsid w:val="55EC6C28"/>
    <w:rsid w:val="55ED5D4E"/>
    <w:rsid w:val="55F90049"/>
    <w:rsid w:val="562C1C22"/>
    <w:rsid w:val="56372587"/>
    <w:rsid w:val="56FF2E93"/>
    <w:rsid w:val="579015AD"/>
    <w:rsid w:val="58032FB6"/>
    <w:rsid w:val="58C566EC"/>
    <w:rsid w:val="594352B9"/>
    <w:rsid w:val="59CD6226"/>
    <w:rsid w:val="5A1A1729"/>
    <w:rsid w:val="5B31622B"/>
    <w:rsid w:val="5B321CD2"/>
    <w:rsid w:val="5C8A2CB5"/>
    <w:rsid w:val="5CA27DA8"/>
    <w:rsid w:val="5CD31049"/>
    <w:rsid w:val="5D535CE6"/>
    <w:rsid w:val="5DF64FF0"/>
    <w:rsid w:val="5E084D23"/>
    <w:rsid w:val="5E7720E9"/>
    <w:rsid w:val="5E80006A"/>
    <w:rsid w:val="5F0B6879"/>
    <w:rsid w:val="5F40071A"/>
    <w:rsid w:val="5F633D3B"/>
    <w:rsid w:val="5F6856A8"/>
    <w:rsid w:val="5FEB47C4"/>
    <w:rsid w:val="61747837"/>
    <w:rsid w:val="61764154"/>
    <w:rsid w:val="619721D7"/>
    <w:rsid w:val="627F664C"/>
    <w:rsid w:val="62970A1B"/>
    <w:rsid w:val="630F0F84"/>
    <w:rsid w:val="63352DDF"/>
    <w:rsid w:val="636D754C"/>
    <w:rsid w:val="63C82F59"/>
    <w:rsid w:val="64202124"/>
    <w:rsid w:val="64A25A86"/>
    <w:rsid w:val="65504BAC"/>
    <w:rsid w:val="65901216"/>
    <w:rsid w:val="65961925"/>
    <w:rsid w:val="65E9543A"/>
    <w:rsid w:val="6698278F"/>
    <w:rsid w:val="671464E6"/>
    <w:rsid w:val="675537F1"/>
    <w:rsid w:val="676621DD"/>
    <w:rsid w:val="69004F74"/>
    <w:rsid w:val="69624656"/>
    <w:rsid w:val="69C73CE4"/>
    <w:rsid w:val="6A276531"/>
    <w:rsid w:val="6AFD758E"/>
    <w:rsid w:val="6B9B5702"/>
    <w:rsid w:val="6BB9765C"/>
    <w:rsid w:val="6C467142"/>
    <w:rsid w:val="6C8639E2"/>
    <w:rsid w:val="6CA964B9"/>
    <w:rsid w:val="6D277756"/>
    <w:rsid w:val="6DAA1953"/>
    <w:rsid w:val="6E1454E9"/>
    <w:rsid w:val="6EF150E7"/>
    <w:rsid w:val="6F220DD6"/>
    <w:rsid w:val="6F9A3937"/>
    <w:rsid w:val="6FF46EB5"/>
    <w:rsid w:val="6FF7700F"/>
    <w:rsid w:val="703E2CC3"/>
    <w:rsid w:val="706F04D8"/>
    <w:rsid w:val="71211F2C"/>
    <w:rsid w:val="714A6D0C"/>
    <w:rsid w:val="71A17830"/>
    <w:rsid w:val="71CD778A"/>
    <w:rsid w:val="72872262"/>
    <w:rsid w:val="72F03A9F"/>
    <w:rsid w:val="73334198"/>
    <w:rsid w:val="73F3753D"/>
    <w:rsid w:val="7406514C"/>
    <w:rsid w:val="747B5C09"/>
    <w:rsid w:val="74911482"/>
    <w:rsid w:val="7510616E"/>
    <w:rsid w:val="752009CB"/>
    <w:rsid w:val="752516D6"/>
    <w:rsid w:val="75322959"/>
    <w:rsid w:val="75640639"/>
    <w:rsid w:val="762C6F42"/>
    <w:rsid w:val="76901094"/>
    <w:rsid w:val="77212C85"/>
    <w:rsid w:val="7739300E"/>
    <w:rsid w:val="77604A69"/>
    <w:rsid w:val="776668EA"/>
    <w:rsid w:val="77A94215"/>
    <w:rsid w:val="77F42DAE"/>
    <w:rsid w:val="793B0B95"/>
    <w:rsid w:val="79425135"/>
    <w:rsid w:val="79BB7542"/>
    <w:rsid w:val="79DA536E"/>
    <w:rsid w:val="7AF92A18"/>
    <w:rsid w:val="7B4B3736"/>
    <w:rsid w:val="7B9B52A6"/>
    <w:rsid w:val="7BDC51A4"/>
    <w:rsid w:val="7C964089"/>
    <w:rsid w:val="7CEC5E62"/>
    <w:rsid w:val="7D62500D"/>
    <w:rsid w:val="7E81101A"/>
    <w:rsid w:val="7E8645F2"/>
    <w:rsid w:val="7EC26BD4"/>
    <w:rsid w:val="7ED4682F"/>
    <w:rsid w:val="7EEF71C5"/>
    <w:rsid w:val="7F335F3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sz w:val="28"/>
      <w:szCs w:val="28"/>
    </w:rPr>
  </w:style>
  <w:style w:type="paragraph" w:styleId="8">
    <w:name w:val="Body Text First Indent 2"/>
    <w:basedOn w:val="9"/>
    <w:next w:val="1"/>
    <w:link w:val="43"/>
    <w:qFormat/>
    <w:uiPriority w:val="0"/>
    <w:pPr>
      <w:spacing w:after="120"/>
      <w:ind w:left="420" w:leftChars="200" w:firstLine="420" w:firstLineChars="200"/>
    </w:pPr>
    <w:rPr>
      <w:rFonts w:eastAsia="宋体"/>
      <w:sz w:val="21"/>
      <w:szCs w:val="24"/>
    </w:rPr>
  </w:style>
  <w:style w:type="paragraph" w:styleId="9">
    <w:name w:val="Body Text Indent"/>
    <w:basedOn w:val="1"/>
    <w:next w:val="10"/>
    <w:link w:val="4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0">
    <w:name w:val="envelope return"/>
    <w:basedOn w:val="1"/>
    <w:qFormat/>
    <w:uiPriority w:val="99"/>
    <w:pPr>
      <w:snapToGrid w:val="0"/>
    </w:pPr>
    <w:rPr>
      <w:rFonts w:ascii="Arial" w:hAnsi="Arial"/>
    </w:rPr>
  </w:style>
  <w:style w:type="paragraph" w:styleId="11">
    <w:name w:val="Body Text"/>
    <w:basedOn w:val="1"/>
    <w:next w:val="1"/>
    <w:qFormat/>
    <w:uiPriority w:val="1"/>
    <w:rPr>
      <w:rFonts w:ascii="宋体" w:hAnsi="宋体" w:eastAsia="宋体" w:cs="宋体"/>
      <w:sz w:val="24"/>
      <w:szCs w:val="24"/>
      <w:lang w:val="zh-CN" w:eastAsia="zh-CN" w:bidi="zh-CN"/>
    </w:r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0"/>
    <w:rPr>
      <w:rFonts w:ascii="宋体" w:hAnsi="Courier New" w:eastAsia="宋体" w:cs="Times New Roman"/>
    </w:rPr>
  </w:style>
  <w:style w:type="paragraph" w:styleId="14">
    <w:name w:val="Body Text Indent 2"/>
    <w:basedOn w:val="1"/>
    <w:link w:val="4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5">
    <w:name w:val="footer"/>
    <w:basedOn w:val="1"/>
    <w:link w:val="39"/>
    <w:unhideWhenUsed/>
    <w:qFormat/>
    <w:uiPriority w:val="0"/>
    <w:pPr>
      <w:tabs>
        <w:tab w:val="center" w:pos="4153"/>
        <w:tab w:val="right" w:pos="8306"/>
      </w:tabs>
    </w:pPr>
    <w:rPr>
      <w:sz w:val="18"/>
      <w:szCs w:val="18"/>
    </w:rPr>
  </w:style>
  <w:style w:type="paragraph" w:styleId="16">
    <w:name w:val="header"/>
    <w:basedOn w:val="1"/>
    <w:link w:val="38"/>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semiHidden/>
    <w:unhideWhenUsed/>
    <w:qFormat/>
    <w:uiPriority w:val="39"/>
  </w:style>
  <w:style w:type="paragraph" w:styleId="18">
    <w:name w:val="toc 2"/>
    <w:basedOn w:val="1"/>
    <w:next w:val="1"/>
    <w:semiHidden/>
    <w:unhideWhenUsed/>
    <w:qFormat/>
    <w:uiPriority w:val="39"/>
    <w:pPr>
      <w:ind w:left="420" w:leftChars="200"/>
    </w:pPr>
  </w:style>
  <w:style w:type="paragraph" w:styleId="19">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20">
    <w:name w:val="Body Text First Indent"/>
    <w:basedOn w:val="11"/>
    <w:next w:val="1"/>
    <w:qFormat/>
    <w:uiPriority w:val="0"/>
    <w:pPr>
      <w:spacing w:after="120" w:afterLines="0"/>
      <w:ind w:firstLine="420" w:firstLineChars="100"/>
    </w:pPr>
    <w:rPr>
      <w:rFonts w:ascii="Times New Roman" w:hAnsi="Times New Roman"/>
      <w:kern w:val="0"/>
      <w:sz w:val="32"/>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style>
  <w:style w:type="character" w:styleId="25">
    <w:name w:val="page number"/>
    <w:unhideWhenUsed/>
    <w:qFormat/>
    <w:uiPriority w:val="99"/>
  </w:style>
  <w:style w:type="character" w:styleId="26">
    <w:name w:val="FollowedHyperlink"/>
    <w:basedOn w:val="23"/>
    <w:semiHidden/>
    <w:unhideWhenUsed/>
    <w:qFormat/>
    <w:uiPriority w:val="99"/>
    <w:rPr>
      <w:color w:val="800080"/>
      <w:u w:val="none"/>
    </w:rPr>
  </w:style>
  <w:style w:type="character" w:styleId="27">
    <w:name w:val="Emphasis"/>
    <w:basedOn w:val="23"/>
    <w:qFormat/>
    <w:uiPriority w:val="20"/>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semiHidden/>
    <w:unhideWhenUsed/>
    <w:qFormat/>
    <w:uiPriority w:val="99"/>
    <w:rPr>
      <w:color w:val="0000FF"/>
      <w:u w:val="none"/>
    </w:rPr>
  </w:style>
  <w:style w:type="character" w:styleId="33">
    <w:name w:val="HTML Code"/>
    <w:basedOn w:val="23"/>
    <w:semiHidden/>
    <w:unhideWhenUsed/>
    <w:qFormat/>
    <w:uiPriority w:val="99"/>
    <w:rPr>
      <w:rFonts w:hint="default" w:ascii="monospace" w:hAnsi="monospace" w:eastAsia="monospace" w:cs="monospace"/>
      <w:sz w:val="20"/>
    </w:rPr>
  </w:style>
  <w:style w:type="character" w:styleId="34">
    <w:name w:val="HTML Cite"/>
    <w:basedOn w:val="23"/>
    <w:semiHidden/>
    <w:unhideWhenUsed/>
    <w:qFormat/>
    <w:uiPriority w:val="99"/>
  </w:style>
  <w:style w:type="character" w:styleId="35">
    <w:name w:val="HTML Keyboard"/>
    <w:basedOn w:val="23"/>
    <w:semiHidden/>
    <w:unhideWhenUsed/>
    <w:qFormat/>
    <w:uiPriority w:val="99"/>
    <w:rPr>
      <w:rFonts w:ascii="monospace" w:hAnsi="monospace" w:eastAsia="monospace" w:cs="monospace"/>
      <w:sz w:val="20"/>
    </w:rPr>
  </w:style>
  <w:style w:type="character" w:styleId="36">
    <w:name w:val="HTML Sample"/>
    <w:basedOn w:val="23"/>
    <w:semiHidden/>
    <w:unhideWhenUsed/>
    <w:qFormat/>
    <w:uiPriority w:val="99"/>
    <w:rPr>
      <w:rFonts w:hint="default" w:ascii="monospace" w:hAnsi="monospace" w:eastAsia="monospace" w:cs="monospace"/>
    </w:rPr>
  </w:style>
  <w:style w:type="paragraph" w:customStyle="1" w:styleId="37">
    <w:name w:val="Table Text"/>
    <w:basedOn w:val="1"/>
    <w:semiHidden/>
    <w:qFormat/>
    <w:uiPriority w:val="0"/>
    <w:rPr>
      <w:rFonts w:ascii="宋体" w:hAnsi="宋体" w:eastAsia="宋体" w:cs="宋体"/>
      <w:sz w:val="21"/>
      <w:szCs w:val="21"/>
      <w:lang w:val="en-US" w:eastAsia="en-US" w:bidi="ar-SA"/>
    </w:rPr>
  </w:style>
  <w:style w:type="character" w:customStyle="1" w:styleId="38">
    <w:name w:val="页眉 Char"/>
    <w:basedOn w:val="23"/>
    <w:link w:val="16"/>
    <w:qFormat/>
    <w:uiPriority w:val="0"/>
    <w:rPr>
      <w:rFonts w:ascii="Tahoma" w:hAnsi="Tahoma"/>
      <w:sz w:val="18"/>
      <w:szCs w:val="18"/>
    </w:rPr>
  </w:style>
  <w:style w:type="character" w:customStyle="1" w:styleId="39">
    <w:name w:val="页脚 Char"/>
    <w:basedOn w:val="23"/>
    <w:link w:val="15"/>
    <w:semiHidden/>
    <w:qFormat/>
    <w:uiPriority w:val="99"/>
    <w:rPr>
      <w:rFonts w:ascii="Tahoma" w:hAnsi="Tahoma"/>
      <w:sz w:val="18"/>
      <w:szCs w:val="18"/>
    </w:rPr>
  </w:style>
  <w:style w:type="character" w:customStyle="1" w:styleId="40">
    <w:name w:val="正文文本缩进 2 Char"/>
    <w:basedOn w:val="23"/>
    <w:link w:val="14"/>
    <w:qFormat/>
    <w:uiPriority w:val="99"/>
    <w:rPr>
      <w:rFonts w:ascii="Times New Roman" w:hAnsi="Times New Roman" w:eastAsia="宋体" w:cs="Times New Roman"/>
      <w:kern w:val="2"/>
      <w:sz w:val="21"/>
      <w:szCs w:val="20"/>
    </w:rPr>
  </w:style>
  <w:style w:type="paragraph" w:customStyle="1" w:styleId="4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2">
    <w:name w:val="正文文本缩进 Char"/>
    <w:basedOn w:val="23"/>
    <w:link w:val="9"/>
    <w:qFormat/>
    <w:uiPriority w:val="99"/>
    <w:rPr>
      <w:rFonts w:ascii="Times New Roman" w:hAnsi="Times New Roman" w:eastAsia="仿宋_GB2312" w:cs="Times New Roman"/>
      <w:kern w:val="2"/>
      <w:sz w:val="28"/>
      <w:szCs w:val="20"/>
    </w:rPr>
  </w:style>
  <w:style w:type="character" w:customStyle="1" w:styleId="43">
    <w:name w:val="正文首行缩进 2 Char"/>
    <w:basedOn w:val="42"/>
    <w:link w:val="8"/>
    <w:qFormat/>
    <w:uiPriority w:val="0"/>
    <w:rPr>
      <w:rFonts w:eastAsia="宋体"/>
      <w:sz w:val="21"/>
      <w:szCs w:val="24"/>
    </w:rPr>
  </w:style>
  <w:style w:type="paragraph" w:customStyle="1" w:styleId="4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5">
    <w:name w:val="List Paragraph"/>
    <w:basedOn w:val="1"/>
    <w:qFormat/>
    <w:uiPriority w:val="34"/>
    <w:pPr>
      <w:ind w:firstLine="420" w:firstLineChars="200"/>
    </w:pPr>
  </w:style>
  <w:style w:type="character" w:customStyle="1" w:styleId="46">
    <w:name w:val="font71"/>
    <w:basedOn w:val="23"/>
    <w:qFormat/>
    <w:uiPriority w:val="0"/>
    <w:rPr>
      <w:rFonts w:hint="eastAsia" w:ascii="宋体" w:hAnsi="宋体" w:eastAsia="宋体" w:cs="宋体"/>
      <w:color w:val="000000"/>
      <w:sz w:val="20"/>
      <w:szCs w:val="20"/>
      <w:u w:val="none"/>
    </w:rPr>
  </w:style>
  <w:style w:type="character" w:customStyle="1" w:styleId="47">
    <w:name w:val="font51"/>
    <w:basedOn w:val="23"/>
    <w:qFormat/>
    <w:uiPriority w:val="0"/>
    <w:rPr>
      <w:rFonts w:hint="eastAsia" w:ascii="宋体" w:hAnsi="宋体" w:eastAsia="宋体" w:cs="宋体"/>
      <w:color w:val="000000"/>
      <w:sz w:val="22"/>
      <w:szCs w:val="22"/>
      <w:u w:val="none"/>
    </w:rPr>
  </w:style>
  <w:style w:type="character" w:customStyle="1" w:styleId="48">
    <w:name w:val="font61"/>
    <w:basedOn w:val="23"/>
    <w:qFormat/>
    <w:uiPriority w:val="0"/>
    <w:rPr>
      <w:rFonts w:hint="eastAsia" w:ascii="宋体" w:hAnsi="宋体" w:eastAsia="宋体" w:cs="宋体"/>
      <w:color w:val="000000"/>
      <w:sz w:val="20"/>
      <w:szCs w:val="20"/>
      <w:u w:val="none"/>
    </w:rPr>
  </w:style>
  <w:style w:type="character" w:customStyle="1" w:styleId="49">
    <w:name w:val="font41"/>
    <w:basedOn w:val="23"/>
    <w:qFormat/>
    <w:uiPriority w:val="0"/>
    <w:rPr>
      <w:rFonts w:hint="eastAsia" w:ascii="宋体" w:hAnsi="宋体" w:eastAsia="宋体" w:cs="宋体"/>
      <w:color w:val="000000"/>
      <w:sz w:val="22"/>
      <w:szCs w:val="22"/>
      <w:u w:val="none"/>
    </w:rPr>
  </w:style>
  <w:style w:type="character" w:customStyle="1" w:styleId="50">
    <w:name w:val="font11"/>
    <w:basedOn w:val="23"/>
    <w:qFormat/>
    <w:uiPriority w:val="0"/>
    <w:rPr>
      <w:rFonts w:hint="eastAsia" w:ascii="宋体" w:hAnsi="宋体" w:eastAsia="宋体" w:cs="宋体"/>
      <w:color w:val="000000"/>
      <w:sz w:val="28"/>
      <w:szCs w:val="28"/>
      <w:u w:val="none"/>
    </w:rPr>
  </w:style>
  <w:style w:type="paragraph" w:customStyle="1" w:styleId="51">
    <w:name w:val="p0"/>
    <w:basedOn w:val="1"/>
    <w:qFormat/>
    <w:uiPriority w:val="99"/>
    <w:pPr>
      <w:widowControl/>
    </w:pPr>
    <w:rPr>
      <w:kern w:val="0"/>
    </w:rPr>
  </w:style>
  <w:style w:type="paragraph" w:customStyle="1" w:styleId="52">
    <w:name w:val="Table Paragraph"/>
    <w:basedOn w:val="1"/>
    <w:qFormat/>
    <w:uiPriority w:val="1"/>
    <w:rPr>
      <w:rFonts w:ascii="宋体" w:hAnsi="宋体" w:eastAsia="宋体" w:cs="宋体"/>
      <w:lang w:val="zh-CN" w:eastAsia="zh-CN" w:bidi="zh-CN"/>
    </w:rPr>
  </w:style>
  <w:style w:type="paragraph" w:customStyle="1" w:styleId="53">
    <w:name w:val="列表段落1"/>
    <w:basedOn w:val="1"/>
    <w:qFormat/>
    <w:uiPriority w:val="99"/>
    <w:pPr>
      <w:ind w:firstLine="420" w:firstLineChars="200"/>
    </w:pPr>
  </w:style>
  <w:style w:type="character" w:customStyle="1" w:styleId="54">
    <w:name w:val="style3"/>
    <w:qFormat/>
    <w:uiPriority w:val="0"/>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WPSOffice手动目录 2"/>
    <w:qFormat/>
    <w:uiPriority w:val="0"/>
    <w:pPr>
      <w:ind w:leftChars="200"/>
    </w:pPr>
    <w:rPr>
      <w:rFonts w:ascii="Times New Roman" w:hAnsi="Times New Roman" w:eastAsia="宋体" w:cs="Times New Roman"/>
      <w:sz w:val="20"/>
      <w:szCs w:val="20"/>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29</Pages>
  <Words>8839</Words>
  <Characters>9048</Characters>
  <Lines>87</Lines>
  <Paragraphs>24</Paragraphs>
  <TotalTime>3</TotalTime>
  <ScaleCrop>false</ScaleCrop>
  <LinksUpToDate>false</LinksUpToDate>
  <CharactersWithSpaces>9959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2026-07-21T02:27:41Z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1F0836943D4B49EFA44149A561789FD6</vt:lpwstr>
  </property>
  <property fmtid="{D5CDD505-2E9C-101B-9397-08002B2CF9AE}" pid="4" name="KSOTemplateDocerSaveRecord">
    <vt:lpwstr>eyJoZGlkIjoiNjM1MzMwOTZjNjY4NzMyNDgwZDkyYTEzZTEzNTllZWYiLCJ1c2VySWQiOiI0MzI1NTYyMzEifQ==</vt:lpwstr>
  </property>
</Properties>
</file>