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97F737">
      <w:pPr>
        <w:tabs>
          <w:tab w:val="left" w:pos="315"/>
          <w:tab w:val="left" w:pos="8820"/>
        </w:tabs>
        <w:spacing w:before="240" w:beforeLines="100" w:after="120" w:afterLines="50" w:line="500" w:lineRule="exact"/>
        <w:ind w:right="254" w:rightChars="127"/>
        <w:jc w:val="both"/>
        <w:rPr>
          <w:b/>
          <w:bCs/>
          <w:color w:val="auto"/>
          <w:sz w:val="52"/>
          <w:szCs w:val="52"/>
          <w:highlight w:val="none"/>
        </w:rPr>
      </w:pPr>
    </w:p>
    <w:p w14:paraId="5E0DB447">
      <w:pPr>
        <w:tabs>
          <w:tab w:val="left" w:pos="315"/>
          <w:tab w:val="left" w:pos="8820"/>
        </w:tabs>
        <w:spacing w:before="240" w:beforeLines="100" w:after="120" w:afterLines="50" w:line="500" w:lineRule="exact"/>
        <w:ind w:right="254" w:rightChars="127"/>
        <w:jc w:val="center"/>
        <w:rPr>
          <w:rFonts w:hint="eastAsia"/>
          <w:b/>
          <w:bCs/>
          <w:color w:val="auto"/>
          <w:sz w:val="52"/>
          <w:szCs w:val="52"/>
          <w:highlight w:val="none"/>
        </w:rPr>
      </w:pPr>
      <w:bookmarkStart w:id="0" w:name="_Hlk9544796"/>
      <w:r>
        <w:rPr>
          <w:rFonts w:hint="eastAsia"/>
          <w:b/>
          <w:bCs/>
          <w:color w:val="auto"/>
          <w:sz w:val="52"/>
          <w:szCs w:val="52"/>
          <w:highlight w:val="none"/>
        </w:rPr>
        <w:t>竞争性磋商文件</w:t>
      </w:r>
      <w:bookmarkEnd w:id="0"/>
    </w:p>
    <w:p w14:paraId="2B71A509">
      <w:pPr>
        <w:tabs>
          <w:tab w:val="left" w:pos="315"/>
          <w:tab w:val="left" w:pos="8820"/>
        </w:tabs>
        <w:spacing w:before="240" w:beforeLines="100" w:after="120" w:afterLines="50" w:line="500" w:lineRule="exact"/>
        <w:ind w:right="254" w:rightChars="127"/>
        <w:jc w:val="center"/>
        <w:rPr>
          <w:rFonts w:hint="eastAsia"/>
          <w:b/>
          <w:bCs/>
          <w:color w:val="auto"/>
          <w:sz w:val="52"/>
          <w:szCs w:val="52"/>
          <w:highlight w:val="none"/>
        </w:rPr>
      </w:pPr>
    </w:p>
    <w:p w14:paraId="22F71FDE">
      <w:pPr>
        <w:tabs>
          <w:tab w:val="left" w:pos="315"/>
          <w:tab w:val="left" w:pos="8820"/>
        </w:tabs>
        <w:spacing w:before="240" w:beforeLines="100" w:after="120" w:afterLines="50" w:line="500" w:lineRule="exact"/>
        <w:ind w:right="254" w:rightChars="127"/>
        <w:jc w:val="center"/>
        <w:rPr>
          <w:rFonts w:hint="eastAsia"/>
          <w:b/>
          <w:bCs/>
          <w:color w:val="auto"/>
          <w:sz w:val="52"/>
          <w:szCs w:val="52"/>
          <w:highlight w:val="none"/>
        </w:rPr>
      </w:pPr>
    </w:p>
    <w:p w14:paraId="576DEB8A">
      <w:pPr>
        <w:tabs>
          <w:tab w:val="left" w:pos="315"/>
          <w:tab w:val="left" w:pos="8820"/>
        </w:tabs>
        <w:spacing w:before="240" w:beforeLines="100" w:after="120" w:afterLines="50" w:line="500" w:lineRule="exact"/>
        <w:ind w:right="254" w:rightChars="127"/>
        <w:jc w:val="both"/>
        <w:rPr>
          <w:b/>
          <w:bCs/>
          <w:color w:val="auto"/>
          <w:sz w:val="44"/>
          <w:szCs w:val="44"/>
          <w:highlight w:val="none"/>
        </w:rPr>
      </w:pPr>
    </w:p>
    <w:p w14:paraId="5B7D1A32">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14:paraId="217BB385">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14:paraId="38CB859A">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14:paraId="5A89903A">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14:paraId="49494025">
      <w:pPr>
        <w:tabs>
          <w:tab w:val="left" w:pos="315"/>
          <w:tab w:val="left" w:pos="8820"/>
        </w:tabs>
        <w:spacing w:before="240" w:beforeLines="100" w:after="120" w:afterLines="50" w:line="500" w:lineRule="exact"/>
        <w:ind w:right="254" w:rightChars="127"/>
        <w:jc w:val="both"/>
        <w:rPr>
          <w:b/>
          <w:bCs/>
          <w:color w:val="auto"/>
          <w:sz w:val="44"/>
          <w:szCs w:val="44"/>
          <w:highlight w:val="none"/>
        </w:rPr>
      </w:pPr>
    </w:p>
    <w:p w14:paraId="71F5D3E8">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14:paraId="416576B2">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14:paraId="4378B0BE">
      <w:pPr>
        <w:tabs>
          <w:tab w:val="left" w:pos="2410"/>
        </w:tabs>
        <w:autoSpaceDE w:val="0"/>
        <w:autoSpaceDN w:val="0"/>
        <w:adjustRightInd w:val="0"/>
        <w:snapToGrid w:val="0"/>
        <w:spacing w:line="360" w:lineRule="auto"/>
        <w:rPr>
          <w:rFonts w:hint="default" w:eastAsia="宋体"/>
          <w:b/>
          <w:color w:val="auto"/>
          <w:spacing w:val="20"/>
          <w:sz w:val="32"/>
          <w:szCs w:val="32"/>
          <w:highlight w:val="none"/>
          <w:lang w:val="en-US" w:eastAsia="zh-CN"/>
        </w:rPr>
      </w:pPr>
      <w:r>
        <w:rPr>
          <w:rFonts w:hint="eastAsia"/>
          <w:b/>
          <w:color w:val="auto"/>
          <w:spacing w:val="20"/>
          <w:sz w:val="32"/>
          <w:szCs w:val="32"/>
          <w:highlight w:val="none"/>
        </w:rPr>
        <w:t>项目名称：</w:t>
      </w:r>
      <w:r>
        <w:rPr>
          <w:rFonts w:hint="eastAsia"/>
          <w:b/>
          <w:color w:val="auto"/>
          <w:spacing w:val="20"/>
          <w:sz w:val="32"/>
          <w:szCs w:val="32"/>
          <w:highlight w:val="none"/>
          <w:u w:val="single"/>
          <w:lang w:val="en-US" w:eastAsia="zh-CN"/>
        </w:rPr>
        <w:t>界首市顺河路、经二路、胜利路清淤及检测工程</w:t>
      </w:r>
    </w:p>
    <w:p w14:paraId="1728A961">
      <w:pPr>
        <w:tabs>
          <w:tab w:val="left" w:pos="2410"/>
        </w:tabs>
        <w:autoSpaceDE w:val="0"/>
        <w:autoSpaceDN w:val="0"/>
        <w:adjustRightInd w:val="0"/>
        <w:snapToGrid w:val="0"/>
        <w:spacing w:line="360" w:lineRule="auto"/>
        <w:rPr>
          <w:rFonts w:hint="default"/>
          <w:b/>
          <w:color w:val="auto"/>
          <w:spacing w:val="20"/>
          <w:sz w:val="32"/>
          <w:szCs w:val="32"/>
          <w:highlight w:val="none"/>
          <w:u w:val="single"/>
          <w:lang w:val="en-US" w:eastAsia="zh-CN"/>
        </w:rPr>
      </w:pPr>
      <w:r>
        <w:rPr>
          <w:rFonts w:hint="eastAsia"/>
          <w:b/>
          <w:color w:val="auto"/>
          <w:spacing w:val="20"/>
          <w:sz w:val="32"/>
          <w:szCs w:val="32"/>
          <w:highlight w:val="none"/>
        </w:rPr>
        <w:t>项目编号：</w:t>
      </w:r>
      <w:r>
        <w:rPr>
          <w:rFonts w:hint="eastAsia"/>
          <w:b/>
          <w:color w:val="auto"/>
          <w:spacing w:val="20"/>
          <w:sz w:val="32"/>
          <w:szCs w:val="32"/>
          <w:highlight w:val="none"/>
          <w:u w:val="single"/>
          <w:lang w:val="en-US" w:eastAsia="zh-CN"/>
        </w:rPr>
        <w:t>AHWM-20260016</w:t>
      </w:r>
    </w:p>
    <w:p w14:paraId="654A3B42">
      <w:pPr>
        <w:tabs>
          <w:tab w:val="left" w:pos="2410"/>
        </w:tabs>
        <w:autoSpaceDE w:val="0"/>
        <w:autoSpaceDN w:val="0"/>
        <w:adjustRightInd w:val="0"/>
        <w:snapToGrid w:val="0"/>
        <w:spacing w:line="360" w:lineRule="auto"/>
        <w:rPr>
          <w:rFonts w:hint="default"/>
          <w:b/>
          <w:color w:val="auto"/>
          <w:spacing w:val="20"/>
          <w:sz w:val="32"/>
          <w:szCs w:val="32"/>
          <w:highlight w:val="none"/>
          <w:lang w:val="en-US"/>
        </w:rPr>
      </w:pPr>
      <w:r>
        <w:rPr>
          <w:rFonts w:hint="eastAsia"/>
          <w:b/>
          <w:color w:val="auto"/>
          <w:spacing w:val="20"/>
          <w:sz w:val="32"/>
          <w:szCs w:val="32"/>
          <w:highlight w:val="none"/>
        </w:rPr>
        <w:t>采 购 人：</w:t>
      </w:r>
      <w:r>
        <w:rPr>
          <w:rFonts w:hint="eastAsia"/>
          <w:b/>
          <w:color w:val="auto"/>
          <w:spacing w:val="20"/>
          <w:sz w:val="32"/>
          <w:szCs w:val="32"/>
          <w:highlight w:val="none"/>
          <w:u w:val="single"/>
          <w:lang w:val="en-US" w:eastAsia="zh-CN"/>
        </w:rPr>
        <w:t>安徽融城高新技术产业发展集团有限公司</w:t>
      </w:r>
    </w:p>
    <w:p w14:paraId="3633AE93">
      <w:pPr>
        <w:tabs>
          <w:tab w:val="left" w:pos="2410"/>
        </w:tabs>
        <w:autoSpaceDE w:val="0"/>
        <w:autoSpaceDN w:val="0"/>
        <w:adjustRightInd w:val="0"/>
        <w:snapToGrid w:val="0"/>
        <w:spacing w:line="360" w:lineRule="auto"/>
        <w:rPr>
          <w:rFonts w:hint="default" w:eastAsia="宋体"/>
          <w:b/>
          <w:color w:val="auto"/>
          <w:spacing w:val="20"/>
          <w:sz w:val="32"/>
          <w:szCs w:val="32"/>
          <w:highlight w:val="none"/>
          <w:lang w:val="en-US" w:eastAsia="zh-CN"/>
        </w:rPr>
      </w:pPr>
      <w:r>
        <w:rPr>
          <w:rFonts w:hint="eastAsia"/>
          <w:b/>
          <w:color w:val="auto"/>
          <w:spacing w:val="20"/>
          <w:sz w:val="32"/>
          <w:szCs w:val="32"/>
          <w:highlight w:val="none"/>
        </w:rPr>
        <w:t>采购代理机构：</w:t>
      </w:r>
      <w:r>
        <w:rPr>
          <w:rFonts w:hint="eastAsia"/>
          <w:b/>
          <w:color w:val="auto"/>
          <w:spacing w:val="20"/>
          <w:sz w:val="32"/>
          <w:szCs w:val="32"/>
          <w:highlight w:val="none"/>
          <w:u w:val="single"/>
          <w:lang w:val="en-US" w:eastAsia="zh-CN"/>
        </w:rPr>
        <w:t>安徽宛鸣工程管理有限公司</w:t>
      </w:r>
    </w:p>
    <w:p w14:paraId="2E551834">
      <w:pPr>
        <w:tabs>
          <w:tab w:val="left" w:pos="2410"/>
        </w:tabs>
        <w:autoSpaceDE w:val="0"/>
        <w:autoSpaceDN w:val="0"/>
        <w:adjustRightInd w:val="0"/>
        <w:snapToGrid w:val="0"/>
        <w:spacing w:line="360" w:lineRule="auto"/>
        <w:jc w:val="both"/>
        <w:rPr>
          <w:b/>
          <w:color w:val="auto"/>
          <w:sz w:val="36"/>
          <w:highlight w:val="none"/>
        </w:rPr>
      </w:pPr>
    </w:p>
    <w:p w14:paraId="72B90A66">
      <w:pPr>
        <w:tabs>
          <w:tab w:val="left" w:pos="2410"/>
        </w:tabs>
        <w:autoSpaceDE w:val="0"/>
        <w:autoSpaceDN w:val="0"/>
        <w:adjustRightInd w:val="0"/>
        <w:snapToGrid w:val="0"/>
        <w:spacing w:line="360" w:lineRule="auto"/>
        <w:jc w:val="center"/>
        <w:rPr>
          <w:b/>
          <w:color w:val="auto"/>
          <w:sz w:val="36"/>
          <w:highlight w:val="none"/>
        </w:rPr>
      </w:pPr>
      <w:r>
        <w:rPr>
          <w:rFonts w:hint="eastAsia"/>
          <w:b/>
          <w:color w:val="auto"/>
          <w:sz w:val="36"/>
          <w:highlight w:val="none"/>
          <w:u w:val="single"/>
          <w:lang w:val="en-US" w:eastAsia="zh-CN"/>
        </w:rPr>
        <w:t>2026</w:t>
      </w:r>
      <w:r>
        <w:rPr>
          <w:rFonts w:hint="eastAsia"/>
          <w:b/>
          <w:color w:val="auto"/>
          <w:sz w:val="36"/>
          <w:highlight w:val="none"/>
        </w:rPr>
        <w:t>年</w:t>
      </w:r>
      <w:r>
        <w:rPr>
          <w:rFonts w:hint="eastAsia"/>
          <w:b/>
          <w:color w:val="auto"/>
          <w:sz w:val="36"/>
          <w:highlight w:val="none"/>
          <w:u w:val="single"/>
          <w:lang w:val="en-US" w:eastAsia="zh-CN"/>
        </w:rPr>
        <w:t>7</w:t>
      </w:r>
      <w:r>
        <w:rPr>
          <w:rFonts w:hint="eastAsia"/>
          <w:b/>
          <w:color w:val="auto"/>
          <w:sz w:val="36"/>
          <w:highlight w:val="none"/>
        </w:rPr>
        <w:t>月</w:t>
      </w:r>
      <w:r>
        <w:rPr>
          <w:b/>
          <w:color w:val="auto"/>
          <w:sz w:val="36"/>
          <w:highlight w:val="none"/>
        </w:rPr>
        <w:br w:type="page"/>
      </w:r>
    </w:p>
    <w:p w14:paraId="7C3A1577">
      <w:pPr>
        <w:tabs>
          <w:tab w:val="left" w:pos="2410"/>
        </w:tabs>
        <w:autoSpaceDE w:val="0"/>
        <w:autoSpaceDN w:val="0"/>
        <w:adjustRightInd w:val="0"/>
        <w:snapToGrid w:val="0"/>
        <w:spacing w:line="360" w:lineRule="auto"/>
        <w:jc w:val="center"/>
        <w:rPr>
          <w:b/>
          <w:color w:val="auto"/>
          <w:sz w:val="28"/>
          <w:highlight w:val="none"/>
        </w:rPr>
      </w:pPr>
      <w:r>
        <w:rPr>
          <w:rFonts w:hint="eastAsia"/>
          <w:b/>
          <w:color w:val="auto"/>
          <w:sz w:val="28"/>
          <w:highlight w:val="none"/>
        </w:rPr>
        <w:t>目  录</w:t>
      </w:r>
    </w:p>
    <w:p w14:paraId="55458C40">
      <w:pPr>
        <w:tabs>
          <w:tab w:val="left" w:pos="2410"/>
        </w:tabs>
        <w:autoSpaceDE w:val="0"/>
        <w:autoSpaceDN w:val="0"/>
        <w:adjustRightInd w:val="0"/>
        <w:snapToGrid w:val="0"/>
        <w:spacing w:line="360" w:lineRule="auto"/>
        <w:jc w:val="center"/>
        <w:rPr>
          <w:b/>
          <w:color w:val="auto"/>
          <w:sz w:val="28"/>
          <w:highlight w:val="none"/>
        </w:rPr>
      </w:pPr>
    </w:p>
    <w:p w14:paraId="6D982BAB">
      <w:pPr>
        <w:pStyle w:val="36"/>
        <w:tabs>
          <w:tab w:val="right" w:leader="dot" w:pos="8279"/>
        </w:tabs>
        <w:rPr>
          <w:rFonts w:asciiTheme="minorEastAsia" w:hAnsiTheme="minorEastAsia"/>
          <w:color w:val="auto"/>
          <w:sz w:val="24"/>
          <w:szCs w:val="28"/>
          <w:highlight w:val="none"/>
        </w:rPr>
      </w:pPr>
      <w:r>
        <w:rPr>
          <w:rFonts w:asciiTheme="minorEastAsia" w:hAnsiTheme="minorEastAsia"/>
          <w:b/>
          <w:color w:val="auto"/>
          <w:sz w:val="24"/>
          <w:szCs w:val="24"/>
          <w:highlight w:val="none"/>
        </w:rPr>
        <w:fldChar w:fldCharType="begin"/>
      </w:r>
      <w:r>
        <w:rPr>
          <w:rFonts w:asciiTheme="minorEastAsia" w:hAnsiTheme="minorEastAsia"/>
          <w:b/>
          <w:color w:val="auto"/>
          <w:sz w:val="24"/>
          <w:szCs w:val="24"/>
          <w:highlight w:val="none"/>
        </w:rPr>
        <w:instrText xml:space="preserve"> </w:instrText>
      </w:r>
      <w:r>
        <w:rPr>
          <w:rFonts w:hint="eastAsia" w:asciiTheme="minorEastAsia" w:hAnsiTheme="minorEastAsia"/>
          <w:b/>
          <w:color w:val="auto"/>
          <w:sz w:val="24"/>
          <w:szCs w:val="24"/>
          <w:highlight w:val="none"/>
        </w:rPr>
        <w:instrText xml:space="preserve">TOC \o "1-2" \h \z \u</w:instrText>
      </w:r>
      <w:r>
        <w:rPr>
          <w:rFonts w:asciiTheme="minorEastAsia" w:hAnsiTheme="minorEastAsia"/>
          <w:b/>
          <w:color w:val="auto"/>
          <w:sz w:val="24"/>
          <w:szCs w:val="24"/>
          <w:highlight w:val="none"/>
        </w:rPr>
        <w:instrText xml:space="preserve"> </w:instrText>
      </w:r>
      <w:r>
        <w:rPr>
          <w:rFonts w:asciiTheme="minorEastAsia" w:hAnsiTheme="minorEastAsia"/>
          <w:b/>
          <w:color w:val="auto"/>
          <w:sz w:val="24"/>
          <w:szCs w:val="24"/>
          <w:highlight w:val="none"/>
        </w:rPr>
        <w:fldChar w:fldCharType="separate"/>
      </w:r>
      <w:r>
        <w:rPr>
          <w:rFonts w:asciiTheme="minorEastAsia" w:hAnsiTheme="minorEastAsia"/>
          <w:color w:val="auto"/>
          <w:sz w:val="24"/>
          <w:szCs w:val="28"/>
          <w:highlight w:val="none"/>
        </w:rPr>
        <w:fldChar w:fldCharType="begin"/>
      </w:r>
      <w:r>
        <w:rPr>
          <w:rFonts w:asciiTheme="minorEastAsia" w:hAnsiTheme="minorEastAsia"/>
          <w:sz w:val="24"/>
          <w:szCs w:val="28"/>
          <w:highlight w:val="none"/>
        </w:rPr>
        <w:instrText xml:space="preserve"> HYPERLINK \l _Toc15476 </w:instrText>
      </w:r>
      <w:r>
        <w:rPr>
          <w:rFonts w:asciiTheme="minorEastAsia" w:hAnsiTheme="minorEastAsia"/>
          <w:sz w:val="24"/>
          <w:szCs w:val="28"/>
          <w:highlight w:val="none"/>
        </w:rPr>
        <w:fldChar w:fldCharType="separate"/>
      </w:r>
      <w:r>
        <w:rPr>
          <w:rFonts w:hint="eastAsia" w:asciiTheme="minorEastAsia" w:hAnsiTheme="minorEastAsia" w:eastAsiaTheme="minorEastAsia"/>
          <w:sz w:val="24"/>
          <w:szCs w:val="24"/>
          <w:highlight w:val="none"/>
        </w:rPr>
        <w:t xml:space="preserve">第一章 </w:t>
      </w:r>
      <w:r>
        <w:rPr>
          <w:rFonts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lang w:val="en-US" w:eastAsia="zh-CN"/>
        </w:rPr>
        <w:t>竞争性</w:t>
      </w:r>
      <w:r>
        <w:rPr>
          <w:rFonts w:hint="eastAsia" w:asciiTheme="minorEastAsia" w:hAnsiTheme="minorEastAsia" w:eastAsiaTheme="minorEastAsia"/>
          <w:sz w:val="24"/>
          <w:szCs w:val="24"/>
          <w:highlight w:val="none"/>
        </w:rPr>
        <w:t>磋商</w:t>
      </w:r>
      <w:r>
        <w:rPr>
          <w:rFonts w:hint="eastAsia" w:asciiTheme="minorEastAsia" w:hAnsiTheme="minorEastAsia" w:eastAsiaTheme="minorEastAsia"/>
          <w:sz w:val="24"/>
          <w:szCs w:val="24"/>
          <w:highlight w:val="none"/>
          <w:lang w:val="en-US" w:eastAsia="zh-CN"/>
        </w:rPr>
        <w:t>公告</w:t>
      </w:r>
      <w:r>
        <w:rPr>
          <w:sz w:val="24"/>
          <w:szCs w:val="24"/>
        </w:rPr>
        <w:tab/>
      </w:r>
      <w:r>
        <w:rPr>
          <w:sz w:val="24"/>
          <w:szCs w:val="24"/>
        </w:rPr>
        <w:fldChar w:fldCharType="begin"/>
      </w:r>
      <w:r>
        <w:rPr>
          <w:sz w:val="24"/>
          <w:szCs w:val="24"/>
        </w:rPr>
        <w:instrText xml:space="preserve"> PAGEREF _Toc15476 \h </w:instrText>
      </w:r>
      <w:r>
        <w:rPr>
          <w:sz w:val="24"/>
          <w:szCs w:val="24"/>
        </w:rPr>
        <w:fldChar w:fldCharType="separate"/>
      </w:r>
      <w:r>
        <w:rPr>
          <w:sz w:val="24"/>
          <w:szCs w:val="24"/>
        </w:rPr>
        <w:t>1</w:t>
      </w:r>
      <w:r>
        <w:rPr>
          <w:sz w:val="24"/>
          <w:szCs w:val="24"/>
        </w:rPr>
        <w:fldChar w:fldCharType="end"/>
      </w:r>
      <w:r>
        <w:rPr>
          <w:rFonts w:asciiTheme="minorEastAsia" w:hAnsiTheme="minorEastAsia"/>
          <w:color w:val="auto"/>
          <w:sz w:val="24"/>
          <w:szCs w:val="28"/>
          <w:highlight w:val="none"/>
        </w:rPr>
        <w:fldChar w:fldCharType="end"/>
      </w:r>
    </w:p>
    <w:p w14:paraId="3FC1EFEB">
      <w:pPr>
        <w:rPr>
          <w:sz w:val="21"/>
          <w:szCs w:val="21"/>
        </w:rPr>
      </w:pPr>
    </w:p>
    <w:p w14:paraId="763EC6D2">
      <w:pPr>
        <w:rPr>
          <w:sz w:val="21"/>
          <w:szCs w:val="21"/>
        </w:rPr>
      </w:pPr>
    </w:p>
    <w:p w14:paraId="6B21D579">
      <w:pPr>
        <w:pStyle w:val="36"/>
        <w:tabs>
          <w:tab w:val="right" w:leader="dot" w:pos="8279"/>
        </w:tabs>
        <w:rPr>
          <w:rFonts w:asciiTheme="minorEastAsia" w:hAnsiTheme="minorEastAsia"/>
          <w:color w:val="auto"/>
          <w:sz w:val="24"/>
          <w:szCs w:val="28"/>
          <w:highlight w:val="none"/>
        </w:rPr>
      </w:pPr>
      <w:r>
        <w:rPr>
          <w:rFonts w:asciiTheme="minorEastAsia" w:hAnsiTheme="minorEastAsia"/>
          <w:color w:val="auto"/>
          <w:sz w:val="24"/>
          <w:szCs w:val="28"/>
          <w:highlight w:val="none"/>
        </w:rPr>
        <w:fldChar w:fldCharType="begin"/>
      </w:r>
      <w:r>
        <w:rPr>
          <w:rFonts w:asciiTheme="minorEastAsia" w:hAnsiTheme="minorEastAsia"/>
          <w:sz w:val="24"/>
          <w:szCs w:val="28"/>
          <w:highlight w:val="none"/>
        </w:rPr>
        <w:instrText xml:space="preserve"> HYPERLINK \l _Toc29626 </w:instrText>
      </w:r>
      <w:r>
        <w:rPr>
          <w:rFonts w:asciiTheme="minorEastAsia" w:hAnsiTheme="minorEastAsia"/>
          <w:sz w:val="24"/>
          <w:szCs w:val="28"/>
          <w:highlight w:val="none"/>
        </w:rPr>
        <w:fldChar w:fldCharType="separate"/>
      </w:r>
      <w:r>
        <w:rPr>
          <w:rFonts w:hint="eastAsia" w:asciiTheme="minorEastAsia" w:hAnsiTheme="minorEastAsia" w:eastAsiaTheme="minorEastAsia"/>
          <w:sz w:val="24"/>
          <w:szCs w:val="24"/>
          <w:highlight w:val="none"/>
        </w:rPr>
        <w:t>第二章</w:t>
      </w:r>
      <w:r>
        <w:rPr>
          <w:rFonts w:asciiTheme="minorEastAsia" w:hAnsiTheme="minorEastAsia" w:eastAsiaTheme="minorEastAsia"/>
          <w:sz w:val="24"/>
          <w:szCs w:val="24"/>
          <w:highlight w:val="none"/>
        </w:rPr>
        <w:t xml:space="preserve"> </w:t>
      </w:r>
      <w:r>
        <w:rPr>
          <w:rFonts w:hint="eastAsia" w:asciiTheme="minorEastAsia" w:hAnsiTheme="minorEastAsia" w:eastAsiaTheme="minorEastAsia"/>
          <w:sz w:val="24"/>
          <w:szCs w:val="24"/>
          <w:highlight w:val="none"/>
        </w:rPr>
        <w:t xml:space="preserve"> 供应商</w:t>
      </w:r>
      <w:r>
        <w:rPr>
          <w:rFonts w:asciiTheme="minorEastAsia" w:hAnsiTheme="minorEastAsia" w:eastAsiaTheme="minorEastAsia"/>
          <w:sz w:val="24"/>
          <w:szCs w:val="24"/>
          <w:highlight w:val="none"/>
        </w:rPr>
        <w:t>须知</w:t>
      </w:r>
      <w:r>
        <w:rPr>
          <w:sz w:val="24"/>
          <w:szCs w:val="24"/>
        </w:rPr>
        <w:tab/>
      </w:r>
      <w:r>
        <w:rPr>
          <w:sz w:val="24"/>
          <w:szCs w:val="24"/>
        </w:rPr>
        <w:fldChar w:fldCharType="begin"/>
      </w:r>
      <w:r>
        <w:rPr>
          <w:sz w:val="24"/>
          <w:szCs w:val="24"/>
        </w:rPr>
        <w:instrText xml:space="preserve"> PAGEREF _Toc29626 \h </w:instrText>
      </w:r>
      <w:r>
        <w:rPr>
          <w:sz w:val="24"/>
          <w:szCs w:val="24"/>
        </w:rPr>
        <w:fldChar w:fldCharType="separate"/>
      </w:r>
      <w:r>
        <w:rPr>
          <w:sz w:val="24"/>
          <w:szCs w:val="24"/>
        </w:rPr>
        <w:t>4</w:t>
      </w:r>
      <w:r>
        <w:rPr>
          <w:sz w:val="24"/>
          <w:szCs w:val="24"/>
        </w:rPr>
        <w:fldChar w:fldCharType="end"/>
      </w:r>
      <w:r>
        <w:rPr>
          <w:rFonts w:asciiTheme="minorEastAsia" w:hAnsiTheme="minorEastAsia"/>
          <w:color w:val="auto"/>
          <w:sz w:val="24"/>
          <w:szCs w:val="28"/>
          <w:highlight w:val="none"/>
        </w:rPr>
        <w:fldChar w:fldCharType="end"/>
      </w:r>
    </w:p>
    <w:p w14:paraId="67BE3784">
      <w:pPr>
        <w:rPr>
          <w:rFonts w:asciiTheme="minorEastAsia" w:hAnsiTheme="minorEastAsia"/>
          <w:color w:val="auto"/>
          <w:sz w:val="21"/>
          <w:szCs w:val="28"/>
          <w:highlight w:val="none"/>
        </w:rPr>
      </w:pPr>
    </w:p>
    <w:p w14:paraId="64020CF0">
      <w:pPr>
        <w:rPr>
          <w:rFonts w:asciiTheme="minorEastAsia" w:hAnsiTheme="minorEastAsia"/>
          <w:color w:val="auto"/>
          <w:sz w:val="21"/>
          <w:szCs w:val="28"/>
          <w:highlight w:val="none"/>
        </w:rPr>
      </w:pPr>
    </w:p>
    <w:p w14:paraId="1F7F0D61">
      <w:pPr>
        <w:pStyle w:val="36"/>
        <w:tabs>
          <w:tab w:val="right" w:leader="dot" w:pos="8279"/>
        </w:tabs>
        <w:rPr>
          <w:rFonts w:asciiTheme="minorEastAsia" w:hAnsiTheme="minorEastAsia"/>
          <w:color w:val="auto"/>
          <w:sz w:val="24"/>
          <w:szCs w:val="28"/>
          <w:highlight w:val="none"/>
        </w:rPr>
      </w:pPr>
      <w:r>
        <w:rPr>
          <w:rFonts w:asciiTheme="minorEastAsia" w:hAnsiTheme="minorEastAsia"/>
          <w:color w:val="auto"/>
          <w:sz w:val="24"/>
          <w:szCs w:val="28"/>
          <w:highlight w:val="none"/>
        </w:rPr>
        <w:fldChar w:fldCharType="begin"/>
      </w:r>
      <w:r>
        <w:rPr>
          <w:rFonts w:asciiTheme="minorEastAsia" w:hAnsiTheme="minorEastAsia"/>
          <w:sz w:val="24"/>
          <w:szCs w:val="28"/>
          <w:highlight w:val="none"/>
        </w:rPr>
        <w:instrText xml:space="preserve"> HYPERLINK \l _Toc7085 </w:instrText>
      </w:r>
      <w:r>
        <w:rPr>
          <w:rFonts w:asciiTheme="minorEastAsia" w:hAnsiTheme="minorEastAsia"/>
          <w:sz w:val="24"/>
          <w:szCs w:val="28"/>
          <w:highlight w:val="none"/>
        </w:rPr>
        <w:fldChar w:fldCharType="separate"/>
      </w:r>
      <w:r>
        <w:rPr>
          <w:rFonts w:hint="eastAsia" w:asciiTheme="minorEastAsia" w:hAnsiTheme="minorEastAsia" w:eastAsiaTheme="minorEastAsia"/>
          <w:sz w:val="24"/>
          <w:szCs w:val="24"/>
          <w:highlight w:val="none"/>
        </w:rPr>
        <w:t>第三章  采购需求</w:t>
      </w:r>
      <w:r>
        <w:rPr>
          <w:sz w:val="24"/>
          <w:szCs w:val="24"/>
        </w:rPr>
        <w:tab/>
      </w:r>
      <w:r>
        <w:rPr>
          <w:sz w:val="24"/>
          <w:szCs w:val="24"/>
        </w:rPr>
        <w:fldChar w:fldCharType="begin"/>
      </w:r>
      <w:r>
        <w:rPr>
          <w:sz w:val="24"/>
          <w:szCs w:val="24"/>
        </w:rPr>
        <w:instrText xml:space="preserve"> PAGEREF _Toc7085 \h </w:instrText>
      </w:r>
      <w:r>
        <w:rPr>
          <w:sz w:val="24"/>
          <w:szCs w:val="24"/>
        </w:rPr>
        <w:fldChar w:fldCharType="separate"/>
      </w:r>
      <w:r>
        <w:rPr>
          <w:sz w:val="24"/>
          <w:szCs w:val="24"/>
        </w:rPr>
        <w:t>20</w:t>
      </w:r>
      <w:r>
        <w:rPr>
          <w:sz w:val="24"/>
          <w:szCs w:val="24"/>
        </w:rPr>
        <w:fldChar w:fldCharType="end"/>
      </w:r>
      <w:r>
        <w:rPr>
          <w:rFonts w:asciiTheme="minorEastAsia" w:hAnsiTheme="minorEastAsia"/>
          <w:color w:val="auto"/>
          <w:sz w:val="24"/>
          <w:szCs w:val="28"/>
          <w:highlight w:val="none"/>
        </w:rPr>
        <w:fldChar w:fldCharType="end"/>
      </w:r>
    </w:p>
    <w:p w14:paraId="70861B30">
      <w:pPr>
        <w:rPr>
          <w:sz w:val="21"/>
          <w:szCs w:val="21"/>
        </w:rPr>
      </w:pPr>
    </w:p>
    <w:p w14:paraId="43DB30BB">
      <w:pPr>
        <w:rPr>
          <w:sz w:val="21"/>
          <w:szCs w:val="21"/>
        </w:rPr>
      </w:pPr>
    </w:p>
    <w:p w14:paraId="49A93C1A">
      <w:pPr>
        <w:pStyle w:val="36"/>
        <w:tabs>
          <w:tab w:val="right" w:leader="dot" w:pos="8279"/>
        </w:tabs>
        <w:rPr>
          <w:rFonts w:asciiTheme="minorEastAsia" w:hAnsiTheme="minorEastAsia"/>
          <w:color w:val="auto"/>
          <w:sz w:val="24"/>
          <w:szCs w:val="28"/>
          <w:highlight w:val="none"/>
        </w:rPr>
      </w:pPr>
      <w:r>
        <w:rPr>
          <w:rFonts w:asciiTheme="minorEastAsia" w:hAnsiTheme="minorEastAsia"/>
          <w:color w:val="auto"/>
          <w:sz w:val="24"/>
          <w:szCs w:val="28"/>
          <w:highlight w:val="none"/>
        </w:rPr>
        <w:fldChar w:fldCharType="begin"/>
      </w:r>
      <w:r>
        <w:rPr>
          <w:rFonts w:asciiTheme="minorEastAsia" w:hAnsiTheme="minorEastAsia"/>
          <w:sz w:val="24"/>
          <w:szCs w:val="28"/>
          <w:highlight w:val="none"/>
        </w:rPr>
        <w:instrText xml:space="preserve"> HYPERLINK \l _Toc7201 </w:instrText>
      </w:r>
      <w:r>
        <w:rPr>
          <w:rFonts w:asciiTheme="minorEastAsia" w:hAnsiTheme="minorEastAsia"/>
          <w:sz w:val="24"/>
          <w:szCs w:val="28"/>
          <w:highlight w:val="none"/>
        </w:rPr>
        <w:fldChar w:fldCharType="separate"/>
      </w:r>
      <w:r>
        <w:rPr>
          <w:rFonts w:hint="eastAsia" w:asciiTheme="minorEastAsia" w:hAnsiTheme="minorEastAsia" w:eastAsiaTheme="minorEastAsia"/>
          <w:sz w:val="24"/>
          <w:szCs w:val="24"/>
          <w:highlight w:val="none"/>
        </w:rPr>
        <w:t>第四章  评审方法和标准</w:t>
      </w:r>
      <w:r>
        <w:rPr>
          <w:sz w:val="24"/>
          <w:szCs w:val="24"/>
        </w:rPr>
        <w:tab/>
      </w:r>
      <w:r>
        <w:rPr>
          <w:sz w:val="24"/>
          <w:szCs w:val="24"/>
        </w:rPr>
        <w:fldChar w:fldCharType="begin"/>
      </w:r>
      <w:r>
        <w:rPr>
          <w:sz w:val="24"/>
          <w:szCs w:val="24"/>
        </w:rPr>
        <w:instrText xml:space="preserve"> PAGEREF _Toc7201 \h </w:instrText>
      </w:r>
      <w:r>
        <w:rPr>
          <w:sz w:val="24"/>
          <w:szCs w:val="24"/>
        </w:rPr>
        <w:fldChar w:fldCharType="separate"/>
      </w:r>
      <w:r>
        <w:rPr>
          <w:sz w:val="24"/>
          <w:szCs w:val="24"/>
        </w:rPr>
        <w:t>34</w:t>
      </w:r>
      <w:r>
        <w:rPr>
          <w:sz w:val="24"/>
          <w:szCs w:val="24"/>
        </w:rPr>
        <w:fldChar w:fldCharType="end"/>
      </w:r>
      <w:r>
        <w:rPr>
          <w:rFonts w:asciiTheme="minorEastAsia" w:hAnsiTheme="minorEastAsia"/>
          <w:color w:val="auto"/>
          <w:sz w:val="24"/>
          <w:szCs w:val="28"/>
          <w:highlight w:val="none"/>
        </w:rPr>
        <w:fldChar w:fldCharType="end"/>
      </w:r>
    </w:p>
    <w:p w14:paraId="6E4A1CD0">
      <w:pPr>
        <w:rPr>
          <w:rFonts w:asciiTheme="minorEastAsia" w:hAnsiTheme="minorEastAsia"/>
          <w:color w:val="auto"/>
          <w:sz w:val="21"/>
          <w:szCs w:val="28"/>
          <w:highlight w:val="none"/>
        </w:rPr>
      </w:pPr>
    </w:p>
    <w:p w14:paraId="03E72978">
      <w:pPr>
        <w:rPr>
          <w:rFonts w:asciiTheme="minorEastAsia" w:hAnsiTheme="minorEastAsia"/>
          <w:color w:val="auto"/>
          <w:sz w:val="21"/>
          <w:szCs w:val="28"/>
          <w:highlight w:val="none"/>
        </w:rPr>
      </w:pPr>
    </w:p>
    <w:p w14:paraId="30253918">
      <w:pPr>
        <w:pStyle w:val="36"/>
        <w:tabs>
          <w:tab w:val="right" w:leader="dot" w:pos="8279"/>
        </w:tabs>
        <w:rPr>
          <w:rFonts w:asciiTheme="minorEastAsia" w:hAnsiTheme="minorEastAsia"/>
          <w:color w:val="auto"/>
          <w:sz w:val="24"/>
          <w:szCs w:val="28"/>
          <w:highlight w:val="none"/>
        </w:rPr>
      </w:pPr>
      <w:r>
        <w:rPr>
          <w:rFonts w:asciiTheme="minorEastAsia" w:hAnsiTheme="minorEastAsia"/>
          <w:color w:val="auto"/>
          <w:sz w:val="24"/>
          <w:szCs w:val="28"/>
          <w:highlight w:val="none"/>
        </w:rPr>
        <w:fldChar w:fldCharType="begin"/>
      </w:r>
      <w:r>
        <w:rPr>
          <w:rFonts w:asciiTheme="minorEastAsia" w:hAnsiTheme="minorEastAsia"/>
          <w:sz w:val="24"/>
          <w:szCs w:val="28"/>
          <w:highlight w:val="none"/>
        </w:rPr>
        <w:instrText xml:space="preserve"> HYPERLINK \l _Toc11445 </w:instrText>
      </w:r>
      <w:r>
        <w:rPr>
          <w:rFonts w:asciiTheme="minorEastAsia" w:hAnsiTheme="minorEastAsia"/>
          <w:sz w:val="24"/>
          <w:szCs w:val="28"/>
          <w:highlight w:val="none"/>
        </w:rPr>
        <w:fldChar w:fldCharType="separate"/>
      </w:r>
      <w:r>
        <w:rPr>
          <w:rFonts w:hint="eastAsia" w:asciiTheme="minorEastAsia" w:hAnsiTheme="minorEastAsia" w:eastAsiaTheme="minorEastAsia"/>
          <w:sz w:val="24"/>
          <w:szCs w:val="24"/>
          <w:highlight w:val="none"/>
        </w:rPr>
        <w:t xml:space="preserve">第五章  </w:t>
      </w:r>
      <w:r>
        <w:rPr>
          <w:rFonts w:asciiTheme="minorEastAsia" w:hAnsiTheme="minorEastAsia" w:eastAsiaTheme="minorEastAsia"/>
          <w:sz w:val="24"/>
          <w:szCs w:val="24"/>
          <w:highlight w:val="none"/>
        </w:rPr>
        <w:t>政府采购合同</w:t>
      </w:r>
      <w:r>
        <w:rPr>
          <w:sz w:val="24"/>
          <w:szCs w:val="24"/>
        </w:rPr>
        <w:tab/>
      </w:r>
      <w:r>
        <w:rPr>
          <w:sz w:val="24"/>
          <w:szCs w:val="24"/>
        </w:rPr>
        <w:fldChar w:fldCharType="begin"/>
      </w:r>
      <w:r>
        <w:rPr>
          <w:sz w:val="24"/>
          <w:szCs w:val="24"/>
        </w:rPr>
        <w:instrText xml:space="preserve"> PAGEREF _Toc11445 \h </w:instrText>
      </w:r>
      <w:r>
        <w:rPr>
          <w:sz w:val="24"/>
          <w:szCs w:val="24"/>
        </w:rPr>
        <w:fldChar w:fldCharType="separate"/>
      </w:r>
      <w:r>
        <w:rPr>
          <w:sz w:val="24"/>
          <w:szCs w:val="24"/>
        </w:rPr>
        <w:t>41</w:t>
      </w:r>
      <w:r>
        <w:rPr>
          <w:sz w:val="24"/>
          <w:szCs w:val="24"/>
        </w:rPr>
        <w:fldChar w:fldCharType="end"/>
      </w:r>
      <w:r>
        <w:rPr>
          <w:rFonts w:asciiTheme="minorEastAsia" w:hAnsiTheme="minorEastAsia"/>
          <w:color w:val="auto"/>
          <w:sz w:val="24"/>
          <w:szCs w:val="28"/>
          <w:highlight w:val="none"/>
        </w:rPr>
        <w:fldChar w:fldCharType="end"/>
      </w:r>
    </w:p>
    <w:p w14:paraId="3C58C350">
      <w:pPr>
        <w:rPr>
          <w:rFonts w:asciiTheme="minorEastAsia" w:hAnsiTheme="minorEastAsia"/>
          <w:color w:val="auto"/>
          <w:sz w:val="21"/>
          <w:szCs w:val="28"/>
          <w:highlight w:val="none"/>
        </w:rPr>
      </w:pPr>
    </w:p>
    <w:p w14:paraId="5559B333">
      <w:pPr>
        <w:rPr>
          <w:rFonts w:asciiTheme="minorEastAsia" w:hAnsiTheme="minorEastAsia"/>
          <w:color w:val="auto"/>
          <w:sz w:val="21"/>
          <w:szCs w:val="28"/>
          <w:highlight w:val="none"/>
        </w:rPr>
      </w:pPr>
    </w:p>
    <w:p w14:paraId="36A80D18">
      <w:pPr>
        <w:pStyle w:val="36"/>
        <w:tabs>
          <w:tab w:val="right" w:leader="dot" w:pos="8279"/>
        </w:tabs>
        <w:rPr>
          <w:rFonts w:asciiTheme="minorEastAsia" w:hAnsiTheme="minorEastAsia"/>
          <w:color w:val="auto"/>
          <w:sz w:val="24"/>
          <w:szCs w:val="28"/>
          <w:highlight w:val="none"/>
        </w:rPr>
      </w:pPr>
      <w:r>
        <w:rPr>
          <w:rFonts w:asciiTheme="minorEastAsia" w:hAnsiTheme="minorEastAsia"/>
          <w:color w:val="auto"/>
          <w:sz w:val="24"/>
          <w:szCs w:val="28"/>
          <w:highlight w:val="none"/>
        </w:rPr>
        <w:fldChar w:fldCharType="begin"/>
      </w:r>
      <w:r>
        <w:rPr>
          <w:rFonts w:asciiTheme="minorEastAsia" w:hAnsiTheme="minorEastAsia"/>
          <w:sz w:val="24"/>
          <w:szCs w:val="28"/>
          <w:highlight w:val="none"/>
        </w:rPr>
        <w:instrText xml:space="preserve"> HYPERLINK \l _Toc6303 </w:instrText>
      </w:r>
      <w:r>
        <w:rPr>
          <w:rFonts w:asciiTheme="minorEastAsia" w:hAnsiTheme="minorEastAsia"/>
          <w:sz w:val="24"/>
          <w:szCs w:val="28"/>
          <w:highlight w:val="none"/>
        </w:rPr>
        <w:fldChar w:fldCharType="separate"/>
      </w:r>
      <w:r>
        <w:rPr>
          <w:rFonts w:hint="eastAsia" w:asciiTheme="minorEastAsia" w:hAnsiTheme="minorEastAsia" w:eastAsiaTheme="minorEastAsia"/>
          <w:sz w:val="24"/>
          <w:szCs w:val="24"/>
          <w:highlight w:val="none"/>
        </w:rPr>
        <w:t>第六章  响应文件格式</w:t>
      </w:r>
      <w:r>
        <w:rPr>
          <w:sz w:val="24"/>
          <w:szCs w:val="24"/>
        </w:rPr>
        <w:tab/>
      </w:r>
      <w:r>
        <w:rPr>
          <w:sz w:val="24"/>
          <w:szCs w:val="24"/>
        </w:rPr>
        <w:fldChar w:fldCharType="begin"/>
      </w:r>
      <w:r>
        <w:rPr>
          <w:sz w:val="24"/>
          <w:szCs w:val="24"/>
        </w:rPr>
        <w:instrText xml:space="preserve"> PAGEREF _Toc6303 \h </w:instrText>
      </w:r>
      <w:r>
        <w:rPr>
          <w:sz w:val="24"/>
          <w:szCs w:val="24"/>
        </w:rPr>
        <w:fldChar w:fldCharType="separate"/>
      </w:r>
      <w:r>
        <w:rPr>
          <w:sz w:val="24"/>
          <w:szCs w:val="24"/>
        </w:rPr>
        <w:t>95</w:t>
      </w:r>
      <w:r>
        <w:rPr>
          <w:sz w:val="24"/>
          <w:szCs w:val="24"/>
        </w:rPr>
        <w:fldChar w:fldCharType="end"/>
      </w:r>
      <w:r>
        <w:rPr>
          <w:rFonts w:asciiTheme="minorEastAsia" w:hAnsiTheme="minorEastAsia"/>
          <w:color w:val="auto"/>
          <w:sz w:val="24"/>
          <w:szCs w:val="28"/>
          <w:highlight w:val="none"/>
        </w:rPr>
        <w:fldChar w:fldCharType="end"/>
      </w:r>
    </w:p>
    <w:p w14:paraId="02BF915D">
      <w:pPr>
        <w:rPr>
          <w:rFonts w:asciiTheme="minorEastAsia" w:hAnsiTheme="minorEastAsia"/>
          <w:color w:val="auto"/>
          <w:sz w:val="21"/>
          <w:szCs w:val="28"/>
          <w:highlight w:val="none"/>
        </w:rPr>
      </w:pPr>
    </w:p>
    <w:p w14:paraId="671EFACC">
      <w:pPr>
        <w:rPr>
          <w:rFonts w:asciiTheme="minorEastAsia" w:hAnsiTheme="minorEastAsia"/>
          <w:color w:val="auto"/>
          <w:sz w:val="21"/>
          <w:szCs w:val="28"/>
          <w:highlight w:val="none"/>
        </w:rPr>
      </w:pPr>
    </w:p>
    <w:p w14:paraId="16DF086C">
      <w:pPr>
        <w:pStyle w:val="36"/>
        <w:tabs>
          <w:tab w:val="right" w:leader="dot" w:pos="8279"/>
        </w:tabs>
        <w:rPr>
          <w:sz w:val="24"/>
          <w:szCs w:val="24"/>
        </w:rPr>
      </w:pPr>
      <w:r>
        <w:rPr>
          <w:rFonts w:asciiTheme="minorEastAsia" w:hAnsiTheme="minorEastAsia"/>
          <w:color w:val="auto"/>
          <w:sz w:val="24"/>
          <w:szCs w:val="28"/>
          <w:highlight w:val="none"/>
        </w:rPr>
        <w:fldChar w:fldCharType="begin"/>
      </w:r>
      <w:r>
        <w:rPr>
          <w:rFonts w:asciiTheme="minorEastAsia" w:hAnsiTheme="minorEastAsia"/>
          <w:sz w:val="24"/>
          <w:szCs w:val="28"/>
          <w:highlight w:val="none"/>
        </w:rPr>
        <w:instrText xml:space="preserve"> HYPERLINK \l _Toc4801 </w:instrText>
      </w:r>
      <w:r>
        <w:rPr>
          <w:rFonts w:asciiTheme="minorEastAsia" w:hAnsiTheme="minorEastAsia"/>
          <w:sz w:val="24"/>
          <w:szCs w:val="28"/>
          <w:highlight w:val="none"/>
        </w:rPr>
        <w:fldChar w:fldCharType="separate"/>
      </w:r>
      <w:r>
        <w:rPr>
          <w:rFonts w:hint="eastAsia"/>
          <w:bCs/>
          <w:sz w:val="24"/>
          <w:szCs w:val="24"/>
          <w:highlight w:val="none"/>
        </w:rPr>
        <w:t>第</w:t>
      </w:r>
      <w:r>
        <w:rPr>
          <w:rFonts w:hint="eastAsia"/>
          <w:bCs/>
          <w:sz w:val="24"/>
          <w:szCs w:val="24"/>
          <w:highlight w:val="none"/>
          <w:lang w:val="en-US" w:eastAsia="zh-CN"/>
        </w:rPr>
        <w:t>七</w:t>
      </w:r>
      <w:r>
        <w:rPr>
          <w:rFonts w:hint="eastAsia"/>
          <w:bCs/>
          <w:sz w:val="24"/>
          <w:szCs w:val="24"/>
          <w:highlight w:val="none"/>
        </w:rPr>
        <w:t>章  政府采购</w:t>
      </w:r>
      <w:r>
        <w:rPr>
          <w:rFonts w:hint="eastAsia" w:asciiTheme="minorEastAsia" w:hAnsiTheme="minorEastAsia" w:eastAsiaTheme="minorEastAsia"/>
          <w:sz w:val="24"/>
          <w:szCs w:val="24"/>
          <w:highlight w:val="none"/>
        </w:rPr>
        <w:t>供应</w:t>
      </w:r>
      <w:r>
        <w:rPr>
          <w:rFonts w:hint="eastAsia"/>
          <w:bCs/>
          <w:sz w:val="24"/>
          <w:szCs w:val="24"/>
          <w:highlight w:val="none"/>
        </w:rPr>
        <w:t>商询问函和质疑函范本</w:t>
      </w:r>
      <w:r>
        <w:rPr>
          <w:sz w:val="24"/>
          <w:szCs w:val="24"/>
        </w:rPr>
        <w:tab/>
      </w:r>
      <w:r>
        <w:rPr>
          <w:sz w:val="24"/>
          <w:szCs w:val="24"/>
        </w:rPr>
        <w:fldChar w:fldCharType="begin"/>
      </w:r>
      <w:r>
        <w:rPr>
          <w:sz w:val="24"/>
          <w:szCs w:val="24"/>
        </w:rPr>
        <w:instrText xml:space="preserve"> PAGEREF _Toc4801 \h </w:instrText>
      </w:r>
      <w:r>
        <w:rPr>
          <w:sz w:val="24"/>
          <w:szCs w:val="24"/>
        </w:rPr>
        <w:fldChar w:fldCharType="separate"/>
      </w:r>
      <w:r>
        <w:rPr>
          <w:sz w:val="24"/>
          <w:szCs w:val="24"/>
        </w:rPr>
        <w:t>115</w:t>
      </w:r>
      <w:r>
        <w:rPr>
          <w:sz w:val="24"/>
          <w:szCs w:val="24"/>
        </w:rPr>
        <w:fldChar w:fldCharType="end"/>
      </w:r>
      <w:r>
        <w:rPr>
          <w:rFonts w:asciiTheme="minorEastAsia" w:hAnsiTheme="minorEastAsia"/>
          <w:color w:val="auto"/>
          <w:sz w:val="24"/>
          <w:szCs w:val="28"/>
          <w:highlight w:val="none"/>
        </w:rPr>
        <w:fldChar w:fldCharType="end"/>
      </w:r>
    </w:p>
    <w:p w14:paraId="64CA5366">
      <w:pPr>
        <w:pStyle w:val="46"/>
        <w:tabs>
          <w:tab w:val="right" w:leader="dot" w:pos="8279"/>
        </w:tabs>
      </w:pPr>
    </w:p>
    <w:p w14:paraId="64FE25F6">
      <w:pPr>
        <w:pStyle w:val="46"/>
        <w:tabs>
          <w:tab w:val="right" w:leader="dot" w:pos="8296"/>
        </w:tabs>
        <w:rPr>
          <w:rFonts w:asciiTheme="minorEastAsia" w:hAnsiTheme="minorEastAsia"/>
          <w:b/>
          <w:color w:val="auto"/>
          <w:szCs w:val="24"/>
          <w:highlight w:val="none"/>
        </w:rPr>
      </w:pPr>
      <w:r>
        <w:rPr>
          <w:rFonts w:asciiTheme="minorEastAsia" w:hAnsiTheme="minorEastAsia"/>
          <w:color w:val="auto"/>
          <w:szCs w:val="24"/>
          <w:highlight w:val="none"/>
        </w:rPr>
        <w:fldChar w:fldCharType="end"/>
      </w:r>
    </w:p>
    <w:p w14:paraId="55DDEF3D">
      <w:pPr>
        <w:pStyle w:val="7"/>
        <w:sectPr>
          <w:headerReference r:id="rId3" w:type="default"/>
          <w:footerReference r:id="rId4" w:type="default"/>
          <w:pgSz w:w="11907" w:h="16840"/>
          <w:pgMar w:top="1474" w:right="1814" w:bottom="1474" w:left="1814" w:header="851" w:footer="992" w:gutter="0"/>
          <w:cols w:space="720" w:num="1"/>
          <w:docGrid w:linePitch="462" w:charSpace="0"/>
        </w:sectPr>
      </w:pPr>
    </w:p>
    <w:p w14:paraId="37F8F577">
      <w:pPr>
        <w:spacing w:line="360" w:lineRule="auto"/>
        <w:jc w:val="center"/>
        <w:outlineLvl w:val="0"/>
        <w:rPr>
          <w:rFonts w:hint="eastAsia" w:asciiTheme="minorEastAsia" w:hAnsiTheme="minorEastAsia" w:eastAsiaTheme="minorEastAsia"/>
          <w:b/>
          <w:color w:val="auto"/>
          <w:sz w:val="28"/>
          <w:highlight w:val="none"/>
          <w:lang w:val="en-US" w:eastAsia="zh-CN"/>
        </w:rPr>
      </w:pPr>
      <w:bookmarkStart w:id="1" w:name="_Toc15476"/>
      <w:r>
        <w:rPr>
          <w:rFonts w:hint="eastAsia" w:asciiTheme="minorEastAsia" w:hAnsiTheme="minorEastAsia" w:eastAsiaTheme="minorEastAsia"/>
          <w:b/>
          <w:color w:val="auto"/>
          <w:sz w:val="28"/>
          <w:highlight w:val="none"/>
        </w:rPr>
        <w:t xml:space="preserve">第一章 </w:t>
      </w:r>
      <w:r>
        <w:rPr>
          <w:rFonts w:asciiTheme="minorEastAsia" w:hAnsiTheme="minorEastAsia" w:eastAsiaTheme="minorEastAsia"/>
          <w:b/>
          <w:color w:val="auto"/>
          <w:sz w:val="28"/>
          <w:highlight w:val="none"/>
        </w:rPr>
        <w:t xml:space="preserve"> </w:t>
      </w:r>
      <w:r>
        <w:rPr>
          <w:rFonts w:hint="eastAsia" w:asciiTheme="minorEastAsia" w:hAnsiTheme="minorEastAsia" w:eastAsiaTheme="minorEastAsia"/>
          <w:b/>
          <w:color w:val="auto"/>
          <w:sz w:val="28"/>
          <w:highlight w:val="none"/>
          <w:lang w:val="en-US" w:eastAsia="zh-CN"/>
        </w:rPr>
        <w:t>竞争性</w:t>
      </w:r>
      <w:r>
        <w:rPr>
          <w:rFonts w:hint="eastAsia" w:asciiTheme="minorEastAsia" w:hAnsiTheme="minorEastAsia" w:eastAsiaTheme="minorEastAsia"/>
          <w:b/>
          <w:color w:val="auto"/>
          <w:sz w:val="28"/>
          <w:highlight w:val="none"/>
        </w:rPr>
        <w:t>磋商</w:t>
      </w:r>
      <w:r>
        <w:rPr>
          <w:rFonts w:hint="eastAsia" w:asciiTheme="minorEastAsia" w:hAnsiTheme="minorEastAsia" w:eastAsiaTheme="minorEastAsia"/>
          <w:b/>
          <w:color w:val="auto"/>
          <w:sz w:val="28"/>
          <w:highlight w:val="none"/>
          <w:lang w:val="en-US" w:eastAsia="zh-CN"/>
        </w:rPr>
        <w:t>公告</w:t>
      </w:r>
      <w:bookmarkEnd w:id="1"/>
    </w:p>
    <w:p w14:paraId="23E61855">
      <w:pPr>
        <w:spacing w:line="360" w:lineRule="auto"/>
        <w:ind w:firstLine="435"/>
        <w:outlineLvl w:val="1"/>
        <w:rPr>
          <w:rFonts w:hint="eastAsia" w:ascii="黑体" w:hAnsi="黑体" w:eastAsia="黑体" w:cs="黑体"/>
          <w:b/>
          <w:bCs/>
          <w:color w:val="auto"/>
          <w:sz w:val="28"/>
          <w:szCs w:val="28"/>
          <w:highlight w:val="none"/>
        </w:rPr>
      </w:pPr>
      <w:bookmarkStart w:id="2" w:name="_Toc26313"/>
      <w:bookmarkStart w:id="3" w:name="_Toc8770"/>
      <w:bookmarkStart w:id="4" w:name="_Toc18492"/>
      <w:r>
        <w:rPr>
          <w:rFonts w:hint="eastAsia" w:ascii="黑体" w:hAnsi="黑体" w:eastAsia="黑体" w:cs="黑体"/>
          <w:b/>
          <w:bCs/>
          <w:color w:val="auto"/>
          <w:sz w:val="28"/>
          <w:szCs w:val="28"/>
          <w:highlight w:val="none"/>
          <w:lang w:val="en-US" w:eastAsia="zh-CN"/>
        </w:rPr>
        <w:t>项目概况</w:t>
      </w:r>
      <w:bookmarkEnd w:id="2"/>
      <w:r>
        <w:rPr>
          <w:rFonts w:hint="eastAsia" w:ascii="黑体" w:hAnsi="黑体" w:eastAsia="黑体" w:cs="黑体"/>
          <w:b/>
          <w:bCs/>
          <w:color w:val="auto"/>
          <w:sz w:val="28"/>
          <w:szCs w:val="28"/>
          <w:highlight w:val="none"/>
          <w:lang w:val="en-US" w:eastAsia="zh-CN"/>
        </w:rPr>
        <w:t xml:space="preserve"> </w:t>
      </w:r>
    </w:p>
    <w:p w14:paraId="21240336">
      <w:pPr>
        <w:spacing w:line="360" w:lineRule="auto"/>
        <w:ind w:firstLine="560" w:firstLineChars="200"/>
        <w:rPr>
          <w:rFonts w:hint="eastAsia" w:ascii="仿宋" w:hAnsi="仿宋" w:eastAsia="仿宋" w:cs="仿宋"/>
          <w:color w:val="auto"/>
          <w:sz w:val="28"/>
          <w:szCs w:val="28"/>
          <w:highlight w:val="none"/>
          <w:u w:val="none"/>
          <w:lang w:val="en-US" w:eastAsia="zh-CN"/>
        </w:rPr>
      </w:pPr>
      <w:r>
        <w:rPr>
          <w:rFonts w:hint="eastAsia" w:ascii="仿宋" w:hAnsi="仿宋" w:eastAsia="仿宋" w:cs="仿宋"/>
          <w:color w:val="auto"/>
          <w:sz w:val="28"/>
          <w:szCs w:val="28"/>
          <w:highlight w:val="none"/>
          <w:u w:val="none"/>
          <w:lang w:val="en-US" w:eastAsia="zh-CN"/>
        </w:rPr>
        <w:t>界首市顺河路、经二路、胜利路清淤及检测工程的潜在供应商应在安徽融城高新技术产业发展集团有限公司(https://www.ahrcgxjt.com/)网站获取采购文件，并于2026年8月  3日15点00分（北京时间）前提交响应文件。</w:t>
      </w:r>
    </w:p>
    <w:p w14:paraId="77C3097B">
      <w:pPr>
        <w:spacing w:line="360" w:lineRule="auto"/>
        <w:ind w:firstLine="435"/>
        <w:outlineLvl w:val="1"/>
        <w:rPr>
          <w:rFonts w:hint="eastAsia" w:ascii="黑体" w:hAnsi="黑体" w:eastAsia="黑体" w:cs="黑体"/>
          <w:b/>
          <w:bCs/>
          <w:color w:val="auto"/>
          <w:sz w:val="28"/>
          <w:szCs w:val="28"/>
          <w:highlight w:val="none"/>
          <w:lang w:val="en-US" w:eastAsia="zh-CN"/>
        </w:rPr>
      </w:pPr>
      <w:bookmarkStart w:id="5" w:name="_Toc19755"/>
      <w:r>
        <w:rPr>
          <w:rFonts w:hint="eastAsia" w:ascii="黑体" w:hAnsi="黑体" w:eastAsia="黑体" w:cs="黑体"/>
          <w:b/>
          <w:bCs/>
          <w:color w:val="auto"/>
          <w:sz w:val="28"/>
          <w:szCs w:val="28"/>
          <w:highlight w:val="none"/>
          <w:lang w:val="en-US" w:eastAsia="zh-CN"/>
        </w:rPr>
        <w:t>一、</w:t>
      </w:r>
      <w:bookmarkEnd w:id="3"/>
      <w:r>
        <w:rPr>
          <w:rFonts w:hint="eastAsia" w:ascii="黑体" w:hAnsi="黑体" w:eastAsia="黑体" w:cs="黑体"/>
          <w:b/>
          <w:bCs/>
          <w:color w:val="auto"/>
          <w:sz w:val="28"/>
          <w:szCs w:val="28"/>
          <w:highlight w:val="none"/>
          <w:lang w:val="en-US" w:eastAsia="zh-CN"/>
        </w:rPr>
        <w:t>项目基本情况</w:t>
      </w:r>
      <w:bookmarkEnd w:id="4"/>
      <w:bookmarkEnd w:id="5"/>
    </w:p>
    <w:p w14:paraId="19D3F023">
      <w:pPr>
        <w:spacing w:line="360" w:lineRule="auto"/>
        <w:ind w:firstLine="435"/>
        <w:rPr>
          <w:rFonts w:hint="eastAsia" w:ascii="仿宋" w:hAnsi="仿宋" w:eastAsia="仿宋" w:cs="仿宋"/>
          <w:color w:val="auto"/>
          <w:sz w:val="28"/>
          <w:szCs w:val="28"/>
          <w:highlight w:val="none"/>
        </w:rPr>
      </w:pPr>
      <w:bookmarkStart w:id="6" w:name="_Toc26628"/>
      <w:r>
        <w:rPr>
          <w:rFonts w:hint="eastAsia" w:ascii="仿宋" w:hAnsi="仿宋" w:eastAsia="仿宋" w:cs="仿宋"/>
          <w:color w:val="auto"/>
          <w:sz w:val="28"/>
          <w:szCs w:val="28"/>
          <w:highlight w:val="none"/>
        </w:rPr>
        <w:t>1.项目编号：</w:t>
      </w:r>
      <w:r>
        <w:rPr>
          <w:rFonts w:hint="eastAsia" w:ascii="仿宋" w:hAnsi="仿宋" w:eastAsia="仿宋" w:cs="仿宋"/>
          <w:color w:val="auto"/>
          <w:sz w:val="28"/>
          <w:szCs w:val="28"/>
          <w:highlight w:val="none"/>
          <w:lang w:val="en-US" w:eastAsia="zh-CN"/>
        </w:rPr>
        <w:t>AHWM-20260016</w:t>
      </w:r>
      <w:bookmarkStart w:id="795" w:name="_GoBack"/>
      <w:bookmarkEnd w:id="795"/>
    </w:p>
    <w:p w14:paraId="587C43C8">
      <w:pPr>
        <w:spacing w:line="360" w:lineRule="auto"/>
        <w:ind w:firstLine="435"/>
        <w:rPr>
          <w:rFonts w:hint="eastAsia" w:ascii="仿宋" w:hAnsi="仿宋" w:eastAsia="仿宋" w:cs="仿宋"/>
          <w:color w:val="auto"/>
          <w:sz w:val="28"/>
          <w:szCs w:val="28"/>
          <w:highlight w:val="none"/>
          <w:u w:val="none"/>
          <w:lang w:eastAsia="zh-CN"/>
        </w:rPr>
      </w:pPr>
      <w:r>
        <w:rPr>
          <w:rFonts w:hint="eastAsia" w:ascii="仿宋" w:hAnsi="仿宋" w:eastAsia="仿宋" w:cs="仿宋"/>
          <w:color w:val="auto"/>
          <w:sz w:val="28"/>
          <w:szCs w:val="28"/>
          <w:highlight w:val="none"/>
          <w:u w:val="none"/>
        </w:rPr>
        <w:t>2.项目名称：</w:t>
      </w:r>
      <w:r>
        <w:rPr>
          <w:rFonts w:hint="eastAsia" w:ascii="仿宋" w:hAnsi="仿宋" w:eastAsia="仿宋" w:cs="仿宋"/>
          <w:color w:val="auto"/>
          <w:sz w:val="28"/>
          <w:szCs w:val="28"/>
          <w:highlight w:val="none"/>
          <w:u w:val="none"/>
          <w:lang w:eastAsia="zh-CN"/>
        </w:rPr>
        <w:t>界首市顺河路、经二路、胜利路清淤及检测工程</w:t>
      </w:r>
    </w:p>
    <w:p w14:paraId="464B6E58">
      <w:pPr>
        <w:spacing w:line="360" w:lineRule="auto"/>
        <w:ind w:firstLine="435"/>
        <w:rPr>
          <w:rFonts w:hint="eastAsia" w:ascii="仿宋" w:hAnsi="仿宋" w:eastAsia="仿宋" w:cs="仿宋"/>
          <w:color w:val="auto"/>
          <w:sz w:val="28"/>
          <w:szCs w:val="28"/>
          <w:highlight w:val="none"/>
          <w:u w:val="none"/>
          <w:lang w:val="en-US" w:eastAsia="zh-CN"/>
        </w:rPr>
      </w:pPr>
      <w:r>
        <w:rPr>
          <w:rFonts w:hint="eastAsia" w:ascii="仿宋" w:hAnsi="仿宋" w:eastAsia="仿宋" w:cs="仿宋"/>
          <w:color w:val="auto"/>
          <w:sz w:val="28"/>
          <w:szCs w:val="28"/>
          <w:highlight w:val="none"/>
          <w:u w:val="none"/>
        </w:rPr>
        <w:t>3.预算金额：</w:t>
      </w:r>
      <w:r>
        <w:rPr>
          <w:rFonts w:hint="eastAsia" w:ascii="仿宋" w:hAnsi="仿宋" w:eastAsia="仿宋" w:cs="仿宋"/>
          <w:color w:val="auto"/>
          <w:sz w:val="28"/>
          <w:szCs w:val="28"/>
          <w:highlight w:val="none"/>
          <w:u w:val="none"/>
          <w:lang w:val="en-US" w:eastAsia="zh-CN"/>
        </w:rPr>
        <w:t>206273.78元</w:t>
      </w:r>
    </w:p>
    <w:p w14:paraId="03B7B2F1">
      <w:pPr>
        <w:spacing w:line="360" w:lineRule="auto"/>
        <w:ind w:firstLine="435"/>
        <w:rPr>
          <w:rFonts w:hint="eastAsia" w:ascii="仿宋" w:hAnsi="仿宋" w:eastAsia="仿宋" w:cs="仿宋"/>
          <w:color w:val="auto"/>
          <w:sz w:val="28"/>
          <w:szCs w:val="28"/>
          <w:highlight w:val="none"/>
          <w:u w:val="none"/>
          <w:lang w:val="en-US" w:eastAsia="zh-CN"/>
        </w:rPr>
      </w:pPr>
      <w:r>
        <w:rPr>
          <w:rFonts w:hint="eastAsia" w:ascii="仿宋" w:hAnsi="仿宋" w:eastAsia="仿宋" w:cs="仿宋"/>
          <w:color w:val="auto"/>
          <w:sz w:val="28"/>
          <w:szCs w:val="28"/>
          <w:highlight w:val="none"/>
          <w:u w:val="none"/>
        </w:rPr>
        <w:t>4.最高限价：</w:t>
      </w:r>
      <w:r>
        <w:rPr>
          <w:rFonts w:hint="eastAsia" w:ascii="仿宋" w:hAnsi="仿宋" w:eastAsia="仿宋" w:cs="仿宋"/>
          <w:color w:val="auto"/>
          <w:sz w:val="28"/>
          <w:szCs w:val="28"/>
          <w:highlight w:val="none"/>
          <w:u w:val="none"/>
          <w:lang w:val="en-US" w:eastAsia="zh-CN"/>
        </w:rPr>
        <w:t>206273.78元</w:t>
      </w:r>
    </w:p>
    <w:p w14:paraId="493DA129">
      <w:pPr>
        <w:spacing w:line="360" w:lineRule="auto"/>
        <w:ind w:firstLine="435"/>
        <w:rPr>
          <w:rFonts w:hint="eastAsia" w:ascii="仿宋" w:hAnsi="仿宋" w:eastAsia="仿宋" w:cs="仿宋"/>
          <w:color w:val="auto"/>
          <w:sz w:val="28"/>
          <w:szCs w:val="28"/>
          <w:highlight w:val="none"/>
          <w:u w:val="none"/>
          <w:lang w:eastAsia="zh-CN"/>
        </w:rPr>
      </w:pPr>
      <w:r>
        <w:rPr>
          <w:rFonts w:hint="eastAsia" w:ascii="仿宋" w:hAnsi="仿宋" w:eastAsia="仿宋" w:cs="仿宋"/>
          <w:color w:val="auto"/>
          <w:sz w:val="28"/>
          <w:szCs w:val="28"/>
          <w:highlight w:val="none"/>
          <w:u w:val="none"/>
        </w:rPr>
        <w:t>5.</w:t>
      </w:r>
      <w:r>
        <w:rPr>
          <w:rFonts w:hint="eastAsia" w:ascii="仿宋" w:hAnsi="仿宋" w:eastAsia="仿宋" w:cs="仿宋"/>
          <w:color w:val="auto"/>
          <w:sz w:val="28"/>
          <w:szCs w:val="28"/>
          <w:highlight w:val="none"/>
          <w:u w:val="none"/>
          <w:lang w:eastAsia="zh-CN"/>
        </w:rPr>
        <w:t>采购需求：界首市顺河路、经二路、胜利路清淤及检测工程</w:t>
      </w:r>
      <w:r>
        <w:rPr>
          <w:rFonts w:hint="eastAsia" w:ascii="仿宋" w:hAnsi="仿宋" w:eastAsia="仿宋" w:cs="仿宋"/>
          <w:color w:val="auto"/>
          <w:sz w:val="28"/>
          <w:szCs w:val="28"/>
          <w:highlight w:val="none"/>
          <w:u w:val="none"/>
          <w:lang w:val="en-US" w:eastAsia="zh-CN"/>
        </w:rPr>
        <w:t>；本次实施项目为顺河路（融城大道-战训中心门口）、经二路（顺河路-人民路）、胜利路（融城大道-中心沟桥）段，全线雨污水管网长约3500米，具体内容详见工程量清单</w:t>
      </w:r>
      <w:r>
        <w:rPr>
          <w:rFonts w:hint="eastAsia" w:ascii="仿宋" w:hAnsi="仿宋" w:eastAsia="仿宋" w:cs="仿宋"/>
          <w:color w:val="auto"/>
          <w:sz w:val="28"/>
          <w:szCs w:val="28"/>
          <w:highlight w:val="none"/>
          <w:u w:val="none"/>
          <w:lang w:eastAsia="zh-CN"/>
        </w:rPr>
        <w:t>。</w:t>
      </w:r>
    </w:p>
    <w:p w14:paraId="24B557DF">
      <w:pPr>
        <w:spacing w:line="360" w:lineRule="auto"/>
        <w:ind w:firstLine="435"/>
        <w:rPr>
          <w:rFonts w:hint="eastAsia" w:ascii="仿宋" w:hAnsi="仿宋" w:eastAsia="仿宋" w:cs="仿宋"/>
          <w:color w:val="auto"/>
          <w:sz w:val="28"/>
          <w:szCs w:val="28"/>
          <w:highlight w:val="none"/>
          <w:u w:val="none"/>
          <w:lang w:val="en-US" w:eastAsia="zh-CN"/>
        </w:rPr>
      </w:pPr>
      <w:r>
        <w:rPr>
          <w:rFonts w:hint="eastAsia" w:ascii="仿宋" w:hAnsi="仿宋" w:eastAsia="仿宋" w:cs="仿宋"/>
          <w:color w:val="auto"/>
          <w:sz w:val="28"/>
          <w:szCs w:val="28"/>
          <w:highlight w:val="none"/>
          <w:u w:val="none"/>
        </w:rPr>
        <w:t>6.合同履行期限：</w:t>
      </w:r>
      <w:r>
        <w:rPr>
          <w:rFonts w:hint="eastAsia" w:ascii="仿宋" w:hAnsi="仿宋" w:eastAsia="仿宋" w:cs="仿宋"/>
          <w:color w:val="auto"/>
          <w:sz w:val="28"/>
          <w:szCs w:val="28"/>
          <w:highlight w:val="none"/>
          <w:u w:val="none"/>
          <w:lang w:val="en-US" w:eastAsia="zh-CN"/>
        </w:rPr>
        <w:t>30日历天</w:t>
      </w:r>
    </w:p>
    <w:p w14:paraId="538CC626">
      <w:pPr>
        <w:spacing w:line="360" w:lineRule="auto"/>
        <w:ind w:firstLine="435"/>
        <w:outlineLvl w:val="1"/>
        <w:rPr>
          <w:rFonts w:hint="eastAsia" w:ascii="黑体" w:hAnsi="黑体" w:eastAsia="黑体" w:cs="黑体"/>
          <w:b/>
          <w:bCs/>
          <w:color w:val="auto"/>
          <w:sz w:val="28"/>
          <w:szCs w:val="28"/>
          <w:highlight w:val="none"/>
          <w:lang w:val="en-US" w:eastAsia="zh-CN"/>
        </w:rPr>
      </w:pPr>
      <w:bookmarkStart w:id="7" w:name="_Toc14417"/>
      <w:bookmarkStart w:id="8" w:name="_Toc27595"/>
      <w:r>
        <w:rPr>
          <w:rFonts w:hint="eastAsia" w:ascii="黑体" w:hAnsi="黑体" w:eastAsia="黑体" w:cs="黑体"/>
          <w:b/>
          <w:bCs/>
          <w:color w:val="auto"/>
          <w:sz w:val="28"/>
          <w:szCs w:val="28"/>
          <w:highlight w:val="none"/>
          <w:lang w:val="en-US" w:eastAsia="zh-CN"/>
        </w:rPr>
        <w:t>二、申请人的资格</w:t>
      </w:r>
      <w:bookmarkEnd w:id="6"/>
      <w:r>
        <w:rPr>
          <w:rFonts w:hint="eastAsia" w:ascii="黑体" w:hAnsi="黑体" w:eastAsia="黑体" w:cs="黑体"/>
          <w:b/>
          <w:bCs/>
          <w:color w:val="auto"/>
          <w:sz w:val="28"/>
          <w:szCs w:val="28"/>
          <w:highlight w:val="none"/>
          <w:lang w:val="en-US" w:eastAsia="zh-CN"/>
        </w:rPr>
        <w:t>要求</w:t>
      </w:r>
      <w:bookmarkEnd w:id="7"/>
      <w:bookmarkEnd w:id="8"/>
    </w:p>
    <w:p w14:paraId="710CEE8C">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eastAsia" w:ascii="仿宋" w:hAnsi="仿宋" w:eastAsia="仿宋" w:cs="仿宋"/>
          <w:color w:val="auto"/>
          <w:sz w:val="28"/>
          <w:szCs w:val="28"/>
          <w:highlight w:val="none"/>
          <w:lang w:val="en-US" w:eastAsia="zh-CN"/>
        </w:rPr>
      </w:pPr>
      <w:bookmarkStart w:id="9" w:name="_Toc4065"/>
      <w:r>
        <w:rPr>
          <w:rFonts w:hint="eastAsia" w:ascii="仿宋" w:hAnsi="仿宋" w:eastAsia="仿宋" w:cs="仿宋"/>
          <w:color w:val="auto"/>
          <w:sz w:val="28"/>
          <w:szCs w:val="28"/>
          <w:highlight w:val="none"/>
          <w:lang w:val="en-US" w:eastAsia="zh-CN"/>
        </w:rPr>
        <w:t>1.满足《中华人民共和国政府采购法》第二十二条规定；</w:t>
      </w:r>
    </w:p>
    <w:p w14:paraId="54B41794">
      <w:pPr>
        <w:pStyle w:val="51"/>
        <w:keepNext w:val="0"/>
        <w:keepLines w:val="0"/>
        <w:widowControl/>
        <w:suppressLineNumbers w:val="0"/>
        <w:spacing w:before="0" w:beforeAutospacing="0" w:after="0" w:afterAutospacing="0" w:line="240" w:lineRule="auto"/>
        <w:ind w:left="0" w:firstLine="454"/>
        <w:contextualSpacing/>
        <w:jc w:val="left"/>
        <w:rPr>
          <w:rFonts w:hint="eastAsia" w:ascii="仿宋" w:hAnsi="仿宋" w:eastAsia="仿宋" w:cs="仿宋"/>
          <w:sz w:val="28"/>
          <w:szCs w:val="28"/>
          <w:u w:val="none"/>
        </w:rPr>
      </w:pPr>
      <w:r>
        <w:rPr>
          <w:rFonts w:hint="eastAsia" w:ascii="仿宋" w:hAnsi="仿宋" w:eastAsia="仿宋" w:cs="仿宋"/>
          <w:color w:val="auto"/>
          <w:sz w:val="28"/>
          <w:szCs w:val="28"/>
          <w:highlight w:val="none"/>
          <w:lang w:val="en-US" w:eastAsia="zh-CN"/>
        </w:rPr>
        <w:t>2.本项目的特定资格要求：供应商须具备市政公用工程施工总承包叁级及以上资质；同时应具有乙级及以上测绘（工程测量专业）资质</w:t>
      </w:r>
      <w:r>
        <w:rPr>
          <w:rFonts w:hint="eastAsia" w:ascii="仿宋" w:hAnsi="仿宋" w:eastAsia="仿宋" w:cs="仿宋"/>
          <w:color w:val="000000"/>
          <w:kern w:val="0"/>
          <w:sz w:val="28"/>
          <w:szCs w:val="28"/>
          <w:u w:val="none"/>
          <w:lang w:val="en-US" w:eastAsia="zh-CN" w:bidi="ar"/>
        </w:rPr>
        <w:t>；</w:t>
      </w:r>
    </w:p>
    <w:p w14:paraId="6AEB12C4">
      <w:pPr>
        <w:pStyle w:val="51"/>
        <w:keepNext w:val="0"/>
        <w:keepLines w:val="0"/>
        <w:widowControl/>
        <w:suppressLineNumbers w:val="0"/>
        <w:spacing w:before="0" w:beforeAutospacing="0" w:after="0" w:afterAutospacing="0" w:line="240" w:lineRule="auto"/>
        <w:ind w:left="0" w:firstLine="466"/>
        <w:contextualSpacing/>
        <w:jc w:val="left"/>
        <w:rPr>
          <w:rFonts w:hint="eastAsia" w:ascii="仿宋" w:hAnsi="仿宋" w:eastAsia="仿宋" w:cs="仿宋"/>
          <w:color w:val="auto"/>
          <w:sz w:val="28"/>
          <w:szCs w:val="28"/>
          <w:highlight w:val="none"/>
          <w:u w:val="none"/>
          <w:lang w:val="en-US" w:eastAsia="zh-CN"/>
        </w:rPr>
      </w:pPr>
      <w:r>
        <w:rPr>
          <w:rFonts w:hint="eastAsia" w:ascii="仿宋" w:hAnsi="仿宋" w:eastAsia="仿宋" w:cs="仿宋"/>
          <w:color w:val="auto"/>
          <w:sz w:val="28"/>
          <w:szCs w:val="28"/>
          <w:highlight w:val="none"/>
          <w:u w:val="none"/>
          <w:lang w:val="en-US" w:eastAsia="zh-CN"/>
        </w:rPr>
        <w:t>3.1</w:t>
      </w:r>
      <w:r>
        <w:rPr>
          <w:rFonts w:hint="eastAsia" w:ascii="仿宋" w:hAnsi="仿宋" w:eastAsia="仿宋" w:cs="仿宋"/>
          <w:color w:val="000000"/>
          <w:kern w:val="0"/>
          <w:sz w:val="28"/>
          <w:szCs w:val="28"/>
          <w:u w:val="none"/>
          <w:lang w:val="en-US" w:eastAsia="zh-CN" w:bidi="ar"/>
        </w:rPr>
        <w:t>项目经理资格要求：</w:t>
      </w:r>
      <w:r>
        <w:rPr>
          <w:rFonts w:hint="eastAsia" w:ascii="仿宋" w:hAnsi="仿宋" w:eastAsia="仿宋" w:cs="仿宋"/>
          <w:color w:val="auto"/>
          <w:sz w:val="28"/>
          <w:szCs w:val="28"/>
          <w:highlight w:val="none"/>
          <w:u w:val="none"/>
          <w:lang w:val="en-US" w:eastAsia="zh-CN"/>
        </w:rPr>
        <w:t xml:space="preserve">具有市政公用工程专业贰级及以上及以上注册建造师执业资格、有效的安全生产考核合格证书（建安B证）。 </w:t>
      </w:r>
    </w:p>
    <w:p w14:paraId="556AEACB">
      <w:pPr>
        <w:pStyle w:val="51"/>
        <w:keepNext w:val="0"/>
        <w:keepLines w:val="0"/>
        <w:widowControl/>
        <w:suppressLineNumbers w:val="0"/>
        <w:spacing w:before="0" w:beforeAutospacing="0" w:after="0" w:afterAutospacing="0" w:line="240" w:lineRule="auto"/>
        <w:ind w:left="0" w:firstLine="466"/>
        <w:contextualSpacing/>
        <w:jc w:val="left"/>
        <w:rPr>
          <w:rFonts w:hint="default" w:ascii="仿宋" w:hAnsi="仿宋" w:eastAsia="仿宋" w:cs="仿宋"/>
          <w:color w:val="auto"/>
          <w:sz w:val="28"/>
          <w:szCs w:val="28"/>
          <w:highlight w:val="none"/>
          <w:u w:val="none"/>
          <w:lang w:val="en-US" w:eastAsia="zh-CN"/>
        </w:rPr>
      </w:pPr>
      <w:r>
        <w:rPr>
          <w:rFonts w:hint="eastAsia" w:ascii="仿宋" w:hAnsi="仿宋" w:eastAsia="仿宋" w:cs="仿宋"/>
          <w:color w:val="auto"/>
          <w:sz w:val="28"/>
          <w:szCs w:val="28"/>
          <w:highlight w:val="none"/>
          <w:u w:val="none"/>
          <w:lang w:val="en-US" w:eastAsia="zh-CN"/>
        </w:rPr>
        <w:t>4.本项目接受联合体;联合体全部成员最多不得超过2家。</w:t>
      </w:r>
    </w:p>
    <w:p w14:paraId="5F5AB172">
      <w:pPr>
        <w:spacing w:line="360" w:lineRule="auto"/>
        <w:ind w:firstLine="435"/>
        <w:outlineLvl w:val="1"/>
        <w:rPr>
          <w:rFonts w:hint="eastAsia" w:ascii="黑体" w:hAnsi="黑体" w:eastAsia="黑体" w:cs="黑体"/>
          <w:b/>
          <w:bCs/>
          <w:color w:val="auto"/>
          <w:sz w:val="28"/>
          <w:szCs w:val="28"/>
          <w:highlight w:val="none"/>
          <w:lang w:val="en-US" w:eastAsia="zh-CN"/>
        </w:rPr>
      </w:pPr>
      <w:bookmarkStart w:id="10" w:name="_Toc2855"/>
      <w:bookmarkStart w:id="11" w:name="_Toc28839"/>
      <w:r>
        <w:rPr>
          <w:rFonts w:hint="eastAsia" w:ascii="黑体" w:hAnsi="黑体" w:eastAsia="黑体" w:cs="黑体"/>
          <w:b/>
          <w:bCs/>
          <w:color w:val="auto"/>
          <w:sz w:val="28"/>
          <w:szCs w:val="28"/>
          <w:highlight w:val="none"/>
          <w:lang w:val="en-US" w:eastAsia="zh-CN"/>
        </w:rPr>
        <w:t>三、</w:t>
      </w:r>
      <w:bookmarkEnd w:id="9"/>
      <w:r>
        <w:rPr>
          <w:rFonts w:hint="eastAsia" w:ascii="黑体" w:hAnsi="黑体" w:eastAsia="黑体" w:cs="黑体"/>
          <w:b/>
          <w:bCs/>
          <w:color w:val="auto"/>
          <w:sz w:val="28"/>
          <w:szCs w:val="28"/>
          <w:highlight w:val="none"/>
          <w:lang w:val="en-US" w:eastAsia="zh-CN"/>
        </w:rPr>
        <w:t>获取采购文件</w:t>
      </w:r>
      <w:bookmarkEnd w:id="10"/>
      <w:bookmarkEnd w:id="11"/>
    </w:p>
    <w:p w14:paraId="308A36FD">
      <w:pPr>
        <w:spacing w:line="360" w:lineRule="auto"/>
        <w:ind w:firstLine="540"/>
        <w:rPr>
          <w:rFonts w:hint="eastAsia" w:ascii="仿宋" w:hAnsi="仿宋" w:eastAsia="仿宋" w:cs="仿宋"/>
          <w:i w:val="0"/>
          <w:iCs/>
          <w:sz w:val="28"/>
          <w:szCs w:val="28"/>
          <w:u w:val="none"/>
          <w:lang w:eastAsia="zh-CN"/>
        </w:rPr>
      </w:pPr>
      <w:bookmarkStart w:id="12" w:name="_Toc16910"/>
      <w:r>
        <w:rPr>
          <w:rFonts w:hint="eastAsia" w:ascii="仿宋" w:hAnsi="仿宋" w:eastAsia="仿宋" w:cs="仿宋"/>
          <w:sz w:val="28"/>
          <w:szCs w:val="28"/>
          <w:u w:val="none"/>
        </w:rPr>
        <w:t>时间：</w:t>
      </w:r>
      <w:r>
        <w:rPr>
          <w:rFonts w:hint="eastAsia" w:ascii="仿宋" w:hAnsi="仿宋" w:eastAsia="仿宋" w:cs="仿宋"/>
          <w:sz w:val="28"/>
          <w:szCs w:val="28"/>
          <w:u w:val="none"/>
          <w:lang w:val="en-US" w:eastAsia="zh-CN"/>
        </w:rPr>
        <w:t>2026</w:t>
      </w:r>
      <w:r>
        <w:rPr>
          <w:rFonts w:hint="eastAsia" w:ascii="仿宋" w:hAnsi="仿宋" w:eastAsia="仿宋" w:cs="仿宋"/>
          <w:sz w:val="28"/>
          <w:szCs w:val="28"/>
          <w:u w:val="none"/>
        </w:rPr>
        <w:t>年</w:t>
      </w:r>
      <w:r>
        <w:rPr>
          <w:rFonts w:hint="eastAsia" w:ascii="仿宋" w:hAnsi="仿宋" w:eastAsia="仿宋" w:cs="仿宋"/>
          <w:sz w:val="28"/>
          <w:szCs w:val="28"/>
          <w:u w:val="none"/>
          <w:lang w:val="en-US" w:eastAsia="zh-CN"/>
        </w:rPr>
        <w:t>7</w:t>
      </w:r>
      <w:r>
        <w:rPr>
          <w:rFonts w:hint="eastAsia" w:ascii="仿宋" w:hAnsi="仿宋" w:eastAsia="仿宋" w:cs="仿宋"/>
          <w:sz w:val="28"/>
          <w:szCs w:val="28"/>
          <w:u w:val="none"/>
        </w:rPr>
        <w:t>月</w:t>
      </w:r>
      <w:r>
        <w:rPr>
          <w:rFonts w:hint="eastAsia" w:ascii="仿宋" w:hAnsi="仿宋" w:eastAsia="仿宋" w:cs="仿宋"/>
          <w:sz w:val="28"/>
          <w:szCs w:val="28"/>
          <w:u w:val="none"/>
          <w:lang w:val="en-US" w:eastAsia="zh-CN"/>
        </w:rPr>
        <w:t>21</w:t>
      </w:r>
      <w:r>
        <w:rPr>
          <w:rFonts w:hint="eastAsia" w:ascii="仿宋" w:hAnsi="仿宋" w:eastAsia="仿宋" w:cs="仿宋"/>
          <w:sz w:val="28"/>
          <w:szCs w:val="28"/>
          <w:u w:val="none"/>
        </w:rPr>
        <w:t>日至</w:t>
      </w:r>
      <w:r>
        <w:rPr>
          <w:rFonts w:hint="eastAsia" w:ascii="仿宋" w:hAnsi="仿宋" w:eastAsia="仿宋" w:cs="仿宋"/>
          <w:sz w:val="28"/>
          <w:szCs w:val="28"/>
          <w:u w:val="none"/>
          <w:lang w:val="en-US" w:eastAsia="zh-CN"/>
        </w:rPr>
        <w:t>2026</w:t>
      </w:r>
      <w:r>
        <w:rPr>
          <w:rFonts w:hint="eastAsia" w:ascii="仿宋" w:hAnsi="仿宋" w:eastAsia="仿宋" w:cs="仿宋"/>
          <w:sz w:val="28"/>
          <w:szCs w:val="28"/>
          <w:u w:val="none"/>
        </w:rPr>
        <w:t>年</w:t>
      </w:r>
      <w:r>
        <w:rPr>
          <w:rFonts w:hint="eastAsia" w:ascii="仿宋" w:hAnsi="仿宋" w:eastAsia="仿宋" w:cs="仿宋"/>
          <w:sz w:val="28"/>
          <w:szCs w:val="28"/>
          <w:u w:val="none"/>
          <w:lang w:val="en-US" w:eastAsia="zh-CN"/>
        </w:rPr>
        <w:t>8</w:t>
      </w:r>
      <w:r>
        <w:rPr>
          <w:rFonts w:hint="eastAsia" w:ascii="仿宋" w:hAnsi="仿宋" w:eastAsia="仿宋" w:cs="仿宋"/>
          <w:sz w:val="28"/>
          <w:szCs w:val="28"/>
          <w:u w:val="none"/>
        </w:rPr>
        <w:t>月</w:t>
      </w:r>
      <w:r>
        <w:rPr>
          <w:rFonts w:hint="eastAsia" w:ascii="仿宋" w:hAnsi="仿宋" w:eastAsia="仿宋" w:cs="仿宋"/>
          <w:sz w:val="28"/>
          <w:szCs w:val="28"/>
          <w:u w:val="none"/>
          <w:lang w:val="en-US" w:eastAsia="zh-CN"/>
        </w:rPr>
        <w:t>3</w:t>
      </w:r>
      <w:r>
        <w:rPr>
          <w:rFonts w:hint="eastAsia" w:ascii="仿宋" w:hAnsi="仿宋" w:eastAsia="仿宋" w:cs="仿宋"/>
          <w:sz w:val="28"/>
          <w:szCs w:val="28"/>
          <w:u w:val="none"/>
        </w:rPr>
        <w:t>日</w:t>
      </w:r>
      <w:r>
        <w:rPr>
          <w:rFonts w:hint="eastAsia" w:ascii="仿宋" w:hAnsi="仿宋" w:eastAsia="仿宋" w:cs="仿宋"/>
          <w:i w:val="0"/>
          <w:iCs/>
          <w:sz w:val="28"/>
          <w:szCs w:val="28"/>
          <w:u w:val="none"/>
        </w:rPr>
        <w:t>（磋商文件的发售期限自开始之日起不得少于5个工作日）</w:t>
      </w:r>
      <w:r>
        <w:rPr>
          <w:rFonts w:hint="eastAsia" w:ascii="仿宋" w:hAnsi="仿宋" w:eastAsia="仿宋" w:cs="仿宋"/>
          <w:i w:val="0"/>
          <w:iCs/>
          <w:sz w:val="28"/>
          <w:szCs w:val="28"/>
          <w:u w:val="none"/>
          <w:lang w:eastAsia="zh-CN"/>
        </w:rPr>
        <w:t>。</w:t>
      </w:r>
    </w:p>
    <w:p w14:paraId="3F2FE6BA">
      <w:pPr>
        <w:spacing w:line="360" w:lineRule="auto"/>
        <w:ind w:firstLine="540"/>
        <w:rPr>
          <w:rFonts w:hint="eastAsia" w:ascii="仿宋" w:hAnsi="仿宋" w:eastAsia="仿宋" w:cs="仿宋"/>
          <w:sz w:val="28"/>
          <w:szCs w:val="28"/>
          <w:u w:val="none"/>
        </w:rPr>
      </w:pPr>
      <w:r>
        <w:rPr>
          <w:rFonts w:hint="eastAsia" w:ascii="仿宋" w:hAnsi="仿宋" w:eastAsia="仿宋" w:cs="仿宋"/>
          <w:sz w:val="28"/>
          <w:szCs w:val="28"/>
          <w:u w:val="none"/>
        </w:rPr>
        <w:t>方式：供应商需登录</w:t>
      </w:r>
      <w:r>
        <w:rPr>
          <w:rFonts w:hint="eastAsia" w:ascii="仿宋" w:hAnsi="仿宋" w:eastAsia="仿宋" w:cs="仿宋"/>
          <w:sz w:val="28"/>
          <w:szCs w:val="28"/>
          <w:u w:val="none"/>
          <w:lang w:eastAsia="zh-CN"/>
        </w:rPr>
        <w:t>安徽融城高新技术产业发展集团有限公司网</w:t>
      </w:r>
      <w:r>
        <w:rPr>
          <w:rFonts w:hint="eastAsia" w:ascii="仿宋" w:hAnsi="仿宋" w:eastAsia="仿宋" w:cs="仿宋"/>
          <w:sz w:val="28"/>
          <w:szCs w:val="28"/>
          <w:u w:val="none"/>
        </w:rPr>
        <w:t>下载采购文件</w:t>
      </w:r>
    </w:p>
    <w:p w14:paraId="77B93590">
      <w:pPr>
        <w:keepNext w:val="0"/>
        <w:keepLines w:val="0"/>
        <w:widowControl/>
        <w:suppressLineNumbers w:val="0"/>
        <w:ind w:firstLine="560" w:firstLineChars="200"/>
        <w:jc w:val="left"/>
        <w:rPr>
          <w:rFonts w:hint="eastAsia" w:ascii="仿宋" w:hAnsi="仿宋" w:eastAsia="仿宋" w:cs="仿宋"/>
          <w:sz w:val="28"/>
          <w:szCs w:val="28"/>
          <w:u w:val="none"/>
        </w:rPr>
      </w:pPr>
      <w:r>
        <w:rPr>
          <w:rFonts w:hint="eastAsia" w:ascii="仿宋" w:hAnsi="仿宋" w:eastAsia="仿宋" w:cs="仿宋"/>
          <w:color w:val="000000"/>
          <w:kern w:val="0"/>
          <w:sz w:val="28"/>
          <w:szCs w:val="28"/>
          <w:u w:val="none"/>
          <w:lang w:val="en-US" w:eastAsia="zh-CN" w:bidi="ar"/>
        </w:rPr>
        <w:t>售价：</w:t>
      </w:r>
      <w:r>
        <w:rPr>
          <w:rFonts w:hint="eastAsia" w:ascii="仿宋" w:hAnsi="仿宋" w:eastAsia="仿宋" w:cs="仿宋"/>
          <w:sz w:val="28"/>
          <w:szCs w:val="28"/>
          <w:u w:val="none"/>
          <w:lang w:val="en-US" w:eastAsia="zh-CN"/>
        </w:rPr>
        <w:t>500元/份，售后不退，递交响应文件同时交纳。</w:t>
      </w:r>
      <w:r>
        <w:rPr>
          <w:rFonts w:hint="eastAsia" w:ascii="仿宋" w:hAnsi="仿宋" w:eastAsia="仿宋" w:cs="仿宋"/>
          <w:color w:val="000000"/>
          <w:kern w:val="0"/>
          <w:sz w:val="28"/>
          <w:szCs w:val="28"/>
          <w:u w:val="none"/>
          <w:lang w:val="en-US" w:eastAsia="zh-CN" w:bidi="ar"/>
        </w:rPr>
        <w:t xml:space="preserve"> </w:t>
      </w:r>
    </w:p>
    <w:p w14:paraId="0BFBB4A0">
      <w:pPr>
        <w:spacing w:line="360" w:lineRule="auto"/>
        <w:ind w:firstLine="435"/>
        <w:outlineLvl w:val="1"/>
        <w:rPr>
          <w:rFonts w:hint="eastAsia" w:ascii="黑体" w:hAnsi="黑体" w:eastAsia="黑体" w:cs="黑体"/>
          <w:b/>
          <w:bCs/>
          <w:color w:val="auto"/>
          <w:sz w:val="28"/>
          <w:szCs w:val="28"/>
          <w:highlight w:val="none"/>
          <w:lang w:val="en-US" w:eastAsia="zh-CN"/>
        </w:rPr>
      </w:pPr>
      <w:bookmarkStart w:id="13" w:name="_Toc1322"/>
      <w:bookmarkStart w:id="14" w:name="_Toc7231"/>
      <w:r>
        <w:rPr>
          <w:rFonts w:hint="eastAsia" w:ascii="黑体" w:hAnsi="黑体" w:eastAsia="黑体" w:cs="黑体"/>
          <w:b/>
          <w:bCs/>
          <w:color w:val="auto"/>
          <w:sz w:val="28"/>
          <w:szCs w:val="28"/>
          <w:highlight w:val="none"/>
          <w:lang w:val="en-US" w:eastAsia="zh-CN"/>
        </w:rPr>
        <w:t>四、</w:t>
      </w:r>
      <w:bookmarkEnd w:id="12"/>
      <w:r>
        <w:rPr>
          <w:rFonts w:hint="eastAsia" w:ascii="黑体" w:hAnsi="黑体" w:eastAsia="黑体" w:cs="黑体"/>
          <w:b/>
          <w:bCs/>
          <w:color w:val="auto"/>
          <w:sz w:val="28"/>
          <w:szCs w:val="28"/>
          <w:highlight w:val="none"/>
          <w:lang w:val="en-US" w:eastAsia="zh-CN"/>
        </w:rPr>
        <w:t>响应文件提交</w:t>
      </w:r>
      <w:bookmarkEnd w:id="13"/>
      <w:bookmarkEnd w:id="14"/>
    </w:p>
    <w:p w14:paraId="289F4DD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Cs/>
          <w:sz w:val="28"/>
          <w:szCs w:val="28"/>
          <w:u w:val="none"/>
        </w:rPr>
      </w:pPr>
      <w:bookmarkStart w:id="15" w:name="_Toc11944"/>
      <w:r>
        <w:rPr>
          <w:rFonts w:hint="eastAsia" w:ascii="仿宋" w:hAnsi="仿宋" w:eastAsia="仿宋" w:cs="仿宋"/>
          <w:sz w:val="28"/>
          <w:szCs w:val="28"/>
          <w:u w:val="none"/>
        </w:rPr>
        <w:t>截止时间</w:t>
      </w:r>
      <w:r>
        <w:rPr>
          <w:rFonts w:hint="eastAsia" w:ascii="仿宋" w:hAnsi="仿宋" w:eastAsia="仿宋" w:cs="仿宋"/>
          <w:bCs/>
          <w:sz w:val="28"/>
          <w:szCs w:val="28"/>
          <w:u w:val="none"/>
          <w:lang w:val="en-US" w:eastAsia="zh-CN"/>
        </w:rPr>
        <w:t>2026</w:t>
      </w:r>
      <w:r>
        <w:rPr>
          <w:rFonts w:hint="eastAsia" w:ascii="仿宋" w:hAnsi="仿宋" w:eastAsia="仿宋" w:cs="仿宋"/>
          <w:bCs/>
          <w:sz w:val="28"/>
          <w:szCs w:val="28"/>
          <w:u w:val="none"/>
        </w:rPr>
        <w:t>年</w:t>
      </w:r>
      <w:r>
        <w:rPr>
          <w:rFonts w:hint="eastAsia" w:ascii="仿宋" w:hAnsi="仿宋" w:eastAsia="仿宋" w:cs="仿宋"/>
          <w:bCs/>
          <w:sz w:val="28"/>
          <w:szCs w:val="28"/>
          <w:u w:val="none"/>
          <w:lang w:val="en-US" w:eastAsia="zh-CN"/>
        </w:rPr>
        <w:t>8</w:t>
      </w:r>
      <w:r>
        <w:rPr>
          <w:rFonts w:hint="eastAsia" w:ascii="仿宋" w:hAnsi="仿宋" w:eastAsia="仿宋" w:cs="仿宋"/>
          <w:bCs/>
          <w:sz w:val="28"/>
          <w:szCs w:val="28"/>
          <w:u w:val="none"/>
        </w:rPr>
        <w:t>月</w:t>
      </w:r>
      <w:r>
        <w:rPr>
          <w:rFonts w:hint="eastAsia" w:ascii="仿宋" w:hAnsi="仿宋" w:eastAsia="仿宋" w:cs="仿宋"/>
          <w:bCs/>
          <w:sz w:val="28"/>
          <w:szCs w:val="28"/>
          <w:u w:val="none"/>
          <w:lang w:val="en-US" w:eastAsia="zh-CN"/>
        </w:rPr>
        <w:t>3</w:t>
      </w:r>
      <w:r>
        <w:rPr>
          <w:rFonts w:hint="eastAsia" w:ascii="仿宋" w:hAnsi="仿宋" w:eastAsia="仿宋" w:cs="仿宋"/>
          <w:bCs/>
          <w:sz w:val="28"/>
          <w:szCs w:val="28"/>
          <w:u w:val="none"/>
        </w:rPr>
        <w:t>日</w:t>
      </w:r>
      <w:r>
        <w:rPr>
          <w:rFonts w:hint="eastAsia" w:ascii="仿宋" w:hAnsi="仿宋" w:eastAsia="仿宋" w:cs="仿宋"/>
          <w:bCs/>
          <w:sz w:val="28"/>
          <w:szCs w:val="28"/>
          <w:u w:val="none"/>
          <w:lang w:val="en-US" w:eastAsia="zh-CN"/>
        </w:rPr>
        <w:t>15</w:t>
      </w:r>
      <w:r>
        <w:rPr>
          <w:rFonts w:hint="eastAsia" w:ascii="仿宋" w:hAnsi="仿宋" w:eastAsia="仿宋" w:cs="仿宋"/>
          <w:bCs/>
          <w:sz w:val="28"/>
          <w:szCs w:val="28"/>
          <w:u w:val="none"/>
        </w:rPr>
        <w:t>点</w:t>
      </w:r>
      <w:r>
        <w:rPr>
          <w:rFonts w:hint="eastAsia" w:ascii="仿宋" w:hAnsi="仿宋" w:eastAsia="仿宋" w:cs="仿宋"/>
          <w:bCs/>
          <w:sz w:val="28"/>
          <w:szCs w:val="28"/>
          <w:u w:val="none"/>
          <w:lang w:val="en-US" w:eastAsia="zh-CN"/>
        </w:rPr>
        <w:t>00</w:t>
      </w:r>
      <w:r>
        <w:rPr>
          <w:rFonts w:hint="eastAsia" w:ascii="仿宋" w:hAnsi="仿宋" w:eastAsia="仿宋" w:cs="仿宋"/>
          <w:bCs/>
          <w:sz w:val="28"/>
          <w:szCs w:val="28"/>
          <w:u w:val="none"/>
        </w:rPr>
        <w:t>分（北京时间）</w:t>
      </w:r>
      <w:r>
        <w:rPr>
          <w:rFonts w:hint="eastAsia" w:ascii="仿宋" w:hAnsi="仿宋" w:eastAsia="仿宋" w:cs="仿宋"/>
          <w:i w:val="0"/>
          <w:iCs/>
          <w:sz w:val="28"/>
          <w:szCs w:val="28"/>
          <w:u w:val="none"/>
        </w:rPr>
        <w:t>（从磋商文件开始发出之日起至供应商提交首次响应文件截止之日止不得少于10日）</w:t>
      </w:r>
    </w:p>
    <w:p w14:paraId="57C2A79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u w:val="none"/>
        </w:rPr>
      </w:pPr>
      <w:r>
        <w:rPr>
          <w:rFonts w:hint="eastAsia" w:ascii="仿宋" w:hAnsi="仿宋" w:eastAsia="仿宋" w:cs="仿宋"/>
          <w:sz w:val="28"/>
          <w:szCs w:val="28"/>
          <w:u w:val="none"/>
        </w:rPr>
        <w:t>地点：</w:t>
      </w:r>
      <w:r>
        <w:rPr>
          <w:rFonts w:hint="eastAsia" w:ascii="仿宋" w:hAnsi="仿宋" w:eastAsia="仿宋" w:cs="仿宋"/>
          <w:sz w:val="28"/>
          <w:szCs w:val="28"/>
          <w:u w:val="none"/>
          <w:lang w:eastAsia="zh-CN"/>
        </w:rPr>
        <w:t>界首市东城街道胜利西路107号</w:t>
      </w:r>
    </w:p>
    <w:p w14:paraId="20BF5794">
      <w:pPr>
        <w:spacing w:line="360" w:lineRule="auto"/>
        <w:ind w:firstLine="435"/>
        <w:outlineLvl w:val="1"/>
        <w:rPr>
          <w:rFonts w:hint="eastAsia" w:ascii="黑体" w:hAnsi="黑体" w:eastAsia="黑体" w:cs="黑体"/>
          <w:b/>
          <w:bCs/>
          <w:color w:val="auto"/>
          <w:sz w:val="28"/>
          <w:szCs w:val="28"/>
          <w:highlight w:val="none"/>
          <w:lang w:val="en-US" w:eastAsia="zh-CN"/>
        </w:rPr>
      </w:pPr>
      <w:bookmarkStart w:id="16" w:name="_Toc28359093"/>
      <w:bookmarkStart w:id="17" w:name="_Toc35393633"/>
      <w:bookmarkStart w:id="18" w:name="_Toc27720"/>
      <w:bookmarkStart w:id="19" w:name="_Toc35393802"/>
      <w:bookmarkStart w:id="20" w:name="_Toc28359016"/>
      <w:bookmarkStart w:id="21" w:name="_Toc5598"/>
      <w:r>
        <w:rPr>
          <w:rFonts w:hint="eastAsia" w:ascii="黑体" w:hAnsi="黑体" w:eastAsia="黑体" w:cs="黑体"/>
          <w:b/>
          <w:bCs/>
          <w:color w:val="auto"/>
          <w:sz w:val="28"/>
          <w:szCs w:val="28"/>
          <w:highlight w:val="none"/>
          <w:lang w:val="en-US" w:eastAsia="zh-CN"/>
        </w:rPr>
        <w:t>五、开启</w:t>
      </w:r>
      <w:bookmarkEnd w:id="16"/>
      <w:bookmarkEnd w:id="17"/>
      <w:bookmarkEnd w:id="18"/>
      <w:bookmarkEnd w:id="19"/>
      <w:bookmarkEnd w:id="20"/>
      <w:bookmarkEnd w:id="21"/>
    </w:p>
    <w:p w14:paraId="7FB1DE0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Cs/>
          <w:sz w:val="28"/>
          <w:szCs w:val="28"/>
          <w:u w:val="none"/>
        </w:rPr>
      </w:pPr>
      <w:r>
        <w:rPr>
          <w:rFonts w:hint="eastAsia" w:ascii="仿宋" w:hAnsi="仿宋" w:eastAsia="仿宋" w:cs="仿宋"/>
          <w:sz w:val="28"/>
          <w:szCs w:val="28"/>
          <w:u w:val="none"/>
        </w:rPr>
        <w:t>时间：</w:t>
      </w:r>
      <w:r>
        <w:rPr>
          <w:rFonts w:hint="eastAsia" w:ascii="仿宋" w:hAnsi="仿宋" w:eastAsia="仿宋" w:cs="仿宋"/>
          <w:sz w:val="28"/>
          <w:szCs w:val="28"/>
          <w:u w:val="none"/>
          <w:lang w:val="en-US" w:eastAsia="zh-CN"/>
        </w:rPr>
        <w:t>2026</w:t>
      </w:r>
      <w:r>
        <w:rPr>
          <w:rFonts w:hint="eastAsia" w:ascii="仿宋" w:hAnsi="仿宋" w:eastAsia="仿宋" w:cs="仿宋"/>
          <w:bCs/>
          <w:sz w:val="28"/>
          <w:szCs w:val="28"/>
          <w:u w:val="none"/>
        </w:rPr>
        <w:t>年</w:t>
      </w:r>
      <w:r>
        <w:rPr>
          <w:rFonts w:hint="eastAsia" w:ascii="仿宋" w:hAnsi="仿宋" w:eastAsia="仿宋" w:cs="仿宋"/>
          <w:bCs/>
          <w:sz w:val="28"/>
          <w:szCs w:val="28"/>
          <w:u w:val="none"/>
          <w:lang w:val="en-US" w:eastAsia="zh-CN"/>
        </w:rPr>
        <w:t>8</w:t>
      </w:r>
      <w:r>
        <w:rPr>
          <w:rFonts w:hint="eastAsia" w:ascii="仿宋" w:hAnsi="仿宋" w:eastAsia="仿宋" w:cs="仿宋"/>
          <w:bCs/>
          <w:sz w:val="28"/>
          <w:szCs w:val="28"/>
          <w:u w:val="none"/>
        </w:rPr>
        <w:t>月</w:t>
      </w:r>
      <w:r>
        <w:rPr>
          <w:rFonts w:hint="eastAsia" w:ascii="仿宋" w:hAnsi="仿宋" w:eastAsia="仿宋" w:cs="仿宋"/>
          <w:bCs/>
          <w:sz w:val="28"/>
          <w:szCs w:val="28"/>
          <w:u w:val="none"/>
          <w:lang w:val="en-US" w:eastAsia="zh-CN"/>
        </w:rPr>
        <w:t>3</w:t>
      </w:r>
      <w:r>
        <w:rPr>
          <w:rFonts w:hint="eastAsia" w:ascii="仿宋" w:hAnsi="仿宋" w:eastAsia="仿宋" w:cs="仿宋"/>
          <w:bCs/>
          <w:sz w:val="28"/>
          <w:szCs w:val="28"/>
          <w:u w:val="none"/>
        </w:rPr>
        <w:t>日</w:t>
      </w:r>
      <w:r>
        <w:rPr>
          <w:rFonts w:hint="eastAsia" w:ascii="仿宋" w:hAnsi="仿宋" w:eastAsia="仿宋" w:cs="仿宋"/>
          <w:bCs/>
          <w:sz w:val="28"/>
          <w:szCs w:val="28"/>
          <w:u w:val="none"/>
          <w:lang w:val="en-US" w:eastAsia="zh-CN"/>
        </w:rPr>
        <w:t>15</w:t>
      </w:r>
      <w:r>
        <w:rPr>
          <w:rFonts w:hint="eastAsia" w:ascii="仿宋" w:hAnsi="仿宋" w:eastAsia="仿宋" w:cs="仿宋"/>
          <w:bCs/>
          <w:sz w:val="28"/>
          <w:szCs w:val="28"/>
          <w:u w:val="none"/>
        </w:rPr>
        <w:t>点</w:t>
      </w:r>
      <w:r>
        <w:rPr>
          <w:rFonts w:hint="eastAsia" w:ascii="仿宋" w:hAnsi="仿宋" w:eastAsia="仿宋" w:cs="仿宋"/>
          <w:bCs/>
          <w:sz w:val="28"/>
          <w:szCs w:val="28"/>
          <w:u w:val="none"/>
          <w:lang w:val="en-US" w:eastAsia="zh-CN"/>
        </w:rPr>
        <w:t>00</w:t>
      </w:r>
      <w:r>
        <w:rPr>
          <w:rFonts w:hint="eastAsia" w:ascii="仿宋" w:hAnsi="仿宋" w:eastAsia="仿宋" w:cs="仿宋"/>
          <w:bCs/>
          <w:sz w:val="28"/>
          <w:szCs w:val="28"/>
          <w:u w:val="none"/>
        </w:rPr>
        <w:t>分（北京时间）</w:t>
      </w:r>
    </w:p>
    <w:p w14:paraId="50F54B5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u w:val="none"/>
        </w:rPr>
      </w:pPr>
      <w:r>
        <w:rPr>
          <w:rFonts w:hint="eastAsia" w:ascii="仿宋" w:hAnsi="仿宋" w:eastAsia="仿宋" w:cs="仿宋"/>
          <w:sz w:val="28"/>
          <w:szCs w:val="28"/>
          <w:u w:val="none"/>
        </w:rPr>
        <w:t>地点：</w:t>
      </w:r>
      <w:r>
        <w:rPr>
          <w:rFonts w:hint="eastAsia" w:ascii="仿宋" w:hAnsi="仿宋" w:eastAsia="仿宋" w:cs="仿宋"/>
          <w:sz w:val="28"/>
          <w:szCs w:val="28"/>
          <w:u w:val="none"/>
          <w:lang w:eastAsia="zh-CN"/>
        </w:rPr>
        <w:t>界首市东城街道胜利西路107号</w:t>
      </w:r>
    </w:p>
    <w:p w14:paraId="4F40EFD1">
      <w:pPr>
        <w:spacing w:line="360" w:lineRule="auto"/>
        <w:ind w:firstLine="435"/>
        <w:outlineLvl w:val="1"/>
        <w:rPr>
          <w:rFonts w:hint="eastAsia" w:ascii="黑体" w:hAnsi="黑体" w:eastAsia="黑体" w:cs="黑体"/>
          <w:b/>
          <w:bCs/>
          <w:color w:val="auto"/>
          <w:sz w:val="28"/>
          <w:szCs w:val="28"/>
          <w:highlight w:val="none"/>
          <w:lang w:val="en-US" w:eastAsia="zh-CN"/>
        </w:rPr>
      </w:pPr>
      <w:bookmarkStart w:id="22" w:name="_Toc1342"/>
      <w:bookmarkStart w:id="23" w:name="_Toc24365"/>
      <w:r>
        <w:rPr>
          <w:rFonts w:hint="eastAsia" w:ascii="黑体" w:hAnsi="黑体" w:eastAsia="黑体" w:cs="黑体"/>
          <w:b/>
          <w:bCs/>
          <w:color w:val="auto"/>
          <w:sz w:val="28"/>
          <w:szCs w:val="28"/>
          <w:highlight w:val="none"/>
          <w:lang w:val="en-US" w:eastAsia="zh-CN"/>
        </w:rPr>
        <w:t>六、</w:t>
      </w:r>
      <w:bookmarkEnd w:id="15"/>
      <w:r>
        <w:rPr>
          <w:rFonts w:hint="eastAsia" w:ascii="黑体" w:hAnsi="黑体" w:eastAsia="黑体" w:cs="黑体"/>
          <w:b/>
          <w:bCs/>
          <w:color w:val="auto"/>
          <w:sz w:val="28"/>
          <w:szCs w:val="28"/>
          <w:highlight w:val="none"/>
          <w:lang w:val="en-US" w:eastAsia="zh-CN"/>
        </w:rPr>
        <w:t>公告期限</w:t>
      </w:r>
      <w:bookmarkEnd w:id="22"/>
      <w:bookmarkEnd w:id="23"/>
    </w:p>
    <w:p w14:paraId="24B6543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u w:val="none"/>
        </w:rPr>
      </w:pPr>
      <w:bookmarkStart w:id="24" w:name="_Toc7722"/>
      <w:r>
        <w:rPr>
          <w:rFonts w:hint="eastAsia" w:ascii="仿宋" w:hAnsi="仿宋" w:eastAsia="仿宋" w:cs="仿宋"/>
          <w:sz w:val="28"/>
          <w:szCs w:val="28"/>
          <w:u w:val="none"/>
        </w:rPr>
        <w:t>自本公告发布之日起3个工作日。</w:t>
      </w:r>
    </w:p>
    <w:p w14:paraId="668EE2D6">
      <w:pPr>
        <w:spacing w:line="360" w:lineRule="auto"/>
        <w:ind w:firstLine="435"/>
        <w:outlineLvl w:val="1"/>
        <w:rPr>
          <w:rFonts w:hint="eastAsia" w:ascii="黑体" w:hAnsi="黑体" w:eastAsia="黑体" w:cs="黑体"/>
          <w:b/>
          <w:bCs/>
          <w:color w:val="auto"/>
          <w:sz w:val="28"/>
          <w:szCs w:val="28"/>
          <w:highlight w:val="none"/>
          <w:lang w:val="en-US" w:eastAsia="zh-CN"/>
        </w:rPr>
      </w:pPr>
      <w:bookmarkStart w:id="25" w:name="_Toc35393795"/>
      <w:bookmarkStart w:id="26" w:name="_Toc28177"/>
      <w:bookmarkStart w:id="27" w:name="_Toc22198"/>
      <w:bookmarkStart w:id="28" w:name="_Toc35393626"/>
      <w:r>
        <w:rPr>
          <w:rFonts w:hint="eastAsia" w:ascii="黑体" w:hAnsi="黑体" w:eastAsia="黑体" w:cs="黑体"/>
          <w:b/>
          <w:bCs/>
          <w:color w:val="auto"/>
          <w:sz w:val="28"/>
          <w:szCs w:val="28"/>
          <w:highlight w:val="none"/>
          <w:lang w:val="en-US" w:eastAsia="zh-CN"/>
        </w:rPr>
        <w:t>七、其他补充事宜</w:t>
      </w:r>
      <w:bookmarkEnd w:id="25"/>
      <w:bookmarkEnd w:id="26"/>
      <w:bookmarkEnd w:id="27"/>
      <w:bookmarkEnd w:id="28"/>
    </w:p>
    <w:p w14:paraId="0569E48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u w:val="none"/>
        </w:rPr>
      </w:pPr>
      <w:r>
        <w:rPr>
          <w:rFonts w:hint="eastAsia" w:ascii="仿宋" w:hAnsi="仿宋" w:eastAsia="仿宋" w:cs="仿宋"/>
          <w:sz w:val="28"/>
          <w:szCs w:val="28"/>
          <w:u w:val="none"/>
        </w:rPr>
        <w:t>1、本次采购公告在</w:t>
      </w:r>
      <w:r>
        <w:rPr>
          <w:rFonts w:hint="eastAsia" w:ascii="仿宋" w:hAnsi="仿宋" w:eastAsia="仿宋" w:cs="仿宋"/>
          <w:sz w:val="28"/>
          <w:szCs w:val="28"/>
          <w:u w:val="none"/>
          <w:lang w:eastAsia="zh-CN"/>
        </w:rPr>
        <w:t>安徽融城高新技术产业发展集团有限公司</w:t>
      </w:r>
      <w:r>
        <w:rPr>
          <w:rFonts w:hint="eastAsia" w:ascii="仿宋" w:hAnsi="仿宋" w:eastAsia="仿宋" w:cs="仿宋"/>
          <w:sz w:val="28"/>
          <w:szCs w:val="28"/>
          <w:u w:val="none"/>
        </w:rPr>
        <w:t>网上发布。</w:t>
      </w:r>
    </w:p>
    <w:p w14:paraId="24FEBB5D">
      <w:pPr>
        <w:spacing w:line="360" w:lineRule="auto"/>
        <w:ind w:firstLine="435"/>
        <w:outlineLvl w:val="1"/>
        <w:rPr>
          <w:rFonts w:hint="eastAsia" w:ascii="黑体" w:hAnsi="黑体" w:eastAsia="黑体" w:cs="黑体"/>
          <w:b/>
          <w:bCs/>
          <w:color w:val="auto"/>
          <w:sz w:val="28"/>
          <w:szCs w:val="28"/>
          <w:highlight w:val="none"/>
          <w:lang w:val="en-US" w:eastAsia="zh-CN"/>
        </w:rPr>
      </w:pPr>
      <w:bookmarkStart w:id="29" w:name="_Toc25763"/>
      <w:bookmarkStart w:id="30" w:name="_Toc27568"/>
      <w:r>
        <w:rPr>
          <w:rFonts w:hint="eastAsia" w:ascii="黑体" w:hAnsi="黑体" w:eastAsia="黑体" w:cs="黑体"/>
          <w:b/>
          <w:bCs/>
          <w:color w:val="auto"/>
          <w:sz w:val="28"/>
          <w:szCs w:val="28"/>
          <w:highlight w:val="none"/>
          <w:lang w:val="en-US" w:eastAsia="zh-CN"/>
        </w:rPr>
        <w:t>八、</w:t>
      </w:r>
      <w:bookmarkEnd w:id="24"/>
      <w:r>
        <w:rPr>
          <w:rFonts w:hint="eastAsia" w:ascii="黑体" w:hAnsi="黑体" w:eastAsia="黑体" w:cs="黑体"/>
          <w:b/>
          <w:bCs/>
          <w:color w:val="auto"/>
          <w:sz w:val="28"/>
          <w:szCs w:val="28"/>
          <w:highlight w:val="none"/>
          <w:lang w:val="en-US" w:eastAsia="zh-CN"/>
        </w:rPr>
        <w:t>对本次招标提出询问，请按以下方式联系</w:t>
      </w:r>
      <w:bookmarkEnd w:id="29"/>
      <w:bookmarkEnd w:id="30"/>
    </w:p>
    <w:p w14:paraId="2E25CE06">
      <w:pPr>
        <w:spacing w:line="360" w:lineRule="auto"/>
        <w:ind w:firstLine="437"/>
        <w:outlineLvl w:val="2"/>
        <w:rPr>
          <w:rFonts w:hint="eastAsia" w:ascii="仿宋" w:hAnsi="仿宋" w:eastAsia="仿宋" w:cs="仿宋"/>
          <w:color w:val="auto"/>
          <w:sz w:val="28"/>
          <w:szCs w:val="28"/>
          <w:highlight w:val="none"/>
          <w:u w:val="none"/>
          <w:lang w:val="en-US" w:eastAsia="zh-CN"/>
        </w:rPr>
      </w:pPr>
      <w:bookmarkStart w:id="31" w:name="_Toc13220"/>
      <w:r>
        <w:rPr>
          <w:rFonts w:hint="eastAsia" w:ascii="仿宋" w:hAnsi="仿宋" w:eastAsia="仿宋" w:cs="仿宋"/>
          <w:color w:val="auto"/>
          <w:sz w:val="28"/>
          <w:szCs w:val="28"/>
          <w:highlight w:val="none"/>
          <w:u w:val="none"/>
        </w:rPr>
        <w:t>1.采购人</w:t>
      </w:r>
      <w:r>
        <w:rPr>
          <w:rFonts w:hint="eastAsia" w:ascii="仿宋" w:hAnsi="仿宋" w:eastAsia="仿宋" w:cs="仿宋"/>
          <w:color w:val="auto"/>
          <w:sz w:val="28"/>
          <w:szCs w:val="28"/>
          <w:highlight w:val="none"/>
          <w:u w:val="none"/>
          <w:lang w:val="en-US" w:eastAsia="zh-CN"/>
        </w:rPr>
        <w:t>信息</w:t>
      </w:r>
    </w:p>
    <w:p w14:paraId="4BE8A60E">
      <w:pPr>
        <w:spacing w:line="360" w:lineRule="auto"/>
        <w:ind w:firstLine="435"/>
        <w:rPr>
          <w:rFonts w:hint="eastAsia" w:ascii="仿宋" w:hAnsi="仿宋" w:eastAsia="仿宋" w:cs="仿宋"/>
          <w:color w:val="auto"/>
          <w:sz w:val="28"/>
          <w:szCs w:val="28"/>
          <w:highlight w:val="none"/>
          <w:u w:val="none"/>
          <w:lang w:val="en-US" w:eastAsia="zh-CN"/>
        </w:rPr>
      </w:pPr>
      <w:r>
        <w:rPr>
          <w:rFonts w:hint="eastAsia" w:ascii="仿宋" w:hAnsi="仿宋" w:eastAsia="仿宋" w:cs="仿宋"/>
          <w:color w:val="auto"/>
          <w:sz w:val="28"/>
          <w:szCs w:val="28"/>
          <w:highlight w:val="none"/>
          <w:u w:val="none"/>
          <w:lang w:val="en-US" w:eastAsia="zh-CN"/>
        </w:rPr>
        <w:t>名  称：安徽融城高新技术产业发展集团有限公司</w:t>
      </w:r>
    </w:p>
    <w:p w14:paraId="20884DC8">
      <w:pPr>
        <w:spacing w:line="360" w:lineRule="auto"/>
        <w:ind w:firstLine="435"/>
        <w:rPr>
          <w:rFonts w:hint="eastAsia" w:ascii="仿宋" w:hAnsi="仿宋" w:eastAsia="仿宋" w:cs="仿宋"/>
          <w:color w:val="auto"/>
          <w:sz w:val="28"/>
          <w:szCs w:val="28"/>
          <w:highlight w:val="none"/>
          <w:u w:val="none"/>
          <w:lang w:val="en-US" w:eastAsia="zh-CN"/>
        </w:rPr>
      </w:pPr>
      <w:r>
        <w:rPr>
          <w:rFonts w:hint="eastAsia" w:ascii="仿宋" w:hAnsi="仿宋" w:eastAsia="仿宋" w:cs="仿宋"/>
          <w:color w:val="auto"/>
          <w:sz w:val="28"/>
          <w:szCs w:val="28"/>
          <w:highlight w:val="none"/>
          <w:u w:val="none"/>
          <w:lang w:val="en-US" w:eastAsia="zh-CN"/>
        </w:rPr>
        <w:t>地  址：</w:t>
      </w:r>
      <w:r>
        <w:rPr>
          <w:rFonts w:hint="eastAsia" w:ascii="仿宋" w:hAnsi="仿宋" w:eastAsia="仿宋" w:cs="宋体"/>
          <w:color w:val="000000"/>
          <w:sz w:val="28"/>
          <w:szCs w:val="28"/>
          <w:lang w:val="en-US" w:eastAsia="zh-CN"/>
        </w:rPr>
        <w:t>界首市复兴路企业服务中心8楼</w:t>
      </w:r>
      <w:r>
        <w:rPr>
          <w:rFonts w:hint="eastAsia" w:ascii="仿宋" w:hAnsi="仿宋" w:eastAsia="仿宋" w:cs="仿宋"/>
          <w:color w:val="auto"/>
          <w:sz w:val="28"/>
          <w:szCs w:val="28"/>
          <w:highlight w:val="none"/>
          <w:u w:val="none"/>
          <w:lang w:val="en-US" w:eastAsia="zh-CN"/>
        </w:rPr>
        <w:t xml:space="preserve"> </w:t>
      </w:r>
    </w:p>
    <w:p w14:paraId="15702E4E">
      <w:pPr>
        <w:spacing w:line="360" w:lineRule="auto"/>
        <w:ind w:firstLine="435"/>
        <w:rPr>
          <w:rFonts w:hint="default" w:ascii="仿宋" w:hAnsi="仿宋" w:eastAsia="仿宋" w:cs="仿宋"/>
          <w:color w:val="auto"/>
          <w:sz w:val="28"/>
          <w:szCs w:val="28"/>
          <w:highlight w:val="none"/>
          <w:u w:val="none"/>
          <w:lang w:val="en-US" w:eastAsia="zh-CN"/>
        </w:rPr>
      </w:pPr>
      <w:r>
        <w:rPr>
          <w:rFonts w:hint="eastAsia" w:ascii="仿宋" w:hAnsi="仿宋" w:eastAsia="仿宋" w:cs="仿宋"/>
          <w:color w:val="auto"/>
          <w:sz w:val="28"/>
          <w:szCs w:val="28"/>
          <w:highlight w:val="none"/>
          <w:u w:val="none"/>
          <w:lang w:val="en-US" w:eastAsia="zh-CN"/>
        </w:rPr>
        <w:t>联系人：李先生</w:t>
      </w:r>
    </w:p>
    <w:p w14:paraId="18A0D5D3">
      <w:pPr>
        <w:spacing w:line="360" w:lineRule="auto"/>
        <w:ind w:firstLine="435"/>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联系</w:t>
      </w:r>
      <w:r>
        <w:rPr>
          <w:rFonts w:hint="eastAsia" w:ascii="仿宋" w:hAnsi="仿宋" w:eastAsia="仿宋" w:cs="仿宋"/>
          <w:color w:val="auto"/>
          <w:sz w:val="28"/>
          <w:szCs w:val="28"/>
          <w:highlight w:val="none"/>
          <w:u w:val="none"/>
          <w:lang w:val="en-US" w:eastAsia="zh-CN"/>
        </w:rPr>
        <w:t>方式</w:t>
      </w:r>
      <w:r>
        <w:rPr>
          <w:rFonts w:hint="eastAsia" w:ascii="仿宋" w:hAnsi="仿宋" w:eastAsia="仿宋" w:cs="仿宋"/>
          <w:color w:val="auto"/>
          <w:sz w:val="28"/>
          <w:szCs w:val="28"/>
          <w:highlight w:val="none"/>
          <w:u w:val="none"/>
        </w:rPr>
        <w:t>：</w:t>
      </w:r>
      <w:r>
        <w:rPr>
          <w:rFonts w:hint="eastAsia" w:ascii="仿宋" w:hAnsi="仿宋" w:eastAsia="仿宋" w:cs="宋体"/>
          <w:color w:val="000000"/>
          <w:sz w:val="28"/>
          <w:szCs w:val="28"/>
          <w:lang w:val="en-US" w:eastAsia="zh-CN"/>
        </w:rPr>
        <w:t>0558-8506550</w:t>
      </w:r>
      <w:r>
        <w:rPr>
          <w:rFonts w:hint="eastAsia" w:ascii="仿宋" w:hAnsi="仿宋" w:eastAsia="仿宋" w:cs="仿宋"/>
          <w:color w:val="auto"/>
          <w:sz w:val="28"/>
          <w:szCs w:val="28"/>
          <w:highlight w:val="none"/>
          <w:u w:val="none"/>
        </w:rPr>
        <w:t xml:space="preserve">          </w:t>
      </w:r>
    </w:p>
    <w:p w14:paraId="30DE9699">
      <w:pPr>
        <w:spacing w:line="360" w:lineRule="auto"/>
        <w:ind w:firstLine="437"/>
        <w:outlineLvl w:val="2"/>
        <w:rPr>
          <w:rFonts w:hint="eastAsia" w:ascii="仿宋" w:hAnsi="仿宋" w:eastAsia="仿宋" w:cs="仿宋"/>
          <w:color w:val="auto"/>
          <w:sz w:val="28"/>
          <w:szCs w:val="28"/>
          <w:highlight w:val="none"/>
          <w:u w:val="none"/>
          <w:lang w:val="en-US" w:eastAsia="zh-CN"/>
        </w:rPr>
      </w:pPr>
      <w:r>
        <w:rPr>
          <w:rFonts w:hint="eastAsia" w:ascii="仿宋" w:hAnsi="仿宋" w:eastAsia="仿宋" w:cs="仿宋"/>
          <w:color w:val="auto"/>
          <w:sz w:val="28"/>
          <w:szCs w:val="28"/>
          <w:highlight w:val="none"/>
          <w:u w:val="none"/>
        </w:rPr>
        <w:t>2.采购代理机构</w:t>
      </w:r>
      <w:r>
        <w:rPr>
          <w:rFonts w:hint="eastAsia" w:ascii="仿宋" w:hAnsi="仿宋" w:eastAsia="仿宋" w:cs="仿宋"/>
          <w:color w:val="auto"/>
          <w:sz w:val="28"/>
          <w:szCs w:val="28"/>
          <w:highlight w:val="none"/>
          <w:u w:val="none"/>
          <w:lang w:val="en-US" w:eastAsia="zh-CN"/>
        </w:rPr>
        <w:t>信息</w:t>
      </w:r>
    </w:p>
    <w:p w14:paraId="5FD0D71D">
      <w:pPr>
        <w:spacing w:line="360" w:lineRule="auto"/>
        <w:ind w:firstLine="435"/>
        <w:rPr>
          <w:rFonts w:hint="eastAsia" w:ascii="仿宋" w:hAnsi="仿宋" w:eastAsia="仿宋" w:cs="仿宋"/>
          <w:color w:val="auto"/>
          <w:sz w:val="28"/>
          <w:szCs w:val="28"/>
          <w:highlight w:val="none"/>
          <w:u w:val="none"/>
          <w:lang w:val="en-US" w:eastAsia="zh-CN"/>
        </w:rPr>
      </w:pPr>
      <w:r>
        <w:rPr>
          <w:rFonts w:hint="eastAsia" w:ascii="仿宋" w:hAnsi="仿宋" w:eastAsia="仿宋" w:cs="仿宋"/>
          <w:color w:val="auto"/>
          <w:sz w:val="28"/>
          <w:szCs w:val="28"/>
          <w:highlight w:val="none"/>
          <w:u w:val="none"/>
          <w:lang w:val="en-US" w:eastAsia="zh-CN"/>
        </w:rPr>
        <w:t>名  称</w:t>
      </w:r>
      <w:r>
        <w:rPr>
          <w:rFonts w:hint="eastAsia" w:ascii="仿宋" w:hAnsi="仿宋" w:eastAsia="仿宋" w:cs="仿宋"/>
          <w:color w:val="auto"/>
          <w:sz w:val="28"/>
          <w:szCs w:val="28"/>
          <w:highlight w:val="none"/>
          <w:u w:val="none"/>
        </w:rPr>
        <w:t>：</w:t>
      </w:r>
      <w:r>
        <w:rPr>
          <w:rFonts w:hint="eastAsia" w:ascii="仿宋" w:hAnsi="仿宋" w:eastAsia="仿宋" w:cs="仿宋"/>
          <w:color w:val="auto"/>
          <w:sz w:val="28"/>
          <w:szCs w:val="28"/>
          <w:highlight w:val="none"/>
          <w:u w:val="none"/>
          <w:lang w:val="en-US" w:eastAsia="zh-CN"/>
        </w:rPr>
        <w:t>安徽宛鸣工程管理有限公司</w:t>
      </w:r>
    </w:p>
    <w:p w14:paraId="14E6ECB8">
      <w:pPr>
        <w:spacing w:line="360" w:lineRule="auto"/>
        <w:ind w:firstLine="435"/>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地  址：</w:t>
      </w:r>
      <w:r>
        <w:rPr>
          <w:rFonts w:hint="eastAsia" w:ascii="仿宋" w:hAnsi="仿宋" w:eastAsia="仿宋" w:cs="仿宋"/>
          <w:color w:val="auto"/>
          <w:sz w:val="28"/>
          <w:szCs w:val="28"/>
          <w:highlight w:val="none"/>
          <w:u w:val="none"/>
          <w:lang w:val="en-US" w:eastAsia="zh-CN"/>
        </w:rPr>
        <w:t>界首市东城街道胜利路西路107号</w:t>
      </w:r>
    </w:p>
    <w:p w14:paraId="08022F04">
      <w:pPr>
        <w:spacing w:line="360" w:lineRule="auto"/>
        <w:ind w:firstLine="435"/>
        <w:rPr>
          <w:rFonts w:hint="eastAsia" w:ascii="仿宋" w:hAnsi="仿宋" w:eastAsia="仿宋" w:cs="仿宋"/>
          <w:sz w:val="28"/>
          <w:szCs w:val="28"/>
          <w:u w:val="none"/>
          <w:lang w:val="en-US" w:eastAsia="zh-CN"/>
        </w:rPr>
      </w:pPr>
      <w:r>
        <w:rPr>
          <w:rFonts w:hint="eastAsia" w:ascii="仿宋" w:hAnsi="仿宋" w:eastAsia="仿宋" w:cs="仿宋"/>
          <w:color w:val="auto"/>
          <w:sz w:val="28"/>
          <w:szCs w:val="28"/>
          <w:highlight w:val="none"/>
          <w:u w:val="none"/>
          <w:lang w:val="en-US" w:eastAsia="zh-CN"/>
        </w:rPr>
        <w:t>联系人：盛先生</w:t>
      </w:r>
    </w:p>
    <w:p w14:paraId="11179686">
      <w:pPr>
        <w:spacing w:line="360" w:lineRule="auto"/>
        <w:ind w:firstLine="435"/>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联系</w:t>
      </w:r>
      <w:r>
        <w:rPr>
          <w:rFonts w:hint="eastAsia" w:ascii="仿宋" w:hAnsi="仿宋" w:eastAsia="仿宋" w:cs="仿宋"/>
          <w:color w:val="auto"/>
          <w:sz w:val="28"/>
          <w:szCs w:val="28"/>
          <w:highlight w:val="none"/>
          <w:u w:val="none"/>
          <w:lang w:val="en-US" w:eastAsia="zh-CN"/>
        </w:rPr>
        <w:t>方式</w:t>
      </w:r>
      <w:r>
        <w:rPr>
          <w:rFonts w:hint="eastAsia" w:ascii="仿宋" w:hAnsi="仿宋" w:eastAsia="仿宋" w:cs="仿宋"/>
          <w:color w:val="auto"/>
          <w:sz w:val="28"/>
          <w:szCs w:val="28"/>
          <w:highlight w:val="none"/>
          <w:u w:val="none"/>
        </w:rPr>
        <w:t>：</w:t>
      </w:r>
      <w:r>
        <w:rPr>
          <w:rFonts w:hint="eastAsia" w:ascii="仿宋" w:hAnsi="仿宋" w:eastAsia="仿宋" w:cs="仿宋"/>
          <w:color w:val="auto"/>
          <w:sz w:val="28"/>
          <w:szCs w:val="28"/>
          <w:highlight w:val="none"/>
          <w:u w:val="none"/>
          <w:lang w:val="en-US" w:eastAsia="zh-CN"/>
        </w:rPr>
        <w:t>18110507678</w:t>
      </w:r>
    </w:p>
    <w:bookmarkEnd w:id="31"/>
    <w:p w14:paraId="2C3BC8AD">
      <w:pPr>
        <w:spacing w:line="360" w:lineRule="auto"/>
        <w:ind w:firstLine="435"/>
        <w:rPr>
          <w:color w:val="auto"/>
          <w:sz w:val="24"/>
          <w:szCs w:val="18"/>
          <w:highlight w:val="none"/>
        </w:rPr>
      </w:pPr>
      <w:r>
        <w:rPr>
          <w:color w:val="auto"/>
          <w:sz w:val="24"/>
          <w:szCs w:val="18"/>
          <w:highlight w:val="none"/>
        </w:rPr>
        <w:br w:type="page"/>
      </w:r>
    </w:p>
    <w:p w14:paraId="0070F9CE">
      <w:pPr>
        <w:spacing w:line="360" w:lineRule="auto"/>
        <w:jc w:val="center"/>
        <w:outlineLvl w:val="0"/>
        <w:rPr>
          <w:rFonts w:asciiTheme="minorEastAsia" w:hAnsiTheme="minorEastAsia" w:eastAsiaTheme="minorEastAsia"/>
          <w:b/>
          <w:color w:val="auto"/>
          <w:sz w:val="28"/>
          <w:highlight w:val="none"/>
        </w:rPr>
      </w:pPr>
      <w:bookmarkStart w:id="32" w:name="_Toc29626"/>
      <w:r>
        <w:rPr>
          <w:rFonts w:hint="eastAsia" w:asciiTheme="minorEastAsia" w:hAnsiTheme="minorEastAsia" w:eastAsiaTheme="minorEastAsia"/>
          <w:b/>
          <w:color w:val="auto"/>
          <w:sz w:val="28"/>
          <w:highlight w:val="none"/>
        </w:rPr>
        <w:t>第二章</w:t>
      </w:r>
      <w:r>
        <w:rPr>
          <w:rFonts w:asciiTheme="minorEastAsia" w:hAnsiTheme="minorEastAsia" w:eastAsiaTheme="minorEastAsia"/>
          <w:b/>
          <w:color w:val="auto"/>
          <w:sz w:val="28"/>
          <w:highlight w:val="none"/>
        </w:rPr>
        <w:t xml:space="preserve"> </w:t>
      </w:r>
      <w:r>
        <w:rPr>
          <w:rFonts w:hint="eastAsia" w:asciiTheme="minorEastAsia" w:hAnsiTheme="minorEastAsia" w:eastAsiaTheme="minorEastAsia"/>
          <w:b/>
          <w:color w:val="auto"/>
          <w:sz w:val="28"/>
          <w:highlight w:val="none"/>
        </w:rPr>
        <w:t xml:space="preserve"> 供应商</w:t>
      </w:r>
      <w:r>
        <w:rPr>
          <w:rFonts w:asciiTheme="minorEastAsia" w:hAnsiTheme="minorEastAsia" w:eastAsiaTheme="minorEastAsia"/>
          <w:b/>
          <w:color w:val="auto"/>
          <w:sz w:val="28"/>
          <w:highlight w:val="none"/>
        </w:rPr>
        <w:t>须知</w:t>
      </w:r>
      <w:bookmarkEnd w:id="32"/>
    </w:p>
    <w:p w14:paraId="449C2C5B">
      <w:pPr>
        <w:spacing w:line="360" w:lineRule="auto"/>
        <w:jc w:val="center"/>
        <w:outlineLvl w:val="1"/>
        <w:rPr>
          <w:rFonts w:asciiTheme="minorEastAsia" w:hAnsiTheme="minorEastAsia" w:eastAsiaTheme="minorEastAsia"/>
          <w:b/>
          <w:color w:val="auto"/>
          <w:sz w:val="24"/>
          <w:highlight w:val="none"/>
        </w:rPr>
      </w:pPr>
      <w:bookmarkStart w:id="33" w:name="_Toc18621"/>
      <w:bookmarkStart w:id="34" w:name="_Toc7514"/>
      <w:bookmarkStart w:id="35" w:name="_Toc12027"/>
      <w:r>
        <w:rPr>
          <w:rFonts w:hint="eastAsia" w:asciiTheme="minorEastAsia" w:hAnsiTheme="minorEastAsia" w:eastAsiaTheme="minorEastAsia"/>
          <w:b/>
          <w:color w:val="auto"/>
          <w:sz w:val="24"/>
          <w:highlight w:val="none"/>
        </w:rPr>
        <w:t>一、供应商</w:t>
      </w:r>
      <w:r>
        <w:rPr>
          <w:rFonts w:asciiTheme="minorEastAsia" w:hAnsiTheme="minorEastAsia" w:eastAsiaTheme="minorEastAsia"/>
          <w:b/>
          <w:color w:val="auto"/>
          <w:sz w:val="24"/>
          <w:highlight w:val="none"/>
        </w:rPr>
        <w:t>须知前附表</w:t>
      </w:r>
      <w:bookmarkEnd w:id="33"/>
      <w:bookmarkEnd w:id="34"/>
      <w:bookmarkEnd w:id="35"/>
    </w:p>
    <w:p w14:paraId="6863247F">
      <w:pPr>
        <w:spacing w:line="360" w:lineRule="auto"/>
        <w:ind w:firstLine="435"/>
        <w:rPr>
          <w:color w:val="auto"/>
          <w:sz w:val="24"/>
          <w:szCs w:val="18"/>
          <w:highlight w:val="none"/>
        </w:rPr>
      </w:pPr>
      <w:r>
        <w:rPr>
          <w:rFonts w:hint="eastAsia"/>
          <w:b/>
          <w:bCs/>
          <w:color w:val="auto"/>
          <w:sz w:val="24"/>
          <w:szCs w:val="18"/>
          <w:highlight w:val="none"/>
        </w:rPr>
        <w:t>注：</w:t>
      </w:r>
      <w:r>
        <w:rPr>
          <w:rFonts w:hint="eastAsia"/>
          <w:color w:val="auto"/>
          <w:sz w:val="24"/>
          <w:szCs w:val="18"/>
          <w:highlight w:val="none"/>
        </w:rPr>
        <w:t>本表是本项目的具体要求，是对供应商须知的具体补充和修改，如有不一致，以本表为准。</w:t>
      </w:r>
    </w:p>
    <w:tbl>
      <w:tblPr>
        <w:tblStyle w:val="55"/>
        <w:tblW w:w="51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1711"/>
        <w:gridCol w:w="6229"/>
      </w:tblGrid>
      <w:tr w14:paraId="30040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435EE090">
            <w:pPr>
              <w:pStyle w:val="73"/>
              <w:widowControl w:val="0"/>
              <w:spacing w:before="0" w:beforeAutospacing="0" w:after="0" w:afterAutospacing="0" w:line="360" w:lineRule="auto"/>
              <w:rPr>
                <w:bCs w:val="0"/>
                <w:color w:val="auto"/>
                <w:kern w:val="2"/>
                <w:sz w:val="24"/>
                <w:szCs w:val="20"/>
                <w:highlight w:val="none"/>
              </w:rPr>
            </w:pPr>
            <w:r>
              <w:rPr>
                <w:rFonts w:hint="eastAsia"/>
                <w:bCs w:val="0"/>
                <w:color w:val="auto"/>
                <w:kern w:val="2"/>
                <w:sz w:val="24"/>
                <w:szCs w:val="20"/>
                <w:highlight w:val="none"/>
              </w:rPr>
              <w:t>条款号</w:t>
            </w:r>
          </w:p>
        </w:tc>
        <w:tc>
          <w:tcPr>
            <w:tcW w:w="977" w:type="pct"/>
            <w:vAlign w:val="center"/>
          </w:tcPr>
          <w:p w14:paraId="29F021A6">
            <w:pPr>
              <w:pStyle w:val="73"/>
              <w:widowControl w:val="0"/>
              <w:spacing w:before="0" w:beforeAutospacing="0" w:after="0" w:afterAutospacing="0" w:line="360" w:lineRule="auto"/>
              <w:rPr>
                <w:bCs w:val="0"/>
                <w:color w:val="auto"/>
                <w:kern w:val="2"/>
                <w:sz w:val="24"/>
                <w:szCs w:val="20"/>
                <w:highlight w:val="none"/>
              </w:rPr>
            </w:pPr>
            <w:r>
              <w:rPr>
                <w:rFonts w:hint="eastAsia"/>
                <w:bCs w:val="0"/>
                <w:color w:val="auto"/>
                <w:kern w:val="2"/>
                <w:sz w:val="24"/>
                <w:szCs w:val="20"/>
                <w:highlight w:val="none"/>
              </w:rPr>
              <w:t>条款名称</w:t>
            </w:r>
          </w:p>
        </w:tc>
        <w:tc>
          <w:tcPr>
            <w:tcW w:w="3556" w:type="pct"/>
            <w:vAlign w:val="center"/>
          </w:tcPr>
          <w:p w14:paraId="7231487C">
            <w:pPr>
              <w:pStyle w:val="73"/>
              <w:widowControl w:val="0"/>
              <w:spacing w:before="0" w:beforeAutospacing="0" w:after="0" w:afterAutospacing="0" w:line="360" w:lineRule="auto"/>
              <w:rPr>
                <w:bCs w:val="0"/>
                <w:color w:val="auto"/>
                <w:kern w:val="2"/>
                <w:sz w:val="24"/>
                <w:szCs w:val="20"/>
                <w:highlight w:val="none"/>
              </w:rPr>
            </w:pPr>
            <w:r>
              <w:rPr>
                <w:rFonts w:hint="eastAsia"/>
                <w:bCs w:val="0"/>
                <w:color w:val="auto"/>
                <w:kern w:val="2"/>
                <w:sz w:val="24"/>
                <w:szCs w:val="20"/>
                <w:highlight w:val="none"/>
              </w:rPr>
              <w:t>内容、说明与要求</w:t>
            </w:r>
          </w:p>
        </w:tc>
      </w:tr>
      <w:tr w14:paraId="3A8D1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4EB54039">
            <w:pPr>
              <w:pStyle w:val="74"/>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ascii="宋体" w:hAnsi="宋体" w:eastAsia="宋体"/>
                <w:bCs/>
                <w:color w:val="auto"/>
                <w:kern w:val="2"/>
                <w:highlight w:val="none"/>
                <w:lang w:val="en-US" w:eastAsia="zh-CN"/>
              </w:rPr>
              <w:t>5</w:t>
            </w:r>
            <w:r>
              <w:rPr>
                <w:rFonts w:ascii="宋体" w:hAnsi="宋体" w:eastAsia="宋体"/>
                <w:bCs/>
                <w:color w:val="auto"/>
                <w:kern w:val="2"/>
                <w:highlight w:val="none"/>
              </w:rPr>
              <w:t>.</w:t>
            </w:r>
            <w:r>
              <w:rPr>
                <w:rFonts w:hint="eastAsia" w:ascii="宋体" w:hAnsi="宋体" w:eastAsia="宋体"/>
                <w:bCs/>
                <w:color w:val="auto"/>
                <w:kern w:val="2"/>
                <w:highlight w:val="none"/>
                <w:lang w:val="en-US" w:eastAsia="zh-CN"/>
              </w:rPr>
              <w:t>2</w:t>
            </w:r>
          </w:p>
        </w:tc>
        <w:tc>
          <w:tcPr>
            <w:tcW w:w="977" w:type="pct"/>
            <w:vAlign w:val="center"/>
          </w:tcPr>
          <w:p w14:paraId="0A39CB21">
            <w:pPr>
              <w:pStyle w:val="73"/>
              <w:widowControl w:val="0"/>
              <w:spacing w:before="0" w:beforeAutospacing="0" w:after="0" w:afterAutospacing="0" w:line="360" w:lineRule="auto"/>
              <w:jc w:val="left"/>
              <w:rPr>
                <w:b w:val="0"/>
                <w:color w:val="auto"/>
                <w:sz w:val="24"/>
                <w:highlight w:val="none"/>
              </w:rPr>
            </w:pPr>
            <w:r>
              <w:rPr>
                <w:rFonts w:hint="eastAsia" w:ascii="宋体" w:hAnsi="宋体" w:eastAsia="宋体"/>
                <w:b w:val="0"/>
                <w:color w:val="auto"/>
                <w:sz w:val="24"/>
                <w:highlight w:val="none"/>
              </w:rPr>
              <w:t>现场考察</w:t>
            </w:r>
            <w:r>
              <w:rPr>
                <w:rFonts w:hint="eastAsia" w:ascii="宋体" w:hAnsi="宋体" w:eastAsia="宋体"/>
                <w:b w:val="0"/>
                <w:color w:val="auto"/>
                <w:sz w:val="24"/>
                <w:highlight w:val="none"/>
                <w:lang w:val="en-US" w:eastAsia="zh-CN"/>
              </w:rPr>
              <w:t>或标前答疑会</w:t>
            </w:r>
          </w:p>
        </w:tc>
        <w:tc>
          <w:tcPr>
            <w:tcW w:w="3556" w:type="pct"/>
            <w:vAlign w:val="center"/>
          </w:tcPr>
          <w:p w14:paraId="2531DE0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Cs/>
                <w:color w:val="auto"/>
                <w:sz w:val="24"/>
                <w:highlight w:val="none"/>
              </w:rPr>
            </w:pPr>
            <w:r>
              <w:rPr>
                <w:rFonts w:hint="eastAsia"/>
                <w:bCs/>
                <w:color w:val="auto"/>
                <w:sz w:val="24"/>
                <w:szCs w:val="24"/>
                <w:highlight w:val="none"/>
                <w:lang w:eastAsia="zh-CN"/>
              </w:rPr>
              <w:t>☑</w:t>
            </w:r>
            <w:r>
              <w:rPr>
                <w:rFonts w:hint="eastAsia" w:ascii="宋体" w:hAnsi="宋体" w:eastAsia="宋体"/>
                <w:color w:val="auto"/>
                <w:sz w:val="24"/>
                <w:highlight w:val="none"/>
              </w:rPr>
              <w:t>不组织</w:t>
            </w:r>
            <w:r>
              <w:rPr>
                <w:rFonts w:hint="eastAsia" w:ascii="宋体" w:hAnsi="宋体" w:eastAsia="宋体"/>
                <w:color w:val="auto"/>
                <w:sz w:val="24"/>
                <w:highlight w:val="none"/>
                <w:lang w:val="en-US" w:eastAsia="zh-CN"/>
              </w:rPr>
              <w:t>或不召开</w:t>
            </w:r>
          </w:p>
          <w:p w14:paraId="796D477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bCs/>
                <w:color w:val="auto"/>
                <w:sz w:val="24"/>
                <w:highlight w:val="none"/>
                <w:lang w:eastAsia="zh-CN"/>
              </w:rPr>
            </w:pPr>
            <w:r>
              <w:rPr>
                <w:rFonts w:hint="eastAsia" w:ascii="宋体" w:hAnsi="宋体" w:eastAsia="宋体"/>
                <w:color w:val="auto"/>
                <w:sz w:val="24"/>
                <w:highlight w:val="none"/>
              </w:rPr>
              <w:t>□</w:t>
            </w:r>
            <w:r>
              <w:rPr>
                <w:rFonts w:hint="eastAsia" w:ascii="宋体" w:hAnsi="宋体" w:eastAsia="宋体"/>
                <w:bCs/>
                <w:color w:val="auto"/>
                <w:sz w:val="24"/>
                <w:highlight w:val="none"/>
              </w:rPr>
              <w:t>统一组织</w:t>
            </w:r>
            <w:r>
              <w:rPr>
                <w:rFonts w:hint="eastAsia" w:ascii="宋体" w:hAnsi="宋体" w:eastAsia="宋体"/>
                <w:bCs/>
                <w:color w:val="auto"/>
                <w:sz w:val="24"/>
                <w:highlight w:val="none"/>
                <w:lang w:val="en-US" w:eastAsia="zh-CN"/>
              </w:rPr>
              <w:t>或统一召开</w:t>
            </w:r>
          </w:p>
          <w:p w14:paraId="5FFBC32D">
            <w:pPr>
              <w:spacing w:line="360" w:lineRule="auto"/>
              <w:rPr>
                <w:rFonts w:ascii="宋体" w:hAnsi="宋体" w:eastAsia="宋体"/>
                <w:bCs/>
                <w:color w:val="auto"/>
                <w:sz w:val="24"/>
                <w:highlight w:val="none"/>
                <w:u w:val="single"/>
              </w:rPr>
            </w:pPr>
            <w:r>
              <w:rPr>
                <w:rFonts w:hint="eastAsia" w:ascii="宋体" w:hAnsi="宋体" w:eastAsia="宋体"/>
                <w:bCs/>
                <w:color w:val="auto"/>
                <w:sz w:val="24"/>
                <w:highlight w:val="none"/>
              </w:rPr>
              <w:t>时间：</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年</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月</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日</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时</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分</w:t>
            </w:r>
          </w:p>
          <w:p w14:paraId="326886F0">
            <w:pPr>
              <w:spacing w:line="360" w:lineRule="auto"/>
              <w:rPr>
                <w:rFonts w:ascii="宋体" w:hAnsi="宋体" w:eastAsia="宋体"/>
                <w:bCs/>
                <w:color w:val="auto"/>
                <w:sz w:val="24"/>
                <w:highlight w:val="none"/>
                <w:u w:val="single"/>
              </w:rPr>
            </w:pPr>
            <w:r>
              <w:rPr>
                <w:rFonts w:hint="eastAsia" w:ascii="宋体" w:hAnsi="宋体" w:eastAsia="宋体"/>
                <w:bCs/>
                <w:color w:val="auto"/>
                <w:sz w:val="24"/>
                <w:highlight w:val="none"/>
              </w:rPr>
              <w:t>地点：</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p>
          <w:p w14:paraId="28253E2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Cs/>
                <w:color w:val="auto"/>
                <w:sz w:val="24"/>
                <w:highlight w:val="none"/>
                <w:u w:val="single"/>
              </w:rPr>
            </w:pPr>
            <w:r>
              <w:rPr>
                <w:rFonts w:hint="eastAsia" w:ascii="宋体" w:hAnsi="宋体" w:eastAsia="宋体"/>
                <w:bCs/>
                <w:color w:val="auto"/>
                <w:sz w:val="24"/>
                <w:highlight w:val="none"/>
              </w:rPr>
              <w:t>联系人及联系电话：</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p>
          <w:p w14:paraId="4E43886D">
            <w:pPr>
              <w:pStyle w:val="73"/>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both"/>
              <w:textAlignment w:val="auto"/>
              <w:rPr>
                <w:color w:val="auto"/>
                <w:sz w:val="24"/>
                <w:highlight w:val="none"/>
              </w:rPr>
            </w:pPr>
            <w:r>
              <w:rPr>
                <w:rFonts w:hint="eastAsia" w:ascii="宋体" w:hAnsi="宋体" w:eastAsia="宋体"/>
                <w:bCs w:val="0"/>
                <w:color w:val="auto"/>
                <w:sz w:val="24"/>
                <w:highlight w:val="none"/>
                <w:lang w:eastAsia="zh-CN"/>
              </w:rPr>
              <w:t>注：</w:t>
            </w:r>
            <w:r>
              <w:rPr>
                <w:rFonts w:hint="eastAsia" w:ascii="宋体" w:hAnsi="宋体" w:eastAsia="宋体"/>
                <w:bCs w:val="0"/>
                <w:color w:val="auto"/>
                <w:sz w:val="24"/>
                <w:highlight w:val="none"/>
              </w:rPr>
              <w:t>如</w:t>
            </w:r>
            <w:r>
              <w:rPr>
                <w:rFonts w:hint="eastAsia" w:ascii="宋体" w:hAnsi="宋体" w:eastAsia="宋体"/>
                <w:bCs w:val="0"/>
                <w:color w:val="auto"/>
                <w:sz w:val="24"/>
                <w:highlight w:val="none"/>
                <w:lang w:val="en-US" w:eastAsia="zh-CN"/>
              </w:rPr>
              <w:t>供应商</w:t>
            </w:r>
            <w:r>
              <w:rPr>
                <w:rFonts w:hint="eastAsia" w:ascii="宋体" w:hAnsi="宋体" w:eastAsia="宋体"/>
                <w:bCs w:val="0"/>
                <w:color w:val="auto"/>
                <w:sz w:val="24"/>
                <w:highlight w:val="none"/>
              </w:rPr>
              <w:t>未参加采购人统一组织的现场考察</w:t>
            </w:r>
            <w:r>
              <w:rPr>
                <w:rFonts w:hint="eastAsia" w:ascii="宋体" w:hAnsi="宋体" w:eastAsia="宋体"/>
                <w:bCs w:val="0"/>
                <w:color w:val="auto"/>
                <w:sz w:val="24"/>
                <w:highlight w:val="none"/>
                <w:lang w:val="en-US" w:eastAsia="zh-CN"/>
              </w:rPr>
              <w:t>或采购人统一召开的标前答疑会</w:t>
            </w:r>
            <w:r>
              <w:rPr>
                <w:rFonts w:hint="eastAsia" w:ascii="宋体" w:hAnsi="宋体" w:eastAsia="宋体"/>
                <w:bCs w:val="0"/>
                <w:color w:val="auto"/>
                <w:sz w:val="24"/>
                <w:highlight w:val="none"/>
              </w:rPr>
              <w:t>，视同放弃现场考察</w:t>
            </w:r>
            <w:r>
              <w:rPr>
                <w:rFonts w:hint="eastAsia" w:ascii="宋体" w:hAnsi="宋体" w:eastAsia="宋体"/>
                <w:bCs w:val="0"/>
                <w:color w:val="auto"/>
                <w:sz w:val="24"/>
                <w:highlight w:val="none"/>
                <w:lang w:val="en-US" w:eastAsia="zh-CN"/>
              </w:rPr>
              <w:t>或标前答疑会</w:t>
            </w:r>
            <w:r>
              <w:rPr>
                <w:rFonts w:hint="eastAsia" w:ascii="宋体" w:hAnsi="宋体" w:eastAsia="宋体"/>
                <w:bCs w:val="0"/>
                <w:color w:val="auto"/>
                <w:sz w:val="24"/>
                <w:highlight w:val="none"/>
              </w:rPr>
              <w:t>，由此引起的一切责任由</w:t>
            </w:r>
            <w:r>
              <w:rPr>
                <w:rFonts w:hint="eastAsia" w:ascii="宋体" w:hAnsi="宋体" w:eastAsia="宋体"/>
                <w:bCs w:val="0"/>
                <w:color w:val="auto"/>
                <w:sz w:val="24"/>
                <w:highlight w:val="none"/>
                <w:lang w:val="en-US" w:eastAsia="zh-CN"/>
              </w:rPr>
              <w:t>供应商</w:t>
            </w:r>
            <w:r>
              <w:rPr>
                <w:rFonts w:hint="eastAsia" w:ascii="宋体" w:hAnsi="宋体" w:eastAsia="宋体"/>
                <w:bCs w:val="0"/>
                <w:color w:val="auto"/>
                <w:sz w:val="24"/>
                <w:highlight w:val="none"/>
              </w:rPr>
              <w:t>自行承担。</w:t>
            </w:r>
          </w:p>
        </w:tc>
      </w:tr>
      <w:tr w14:paraId="550EA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jc w:val="center"/>
        </w:trPr>
        <w:tc>
          <w:tcPr>
            <w:tcW w:w="465" w:type="pct"/>
            <w:vAlign w:val="center"/>
          </w:tcPr>
          <w:p w14:paraId="7AFF30E4">
            <w:pPr>
              <w:pStyle w:val="74"/>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7</w:t>
            </w:r>
            <w:r>
              <w:rPr>
                <w:bCs/>
                <w:color w:val="auto"/>
                <w:kern w:val="2"/>
                <w:highlight w:val="none"/>
              </w:rPr>
              <w:t>.1</w:t>
            </w:r>
          </w:p>
        </w:tc>
        <w:tc>
          <w:tcPr>
            <w:tcW w:w="977" w:type="pct"/>
            <w:vAlign w:val="center"/>
          </w:tcPr>
          <w:p w14:paraId="3A64ADBF">
            <w:pPr>
              <w:pStyle w:val="73"/>
              <w:widowControl w:val="0"/>
              <w:spacing w:before="0" w:beforeAutospacing="0" w:after="0" w:afterAutospacing="0" w:line="360" w:lineRule="auto"/>
              <w:jc w:val="left"/>
              <w:rPr>
                <w:b w:val="0"/>
                <w:color w:val="auto"/>
                <w:sz w:val="24"/>
                <w:highlight w:val="none"/>
              </w:rPr>
            </w:pPr>
            <w:r>
              <w:rPr>
                <w:rFonts w:hint="eastAsia"/>
                <w:b w:val="0"/>
                <w:color w:val="auto"/>
                <w:sz w:val="24"/>
                <w:highlight w:val="none"/>
              </w:rPr>
              <w:t>包别划分</w:t>
            </w:r>
          </w:p>
        </w:tc>
        <w:tc>
          <w:tcPr>
            <w:tcW w:w="3556" w:type="pct"/>
            <w:vAlign w:val="center"/>
          </w:tcPr>
          <w:p w14:paraId="0DBFF4B7">
            <w:pPr>
              <w:pStyle w:val="73"/>
              <w:widowControl w:val="0"/>
              <w:spacing w:before="0" w:beforeAutospacing="0" w:after="0" w:afterAutospacing="0" w:line="360" w:lineRule="auto"/>
              <w:jc w:val="both"/>
              <w:rPr>
                <w:b w:val="0"/>
                <w:color w:val="auto"/>
                <w:sz w:val="24"/>
                <w:highlight w:val="none"/>
              </w:rPr>
            </w:pPr>
            <w:r>
              <w:rPr>
                <w:rFonts w:hint="eastAsia"/>
                <w:b w:val="0"/>
                <w:bCs w:val="0"/>
                <w:color w:val="auto"/>
                <w:sz w:val="24"/>
                <w:szCs w:val="24"/>
                <w:highlight w:val="none"/>
                <w:lang w:eastAsia="zh-CN"/>
              </w:rPr>
              <w:t>☑</w:t>
            </w:r>
            <w:r>
              <w:rPr>
                <w:b w:val="0"/>
                <w:color w:val="auto"/>
                <w:sz w:val="24"/>
                <w:highlight w:val="none"/>
              </w:rPr>
              <w:t>不分包     □分为  个包</w:t>
            </w:r>
          </w:p>
          <w:p w14:paraId="62191F21">
            <w:pPr>
              <w:pStyle w:val="73"/>
              <w:widowControl w:val="0"/>
              <w:spacing w:before="0" w:beforeAutospacing="0" w:after="0" w:afterAutospacing="0" w:line="360" w:lineRule="auto"/>
              <w:jc w:val="both"/>
              <w:rPr>
                <w:b w:val="0"/>
                <w:color w:val="auto"/>
                <w:sz w:val="24"/>
                <w:highlight w:val="none"/>
              </w:rPr>
            </w:pPr>
            <w:r>
              <w:rPr>
                <w:rFonts w:hint="eastAsia"/>
                <w:b w:val="0"/>
                <w:bCs w:val="0"/>
                <w:color w:val="auto"/>
                <w:sz w:val="24"/>
                <w:szCs w:val="24"/>
                <w:highlight w:val="none"/>
              </w:rPr>
              <w:t>供应商参加多个包磋商的成交</w:t>
            </w:r>
            <w:r>
              <w:rPr>
                <w:b w:val="0"/>
                <w:bCs w:val="0"/>
                <w:color w:val="auto"/>
                <w:sz w:val="24"/>
                <w:szCs w:val="24"/>
                <w:highlight w:val="none"/>
              </w:rPr>
              <w:t>包</w:t>
            </w:r>
            <w:r>
              <w:rPr>
                <w:rFonts w:hint="eastAsia"/>
                <w:b w:val="0"/>
                <w:bCs w:val="0"/>
                <w:color w:val="auto"/>
                <w:sz w:val="24"/>
                <w:szCs w:val="24"/>
                <w:highlight w:val="none"/>
              </w:rPr>
              <w:t>数规定：</w:t>
            </w:r>
            <w:r>
              <w:rPr>
                <w:rFonts w:hint="eastAsia"/>
                <w:b w:val="0"/>
                <w:bCs w:val="0"/>
                <w:color w:val="auto"/>
                <w:sz w:val="24"/>
                <w:szCs w:val="18"/>
                <w:highlight w:val="none"/>
                <w:u w:val="single"/>
              </w:rPr>
              <w:t xml:space="preserve"> </w:t>
            </w:r>
            <w:r>
              <w:rPr>
                <w:b w:val="0"/>
                <w:bCs w:val="0"/>
                <w:color w:val="auto"/>
                <w:sz w:val="24"/>
                <w:szCs w:val="18"/>
                <w:highlight w:val="none"/>
                <w:u w:val="single"/>
              </w:rPr>
              <w:t xml:space="preserve">             </w:t>
            </w:r>
          </w:p>
        </w:tc>
      </w:tr>
      <w:tr w14:paraId="4A6FE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65" w:type="pct"/>
            <w:vAlign w:val="center"/>
          </w:tcPr>
          <w:p w14:paraId="0D6BAA74">
            <w:pPr>
              <w:pStyle w:val="74"/>
              <w:pBdr>
                <w:bottom w:val="none" w:color="auto" w:sz="0" w:space="0"/>
              </w:pBdr>
              <w:tabs>
                <w:tab w:val="clear" w:pos="4153"/>
                <w:tab w:val="clear" w:pos="8306"/>
              </w:tabs>
              <w:adjustRightInd/>
              <w:spacing w:line="240" w:lineRule="auto"/>
              <w:textAlignment w:val="auto"/>
              <w:rPr>
                <w:bCs/>
                <w:color w:val="auto"/>
                <w:kern w:val="2"/>
                <w:highlight w:val="none"/>
              </w:rPr>
            </w:pPr>
            <w:r>
              <w:rPr>
                <w:rFonts w:hint="eastAsia"/>
                <w:bCs/>
                <w:color w:val="auto"/>
                <w:kern w:val="2"/>
                <w:highlight w:val="none"/>
              </w:rPr>
              <w:t>1</w:t>
            </w:r>
            <w:r>
              <w:rPr>
                <w:rFonts w:hint="eastAsia"/>
                <w:bCs/>
                <w:color w:val="auto"/>
                <w:kern w:val="2"/>
                <w:highlight w:val="none"/>
                <w:lang w:val="en-US" w:eastAsia="zh-CN"/>
              </w:rPr>
              <w:t>0</w:t>
            </w:r>
            <w:r>
              <w:rPr>
                <w:bCs/>
                <w:color w:val="auto"/>
                <w:kern w:val="2"/>
                <w:highlight w:val="none"/>
              </w:rPr>
              <w:t>.1</w:t>
            </w:r>
          </w:p>
        </w:tc>
        <w:tc>
          <w:tcPr>
            <w:tcW w:w="977" w:type="pct"/>
            <w:vAlign w:val="center"/>
          </w:tcPr>
          <w:p w14:paraId="69F177CB">
            <w:pPr>
              <w:pStyle w:val="73"/>
              <w:widowControl w:val="0"/>
              <w:spacing w:before="0" w:beforeAutospacing="0" w:after="0" w:afterAutospacing="0" w:line="360" w:lineRule="auto"/>
              <w:jc w:val="left"/>
              <w:rPr>
                <w:b w:val="0"/>
                <w:color w:val="auto"/>
                <w:sz w:val="24"/>
                <w:highlight w:val="none"/>
              </w:rPr>
            </w:pPr>
            <w:r>
              <w:rPr>
                <w:rFonts w:hint="eastAsia"/>
                <w:b w:val="0"/>
                <w:color w:val="auto"/>
                <w:sz w:val="24"/>
                <w:highlight w:val="none"/>
              </w:rPr>
              <w:t>磋商保证金</w:t>
            </w:r>
          </w:p>
        </w:tc>
        <w:tc>
          <w:tcPr>
            <w:tcW w:w="3556" w:type="pct"/>
            <w:vAlign w:val="center"/>
          </w:tcPr>
          <w:p w14:paraId="4980412D">
            <w:pPr>
              <w:pStyle w:val="73"/>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不收取</w:t>
            </w:r>
          </w:p>
        </w:tc>
      </w:tr>
      <w:tr w14:paraId="58BAF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17A03D05">
            <w:pPr>
              <w:pStyle w:val="74"/>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rPr>
              <w:t>1</w:t>
            </w:r>
            <w:r>
              <w:rPr>
                <w:rFonts w:hint="eastAsia"/>
                <w:bCs/>
                <w:color w:val="auto"/>
                <w:kern w:val="2"/>
                <w:highlight w:val="none"/>
                <w:lang w:val="en-US" w:eastAsia="zh-CN"/>
              </w:rPr>
              <w:t>1</w:t>
            </w:r>
            <w:r>
              <w:rPr>
                <w:bCs/>
                <w:color w:val="auto"/>
                <w:kern w:val="2"/>
                <w:highlight w:val="none"/>
              </w:rPr>
              <w:t>.1</w:t>
            </w:r>
          </w:p>
        </w:tc>
        <w:tc>
          <w:tcPr>
            <w:tcW w:w="977" w:type="pct"/>
            <w:vAlign w:val="center"/>
          </w:tcPr>
          <w:p w14:paraId="188D1B5D">
            <w:pPr>
              <w:pStyle w:val="73"/>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磋商有效期</w:t>
            </w:r>
          </w:p>
        </w:tc>
        <w:tc>
          <w:tcPr>
            <w:tcW w:w="3556" w:type="pct"/>
            <w:vAlign w:val="center"/>
          </w:tcPr>
          <w:p w14:paraId="105F132A">
            <w:pPr>
              <w:pStyle w:val="73"/>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u w:val="single"/>
                <w:lang w:val="en-US" w:eastAsia="zh-CN"/>
              </w:rPr>
              <w:t>90</w:t>
            </w:r>
            <w:r>
              <w:rPr>
                <w:rFonts w:hint="eastAsia"/>
                <w:b w:val="0"/>
                <w:color w:val="auto"/>
                <w:sz w:val="24"/>
                <w:highlight w:val="none"/>
              </w:rPr>
              <w:t>日历日</w:t>
            </w:r>
          </w:p>
        </w:tc>
      </w:tr>
      <w:tr w14:paraId="269FE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52B08624">
            <w:pPr>
              <w:pStyle w:val="74"/>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rPr>
              <w:t>1</w:t>
            </w:r>
            <w:r>
              <w:rPr>
                <w:rFonts w:hint="eastAsia"/>
                <w:bCs/>
                <w:color w:val="auto"/>
                <w:kern w:val="2"/>
                <w:highlight w:val="none"/>
                <w:lang w:val="en-US" w:eastAsia="zh-CN"/>
              </w:rPr>
              <w:t>4</w:t>
            </w:r>
            <w:r>
              <w:rPr>
                <w:rFonts w:hint="eastAsia"/>
                <w:bCs/>
                <w:color w:val="auto"/>
                <w:kern w:val="2"/>
                <w:highlight w:val="none"/>
              </w:rPr>
              <w:t>.3</w:t>
            </w:r>
          </w:p>
        </w:tc>
        <w:tc>
          <w:tcPr>
            <w:tcW w:w="977" w:type="pct"/>
            <w:vAlign w:val="center"/>
          </w:tcPr>
          <w:p w14:paraId="6182BA05">
            <w:pPr>
              <w:pStyle w:val="73"/>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评审方法</w:t>
            </w:r>
          </w:p>
        </w:tc>
        <w:tc>
          <w:tcPr>
            <w:tcW w:w="3556" w:type="pct"/>
            <w:vAlign w:val="center"/>
          </w:tcPr>
          <w:p w14:paraId="23758B6D">
            <w:pPr>
              <w:pStyle w:val="73"/>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u w:val="none"/>
              </w:rPr>
              <w:t>综合评分法</w:t>
            </w:r>
          </w:p>
        </w:tc>
      </w:tr>
      <w:tr w14:paraId="0450B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Merge w:val="restart"/>
            <w:vAlign w:val="center"/>
          </w:tcPr>
          <w:p w14:paraId="6CFF76E2">
            <w:pPr>
              <w:pStyle w:val="74"/>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19</w:t>
            </w:r>
            <w:r>
              <w:rPr>
                <w:bCs/>
                <w:color w:val="auto"/>
                <w:kern w:val="2"/>
                <w:highlight w:val="none"/>
              </w:rPr>
              <w:t>.</w:t>
            </w:r>
            <w:r>
              <w:rPr>
                <w:rFonts w:hint="eastAsia"/>
                <w:bCs/>
                <w:color w:val="auto"/>
                <w:kern w:val="2"/>
                <w:highlight w:val="none"/>
              </w:rPr>
              <w:t>1</w:t>
            </w:r>
          </w:p>
        </w:tc>
        <w:tc>
          <w:tcPr>
            <w:tcW w:w="977" w:type="pct"/>
            <w:vMerge w:val="restart"/>
            <w:vAlign w:val="center"/>
          </w:tcPr>
          <w:p w14:paraId="51FD1C26">
            <w:pPr>
              <w:pStyle w:val="73"/>
              <w:widowControl w:val="0"/>
              <w:spacing w:before="0" w:beforeAutospacing="0" w:after="0" w:afterAutospacing="0" w:line="360" w:lineRule="auto"/>
              <w:jc w:val="both"/>
              <w:rPr>
                <w:b w:val="0"/>
                <w:color w:val="auto"/>
                <w:sz w:val="24"/>
                <w:highlight w:val="none"/>
              </w:rPr>
            </w:pPr>
            <w:r>
              <w:rPr>
                <w:rFonts w:hint="eastAsia" w:asciiTheme="minorEastAsia" w:hAnsiTheme="minorEastAsia" w:eastAsiaTheme="minorEastAsia"/>
                <w:b w:val="0"/>
                <w:color w:val="auto"/>
                <w:sz w:val="24"/>
                <w:highlight w:val="none"/>
              </w:rPr>
              <w:t>确定成交候选供应商和成交供应商</w:t>
            </w:r>
          </w:p>
        </w:tc>
        <w:tc>
          <w:tcPr>
            <w:tcW w:w="3556" w:type="pct"/>
            <w:vAlign w:val="center"/>
          </w:tcPr>
          <w:p w14:paraId="7F9E4EE7">
            <w:pPr>
              <w:pStyle w:val="73"/>
              <w:widowControl w:val="0"/>
              <w:spacing w:before="0" w:beforeAutospacing="0" w:after="0" w:afterAutospacing="0" w:line="360" w:lineRule="auto"/>
              <w:jc w:val="both"/>
              <w:rPr>
                <w:rFonts w:hint="eastAsia" w:ascii="宋体" w:hAnsi="宋体" w:eastAsia="宋体"/>
                <w:b w:val="0"/>
                <w:color w:val="auto"/>
                <w:sz w:val="24"/>
                <w:highlight w:val="none"/>
                <w:lang w:val="en-US" w:eastAsia="zh-CN"/>
              </w:rPr>
            </w:pPr>
            <w:r>
              <w:rPr>
                <w:rFonts w:hint="eastAsia"/>
                <w:b w:val="0"/>
                <w:color w:val="auto"/>
                <w:sz w:val="24"/>
                <w:highlight w:val="none"/>
              </w:rPr>
              <w:t>磋商小组推荐成交</w:t>
            </w:r>
            <w:r>
              <w:rPr>
                <w:b w:val="0"/>
                <w:color w:val="auto"/>
                <w:sz w:val="24"/>
                <w:highlight w:val="none"/>
              </w:rPr>
              <w:t>候选</w:t>
            </w:r>
            <w:r>
              <w:rPr>
                <w:rFonts w:hint="eastAsia"/>
                <w:b w:val="0"/>
                <w:color w:val="auto"/>
                <w:sz w:val="24"/>
                <w:highlight w:val="none"/>
              </w:rPr>
              <w:t>供应商的</w:t>
            </w:r>
            <w:r>
              <w:rPr>
                <w:b w:val="0"/>
                <w:color w:val="auto"/>
                <w:sz w:val="24"/>
                <w:highlight w:val="none"/>
              </w:rPr>
              <w:t>数量</w:t>
            </w:r>
            <w:r>
              <w:rPr>
                <w:rFonts w:hint="eastAsia"/>
                <w:b w:val="0"/>
                <w:color w:val="auto"/>
                <w:sz w:val="24"/>
                <w:highlight w:val="none"/>
              </w:rPr>
              <w:t>：</w:t>
            </w:r>
            <w:r>
              <w:rPr>
                <w:rFonts w:hint="eastAsia" w:ascii="宋体" w:hAnsi="宋体" w:eastAsia="宋体"/>
                <w:b w:val="0"/>
                <w:color w:val="auto"/>
                <w:sz w:val="24"/>
                <w:highlight w:val="none"/>
                <w:u w:val="single"/>
              </w:rPr>
              <w:t>3家</w:t>
            </w:r>
            <w:r>
              <w:rPr>
                <w:rFonts w:hint="eastAsia"/>
                <w:b w:val="0"/>
                <w:color w:val="auto"/>
                <w:sz w:val="24"/>
                <w:highlight w:val="none"/>
                <w:u w:val="single"/>
                <w:lang w:val="en-US" w:eastAsia="zh-CN"/>
              </w:rPr>
              <w:t>及</w:t>
            </w:r>
            <w:r>
              <w:rPr>
                <w:rFonts w:hint="eastAsia" w:ascii="宋体" w:hAnsi="宋体" w:eastAsia="宋体"/>
                <w:b w:val="0"/>
                <w:color w:val="auto"/>
                <w:sz w:val="24"/>
                <w:highlight w:val="none"/>
                <w:u w:val="single"/>
                <w:lang w:val="en-US" w:eastAsia="zh-CN"/>
              </w:rPr>
              <w:t>以上</w:t>
            </w:r>
          </w:p>
          <w:p w14:paraId="13C9834C">
            <w:pPr>
              <w:pStyle w:val="73"/>
              <w:widowControl w:val="0"/>
              <w:spacing w:before="0" w:beforeAutospacing="0" w:after="0" w:afterAutospacing="0" w:line="360" w:lineRule="auto"/>
              <w:jc w:val="both"/>
              <w:rPr>
                <w:b w:val="0"/>
                <w:color w:val="auto"/>
                <w:sz w:val="24"/>
                <w:highlight w:val="none"/>
                <w:u w:val="single"/>
              </w:rPr>
            </w:pPr>
            <w:r>
              <w:rPr>
                <w:rFonts w:hint="eastAsia" w:ascii="宋体" w:hAnsi="宋体" w:eastAsia="宋体"/>
                <w:b w:val="0"/>
                <w:color w:val="auto"/>
                <w:sz w:val="24"/>
                <w:highlight w:val="none"/>
                <w:lang w:val="en-US" w:eastAsia="zh-CN"/>
              </w:rPr>
              <w:t>注：法律、法规另有规定的，从其规定</w:t>
            </w:r>
          </w:p>
        </w:tc>
      </w:tr>
      <w:tr w14:paraId="51015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Merge w:val="continue"/>
            <w:vAlign w:val="center"/>
          </w:tcPr>
          <w:p w14:paraId="072375CE">
            <w:pPr>
              <w:pStyle w:val="74"/>
              <w:pBdr>
                <w:bottom w:val="none" w:color="auto" w:sz="0" w:space="0"/>
              </w:pBdr>
              <w:tabs>
                <w:tab w:val="clear" w:pos="4153"/>
                <w:tab w:val="clear" w:pos="8306"/>
              </w:tabs>
              <w:adjustRightInd/>
              <w:spacing w:line="360" w:lineRule="auto"/>
              <w:textAlignment w:val="auto"/>
              <w:rPr>
                <w:bCs/>
                <w:color w:val="auto"/>
                <w:kern w:val="2"/>
                <w:highlight w:val="none"/>
              </w:rPr>
            </w:pPr>
          </w:p>
        </w:tc>
        <w:tc>
          <w:tcPr>
            <w:tcW w:w="977" w:type="pct"/>
            <w:vMerge w:val="continue"/>
            <w:vAlign w:val="center"/>
          </w:tcPr>
          <w:p w14:paraId="5ADE4E8F">
            <w:pPr>
              <w:pStyle w:val="73"/>
              <w:widowControl w:val="0"/>
              <w:spacing w:before="0" w:beforeAutospacing="0" w:after="0" w:afterAutospacing="0" w:line="360" w:lineRule="auto"/>
              <w:jc w:val="both"/>
              <w:rPr>
                <w:b w:val="0"/>
                <w:color w:val="auto"/>
                <w:sz w:val="24"/>
                <w:highlight w:val="none"/>
              </w:rPr>
            </w:pPr>
          </w:p>
        </w:tc>
        <w:tc>
          <w:tcPr>
            <w:tcW w:w="3556" w:type="pct"/>
            <w:vAlign w:val="center"/>
          </w:tcPr>
          <w:p w14:paraId="4B65CAF4">
            <w:pPr>
              <w:pStyle w:val="73"/>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确定成交供应商：</w:t>
            </w:r>
          </w:p>
          <w:p w14:paraId="59D2B6DC">
            <w:pPr>
              <w:pStyle w:val="73"/>
              <w:widowControl w:val="0"/>
              <w:spacing w:before="0" w:beforeAutospacing="0" w:after="0" w:afterAutospacing="0" w:line="360" w:lineRule="auto"/>
              <w:jc w:val="both"/>
              <w:rPr>
                <w:b w:val="0"/>
                <w:color w:val="auto"/>
                <w:sz w:val="24"/>
                <w:highlight w:val="none"/>
              </w:rPr>
            </w:pPr>
            <w:r>
              <w:rPr>
                <w:rFonts w:hint="eastAsia" w:asciiTheme="minorEastAsia" w:hAnsiTheme="minorEastAsia"/>
                <w:b w:val="0"/>
                <w:color w:val="auto"/>
                <w:sz w:val="24"/>
                <w:szCs w:val="24"/>
                <w:highlight w:val="none"/>
              </w:rPr>
              <w:sym w:font="Wingdings" w:char="00FE"/>
            </w:r>
            <w:r>
              <w:rPr>
                <w:rFonts w:hint="eastAsia"/>
                <w:b w:val="0"/>
                <w:color w:val="auto"/>
                <w:sz w:val="24"/>
                <w:highlight w:val="none"/>
              </w:rPr>
              <w:t xml:space="preserve">采购人委托磋商小组确定 </w:t>
            </w:r>
            <w:r>
              <w:rPr>
                <w:b w:val="0"/>
                <w:color w:val="auto"/>
                <w:sz w:val="24"/>
                <w:highlight w:val="none"/>
              </w:rPr>
              <w:t xml:space="preserve">   </w:t>
            </w:r>
            <w:r>
              <w:rPr>
                <w:rFonts w:hint="eastAsia"/>
                <w:b w:val="0"/>
                <w:color w:val="auto"/>
                <w:sz w:val="24"/>
                <w:highlight w:val="none"/>
              </w:rPr>
              <w:t xml:space="preserve"> □采购人确定</w:t>
            </w:r>
          </w:p>
        </w:tc>
      </w:tr>
      <w:tr w14:paraId="5FA6B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272D5FDB">
            <w:pPr>
              <w:pStyle w:val="74"/>
              <w:pBdr>
                <w:bottom w:val="none" w:color="auto" w:sz="0" w:space="0"/>
              </w:pBdr>
              <w:tabs>
                <w:tab w:val="clear" w:pos="4153"/>
                <w:tab w:val="clear" w:pos="8306"/>
              </w:tabs>
              <w:adjustRightInd/>
              <w:spacing w:line="240" w:lineRule="auto"/>
              <w:textAlignment w:val="auto"/>
              <w:rPr>
                <w:bCs/>
                <w:color w:val="auto"/>
                <w:kern w:val="2"/>
                <w:highlight w:val="none"/>
              </w:rPr>
            </w:pPr>
            <w:r>
              <w:rPr>
                <w:rFonts w:hint="eastAsia"/>
                <w:bCs/>
                <w:color w:val="auto"/>
                <w:kern w:val="2"/>
                <w:highlight w:val="none"/>
              </w:rPr>
              <w:t>2</w:t>
            </w:r>
            <w:r>
              <w:rPr>
                <w:rFonts w:hint="eastAsia"/>
                <w:bCs/>
                <w:color w:val="auto"/>
                <w:kern w:val="2"/>
                <w:highlight w:val="none"/>
                <w:lang w:val="en-US" w:eastAsia="zh-CN"/>
              </w:rPr>
              <w:t>3</w:t>
            </w:r>
            <w:r>
              <w:rPr>
                <w:bCs/>
                <w:color w:val="auto"/>
                <w:kern w:val="2"/>
                <w:highlight w:val="none"/>
              </w:rPr>
              <w:t>.1</w:t>
            </w:r>
          </w:p>
        </w:tc>
        <w:tc>
          <w:tcPr>
            <w:tcW w:w="977" w:type="pct"/>
            <w:vAlign w:val="center"/>
          </w:tcPr>
          <w:p w14:paraId="20CA6698">
            <w:pPr>
              <w:pStyle w:val="73"/>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成交通知书发出的形式</w:t>
            </w:r>
          </w:p>
        </w:tc>
        <w:tc>
          <w:tcPr>
            <w:tcW w:w="3556" w:type="pct"/>
            <w:vAlign w:val="center"/>
          </w:tcPr>
          <w:p w14:paraId="351D32A1">
            <w:pPr>
              <w:pStyle w:val="73"/>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lang w:eastAsia="zh-CN"/>
              </w:rPr>
              <w:t>☑</w:t>
            </w:r>
            <w:r>
              <w:rPr>
                <w:rFonts w:hint="eastAsia"/>
                <w:b w:val="0"/>
                <w:color w:val="auto"/>
                <w:sz w:val="24"/>
                <w:highlight w:val="none"/>
              </w:rPr>
              <w:t xml:space="preserve">书面 </w:t>
            </w:r>
            <w:r>
              <w:rPr>
                <w:b w:val="0"/>
                <w:color w:val="auto"/>
                <w:sz w:val="24"/>
                <w:highlight w:val="none"/>
              </w:rPr>
              <w:t xml:space="preserve">   </w:t>
            </w:r>
          </w:p>
        </w:tc>
      </w:tr>
      <w:tr w14:paraId="217C5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00B418CE">
            <w:pPr>
              <w:pStyle w:val="74"/>
              <w:pBdr>
                <w:bottom w:val="none" w:color="auto" w:sz="0" w:space="0"/>
              </w:pBdr>
              <w:tabs>
                <w:tab w:val="clear" w:pos="4153"/>
                <w:tab w:val="clear" w:pos="8306"/>
              </w:tabs>
              <w:adjustRightInd/>
              <w:spacing w:line="240" w:lineRule="auto"/>
              <w:textAlignment w:val="auto"/>
              <w:rPr>
                <w:bCs/>
                <w:color w:val="auto"/>
                <w:kern w:val="2"/>
                <w:highlight w:val="none"/>
              </w:rPr>
            </w:pPr>
            <w:r>
              <w:rPr>
                <w:rFonts w:hint="eastAsia" w:ascii="宋体" w:hAnsi="宋体" w:eastAsia="宋体" w:cs="宋体"/>
                <w:b w:val="0"/>
                <w:bCs/>
                <w:color w:val="auto"/>
                <w:sz w:val="24"/>
                <w:szCs w:val="24"/>
                <w:lang w:val="en-US" w:eastAsia="zh-CN"/>
              </w:rPr>
              <w:t>2</w:t>
            </w:r>
            <w:r>
              <w:rPr>
                <w:rFonts w:hint="eastAsia" w:cs="宋体"/>
                <w:b w:val="0"/>
                <w:bCs/>
                <w:color w:val="auto"/>
                <w:sz w:val="24"/>
                <w:szCs w:val="24"/>
                <w:lang w:val="en-US" w:eastAsia="zh-CN"/>
              </w:rPr>
              <w:t>4</w:t>
            </w:r>
            <w:r>
              <w:rPr>
                <w:rFonts w:hint="eastAsia" w:ascii="宋体" w:hAnsi="宋体" w:eastAsia="宋体" w:cs="宋体"/>
                <w:b w:val="0"/>
                <w:bCs/>
                <w:color w:val="auto"/>
                <w:sz w:val="24"/>
                <w:szCs w:val="24"/>
                <w:lang w:val="en-US" w:eastAsia="zh-CN"/>
              </w:rPr>
              <w:t>.1</w:t>
            </w:r>
          </w:p>
        </w:tc>
        <w:tc>
          <w:tcPr>
            <w:tcW w:w="977" w:type="pct"/>
            <w:vAlign w:val="center"/>
          </w:tcPr>
          <w:p w14:paraId="69921732">
            <w:pPr>
              <w:pStyle w:val="73"/>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告知磋商结果的形式</w:t>
            </w:r>
          </w:p>
        </w:tc>
        <w:tc>
          <w:tcPr>
            <w:tcW w:w="3556" w:type="pct"/>
            <w:vAlign w:val="center"/>
          </w:tcPr>
          <w:p w14:paraId="05455BDD">
            <w:pPr>
              <w:pStyle w:val="73"/>
              <w:widowControl w:val="0"/>
              <w:spacing w:before="0" w:beforeAutospacing="0" w:after="0" w:afterAutospacing="0" w:line="360" w:lineRule="auto"/>
              <w:jc w:val="both"/>
              <w:rPr>
                <w:b w:val="0"/>
                <w:bCs w:val="0"/>
                <w:color w:val="auto"/>
                <w:sz w:val="24"/>
                <w:szCs w:val="24"/>
                <w:highlight w:val="none"/>
              </w:rPr>
            </w:pPr>
            <w:r>
              <w:rPr>
                <w:rFonts w:hint="eastAsia" w:asciiTheme="minorEastAsia" w:hAnsiTheme="minorEastAsia"/>
                <w:b w:val="0"/>
                <w:color w:val="auto"/>
                <w:sz w:val="24"/>
                <w:szCs w:val="24"/>
                <w:highlight w:val="none"/>
              </w:rPr>
              <w:sym w:font="Wingdings" w:char="00FE"/>
            </w:r>
            <w:r>
              <w:rPr>
                <w:rFonts w:hint="eastAsia"/>
                <w:b w:val="0"/>
                <w:bCs w:val="0"/>
                <w:color w:val="auto"/>
                <w:sz w:val="24"/>
                <w:szCs w:val="24"/>
                <w:highlight w:val="none"/>
              </w:rPr>
              <w:t>供应商自行登录</w:t>
            </w:r>
            <w:r>
              <w:rPr>
                <w:rFonts w:hint="eastAsia" w:hAnsi="宋体"/>
                <w:kern w:val="0"/>
                <w:sz w:val="24"/>
                <w:szCs w:val="24"/>
                <w:lang w:eastAsia="zh-CN"/>
              </w:rPr>
              <w:t>安徽融城高新技术产业发展集团有限公司</w:t>
            </w:r>
            <w:r>
              <w:rPr>
                <w:rFonts w:hint="eastAsia" w:hAnsi="宋体"/>
                <w:kern w:val="0"/>
                <w:sz w:val="24"/>
                <w:szCs w:val="24"/>
                <w:lang w:val="en-US" w:eastAsia="zh-CN"/>
              </w:rPr>
              <w:t>网</w:t>
            </w:r>
            <w:r>
              <w:rPr>
                <w:rFonts w:hint="eastAsia"/>
                <w:b w:val="0"/>
                <w:bCs w:val="0"/>
                <w:color w:val="auto"/>
                <w:sz w:val="24"/>
                <w:szCs w:val="24"/>
                <w:highlight w:val="none"/>
              </w:rPr>
              <w:t>查看</w:t>
            </w:r>
          </w:p>
          <w:p w14:paraId="02622E35">
            <w:pPr>
              <w:pStyle w:val="73"/>
              <w:widowControl w:val="0"/>
              <w:spacing w:before="0" w:beforeAutospacing="0" w:after="0" w:afterAutospacing="0" w:line="360" w:lineRule="auto"/>
              <w:jc w:val="both"/>
              <w:rPr>
                <w:rFonts w:hint="eastAsia"/>
                <w:b w:val="0"/>
                <w:color w:val="auto"/>
                <w:sz w:val="24"/>
                <w:highlight w:val="none"/>
              </w:rPr>
            </w:pPr>
            <w:r>
              <w:rPr>
                <w:rFonts w:hint="eastAsia"/>
                <w:b w:val="0"/>
                <w:color w:val="auto"/>
                <w:sz w:val="24"/>
                <w:highlight w:val="none"/>
              </w:rPr>
              <w:t>□磋商现场告知</w:t>
            </w:r>
          </w:p>
          <w:p w14:paraId="4764A0E0">
            <w:pPr>
              <w:pStyle w:val="73"/>
              <w:widowControl w:val="0"/>
              <w:spacing w:before="0" w:beforeAutospacing="0" w:after="0" w:afterAutospacing="0" w:line="360" w:lineRule="auto"/>
              <w:jc w:val="both"/>
              <w:rPr>
                <w:rFonts w:hint="eastAsia"/>
                <w:b w:val="0"/>
                <w:color w:val="auto"/>
                <w:sz w:val="24"/>
                <w:highlight w:val="none"/>
              </w:rPr>
            </w:pPr>
            <w:r>
              <w:rPr>
                <w:rFonts w:hint="eastAsia" w:asciiTheme="minorEastAsia" w:hAnsiTheme="minorEastAsia" w:eastAsiaTheme="minorEastAsia"/>
                <w:b w:val="0"/>
                <w:bCs w:val="0"/>
                <w:color w:val="auto"/>
                <w:kern w:val="2"/>
                <w:sz w:val="24"/>
                <w:szCs w:val="24"/>
                <w:highlight w:val="none"/>
              </w:rPr>
              <w:t>□</w:t>
            </w:r>
            <w:r>
              <w:rPr>
                <w:rFonts w:hint="eastAsia" w:asciiTheme="minorEastAsia" w:hAnsiTheme="minorEastAsia" w:eastAsiaTheme="minorEastAsia"/>
                <w:b w:val="0"/>
                <w:bCs w:val="0"/>
                <w:color w:val="auto"/>
                <w:kern w:val="2"/>
                <w:sz w:val="24"/>
                <w:szCs w:val="24"/>
                <w:highlight w:val="none"/>
                <w:u w:val="single"/>
                <w:lang w:val="en-US" w:eastAsia="zh-CN"/>
              </w:rPr>
              <w:t xml:space="preserve">    /      </w:t>
            </w:r>
          </w:p>
        </w:tc>
      </w:tr>
      <w:tr w14:paraId="1CB15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77C911EF">
            <w:pPr>
              <w:pStyle w:val="74"/>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25</w:t>
            </w:r>
            <w:r>
              <w:rPr>
                <w:bCs/>
                <w:color w:val="auto"/>
                <w:kern w:val="2"/>
                <w:highlight w:val="none"/>
              </w:rPr>
              <w:t>.1</w:t>
            </w:r>
          </w:p>
        </w:tc>
        <w:tc>
          <w:tcPr>
            <w:tcW w:w="977" w:type="pct"/>
            <w:vAlign w:val="center"/>
          </w:tcPr>
          <w:p w14:paraId="1366ED1E">
            <w:pPr>
              <w:pStyle w:val="73"/>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履约保证金</w:t>
            </w:r>
          </w:p>
        </w:tc>
        <w:tc>
          <w:tcPr>
            <w:tcW w:w="3556" w:type="pct"/>
          </w:tcPr>
          <w:p w14:paraId="32D7A3BF">
            <w:pPr>
              <w:spacing w:line="360" w:lineRule="auto"/>
              <w:rPr>
                <w:bCs/>
                <w:color w:val="auto"/>
                <w:sz w:val="24"/>
                <w:szCs w:val="28"/>
                <w:highlight w:val="none"/>
              </w:rPr>
            </w:pPr>
            <w:r>
              <w:rPr>
                <w:rFonts w:hint="eastAsia"/>
                <w:bCs/>
                <w:color w:val="auto"/>
                <w:sz w:val="24"/>
                <w:szCs w:val="28"/>
                <w:highlight w:val="none"/>
              </w:rPr>
              <w:t>（1）金额：</w:t>
            </w:r>
          </w:p>
          <w:p w14:paraId="08F852CF">
            <w:pPr>
              <w:spacing w:line="360" w:lineRule="auto"/>
              <w:rPr>
                <w:bCs/>
                <w:color w:val="auto"/>
                <w:sz w:val="24"/>
                <w:szCs w:val="28"/>
                <w:highlight w:val="none"/>
              </w:rPr>
            </w:pPr>
            <w:r>
              <w:rPr>
                <w:rFonts w:hint="eastAsia"/>
                <w:bCs/>
                <w:color w:val="auto"/>
                <w:sz w:val="24"/>
                <w:szCs w:val="28"/>
                <w:highlight w:val="none"/>
                <w:lang w:eastAsia="zh-CN"/>
              </w:rPr>
              <w:t>☑</w:t>
            </w:r>
            <w:r>
              <w:rPr>
                <w:rFonts w:hint="eastAsia"/>
                <w:bCs/>
                <w:color w:val="auto"/>
                <w:sz w:val="24"/>
                <w:szCs w:val="28"/>
                <w:highlight w:val="none"/>
              </w:rPr>
              <w:t>免收</w:t>
            </w:r>
          </w:p>
          <w:p w14:paraId="52D83A28">
            <w:pPr>
              <w:spacing w:line="360" w:lineRule="auto"/>
              <w:rPr>
                <w:bCs/>
                <w:color w:val="auto"/>
                <w:sz w:val="24"/>
                <w:szCs w:val="28"/>
                <w:highlight w:val="none"/>
              </w:rPr>
            </w:pPr>
            <w:r>
              <w:rPr>
                <w:bCs/>
                <w:color w:val="auto"/>
                <w:sz w:val="24"/>
                <w:szCs w:val="28"/>
                <w:highlight w:val="none"/>
              </w:rPr>
              <w:t>□</w:t>
            </w:r>
            <w:r>
              <w:rPr>
                <w:rFonts w:hint="eastAsia"/>
                <w:bCs/>
                <w:color w:val="auto"/>
                <w:sz w:val="24"/>
                <w:szCs w:val="28"/>
                <w:highlight w:val="none"/>
              </w:rPr>
              <w:t>合同价的</w:t>
            </w:r>
            <w:r>
              <w:rPr>
                <w:bCs/>
                <w:color w:val="auto"/>
                <w:sz w:val="24"/>
                <w:szCs w:val="28"/>
                <w:highlight w:val="none"/>
                <w:u w:val="single"/>
              </w:rPr>
              <w:t xml:space="preserve">   </w:t>
            </w:r>
            <w:r>
              <w:rPr>
                <w:bCs/>
                <w:color w:val="auto"/>
                <w:sz w:val="24"/>
                <w:szCs w:val="28"/>
                <w:highlight w:val="none"/>
              </w:rPr>
              <w:t>%</w:t>
            </w:r>
          </w:p>
          <w:p w14:paraId="4C144953">
            <w:pPr>
              <w:spacing w:line="360" w:lineRule="auto"/>
              <w:rPr>
                <w:bCs/>
                <w:color w:val="auto"/>
                <w:sz w:val="24"/>
                <w:szCs w:val="28"/>
                <w:highlight w:val="none"/>
              </w:rPr>
            </w:pPr>
            <w:r>
              <w:rPr>
                <w:bCs/>
                <w:color w:val="auto"/>
                <w:sz w:val="24"/>
                <w:szCs w:val="28"/>
                <w:highlight w:val="none"/>
              </w:rPr>
              <w:t>□</w:t>
            </w:r>
            <w:r>
              <w:rPr>
                <w:rFonts w:hint="eastAsia"/>
                <w:bCs/>
                <w:color w:val="auto"/>
                <w:sz w:val="24"/>
                <w:szCs w:val="28"/>
                <w:highlight w:val="none"/>
              </w:rPr>
              <w:t>定额收取：人民币</w:t>
            </w:r>
            <w:r>
              <w:rPr>
                <w:rFonts w:hint="eastAsia"/>
                <w:bCs/>
                <w:color w:val="auto"/>
                <w:sz w:val="24"/>
                <w:szCs w:val="28"/>
                <w:highlight w:val="none"/>
                <w:u w:val="single"/>
              </w:rPr>
              <w:t xml:space="preserve">              </w:t>
            </w:r>
            <w:r>
              <w:rPr>
                <w:rFonts w:hint="eastAsia"/>
                <w:bCs/>
                <w:color w:val="auto"/>
                <w:sz w:val="24"/>
                <w:szCs w:val="28"/>
                <w:highlight w:val="none"/>
              </w:rPr>
              <w:t>元</w:t>
            </w:r>
          </w:p>
          <w:p w14:paraId="0A11A162">
            <w:pPr>
              <w:spacing w:line="360" w:lineRule="auto"/>
              <w:rPr>
                <w:bCs/>
                <w:color w:val="auto"/>
                <w:sz w:val="24"/>
                <w:szCs w:val="28"/>
                <w:highlight w:val="none"/>
              </w:rPr>
            </w:pPr>
            <w:r>
              <w:rPr>
                <w:rFonts w:hint="eastAsia"/>
                <w:bCs/>
                <w:color w:val="auto"/>
                <w:sz w:val="24"/>
                <w:szCs w:val="28"/>
                <w:highlight w:val="none"/>
              </w:rPr>
              <w:t>（2）支付方式：</w:t>
            </w:r>
          </w:p>
          <w:p w14:paraId="5F2AE5A1">
            <w:pPr>
              <w:spacing w:line="360" w:lineRule="auto"/>
              <w:rPr>
                <w:bCs/>
                <w:color w:val="auto"/>
                <w:sz w:val="24"/>
                <w:szCs w:val="28"/>
                <w:highlight w:val="none"/>
              </w:rPr>
            </w:pPr>
            <w:r>
              <w:rPr>
                <w:rFonts w:hint="eastAsia"/>
                <w:bCs/>
                <w:color w:val="auto"/>
                <w:sz w:val="24"/>
                <w:szCs w:val="28"/>
                <w:highlight w:val="none"/>
              </w:rPr>
              <w:sym w:font="Wingdings" w:char="00A8"/>
            </w:r>
            <w:r>
              <w:rPr>
                <w:bCs/>
                <w:color w:val="auto"/>
                <w:sz w:val="24"/>
                <w:szCs w:val="28"/>
                <w:highlight w:val="none"/>
              </w:rPr>
              <w:t>转账/电汇</w:t>
            </w:r>
            <w:r>
              <w:rPr>
                <w:rFonts w:hint="eastAsia"/>
                <w:bCs/>
                <w:color w:val="auto"/>
                <w:sz w:val="24"/>
                <w:szCs w:val="28"/>
                <w:highlight w:val="none"/>
              </w:rPr>
              <w:t xml:space="preserve"> </w:t>
            </w:r>
            <w:r>
              <w:rPr>
                <w:rFonts w:hint="eastAsia"/>
                <w:bCs/>
                <w:color w:val="auto"/>
                <w:sz w:val="24"/>
                <w:szCs w:val="28"/>
                <w:highlight w:val="none"/>
              </w:rPr>
              <w:sym w:font="Wingdings" w:char="00A8"/>
            </w:r>
            <w:r>
              <w:rPr>
                <w:bCs/>
                <w:color w:val="auto"/>
                <w:sz w:val="24"/>
                <w:szCs w:val="28"/>
                <w:highlight w:val="none"/>
              </w:rPr>
              <w:t xml:space="preserve">支票 </w:t>
            </w:r>
            <w:r>
              <w:rPr>
                <w:rFonts w:hint="eastAsia"/>
                <w:bCs/>
                <w:color w:val="auto"/>
                <w:sz w:val="24"/>
                <w:szCs w:val="28"/>
                <w:highlight w:val="none"/>
              </w:rPr>
              <w:sym w:font="Wingdings" w:char="00A8"/>
            </w:r>
            <w:r>
              <w:rPr>
                <w:bCs/>
                <w:color w:val="auto"/>
                <w:sz w:val="24"/>
                <w:szCs w:val="28"/>
                <w:highlight w:val="none"/>
              </w:rPr>
              <w:t>汇票</w:t>
            </w:r>
            <w:r>
              <w:rPr>
                <w:rFonts w:hint="eastAsia"/>
                <w:bCs/>
                <w:color w:val="auto"/>
                <w:sz w:val="24"/>
                <w:szCs w:val="28"/>
                <w:highlight w:val="none"/>
              </w:rPr>
              <w:t xml:space="preserve"> </w:t>
            </w:r>
            <w:r>
              <w:rPr>
                <w:rFonts w:hint="eastAsia"/>
                <w:bCs/>
                <w:color w:val="auto"/>
                <w:sz w:val="24"/>
                <w:szCs w:val="28"/>
                <w:highlight w:val="none"/>
              </w:rPr>
              <w:sym w:font="Wingdings" w:char="00A8"/>
            </w:r>
            <w:r>
              <w:rPr>
                <w:rFonts w:hint="eastAsia"/>
                <w:bCs/>
                <w:color w:val="auto"/>
                <w:sz w:val="24"/>
                <w:szCs w:val="28"/>
                <w:highlight w:val="none"/>
              </w:rPr>
              <w:t xml:space="preserve">本票 </w:t>
            </w:r>
            <w:r>
              <w:rPr>
                <w:rFonts w:hint="eastAsia"/>
                <w:bCs/>
                <w:color w:val="auto"/>
                <w:sz w:val="24"/>
                <w:szCs w:val="28"/>
                <w:highlight w:val="none"/>
              </w:rPr>
              <w:sym w:font="Wingdings" w:char="00A8"/>
            </w:r>
            <w:r>
              <w:rPr>
                <w:bCs/>
                <w:color w:val="auto"/>
                <w:sz w:val="24"/>
                <w:szCs w:val="28"/>
                <w:highlight w:val="none"/>
              </w:rPr>
              <w:t>保</w:t>
            </w:r>
            <w:r>
              <w:rPr>
                <w:rFonts w:hint="eastAsia"/>
                <w:bCs/>
                <w:color w:val="auto"/>
                <w:sz w:val="24"/>
                <w:szCs w:val="28"/>
                <w:highlight w:val="none"/>
              </w:rPr>
              <w:t xml:space="preserve">险 </w:t>
            </w:r>
            <w:r>
              <w:rPr>
                <w:rFonts w:hint="eastAsia"/>
                <w:bCs/>
                <w:color w:val="auto"/>
                <w:sz w:val="24"/>
                <w:szCs w:val="28"/>
                <w:highlight w:val="none"/>
              </w:rPr>
              <w:sym w:font="Wingdings" w:char="00A8"/>
            </w:r>
            <w:r>
              <w:rPr>
                <w:rFonts w:hint="eastAsia"/>
                <w:bCs/>
                <w:color w:val="auto"/>
                <w:sz w:val="24"/>
                <w:szCs w:val="28"/>
                <w:highlight w:val="none"/>
              </w:rPr>
              <w:t>保</w:t>
            </w:r>
            <w:r>
              <w:rPr>
                <w:bCs/>
                <w:color w:val="auto"/>
                <w:sz w:val="24"/>
                <w:szCs w:val="28"/>
                <w:highlight w:val="none"/>
              </w:rPr>
              <w:t>函</w:t>
            </w:r>
          </w:p>
          <w:p w14:paraId="52E36F8A">
            <w:pPr>
              <w:numPr>
                <w:ilvl w:val="0"/>
                <w:numId w:val="0"/>
              </w:numPr>
              <w:spacing w:line="360" w:lineRule="auto"/>
              <w:rPr>
                <w:rFonts w:hint="eastAsia"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lang w:eastAsia="zh-CN"/>
              </w:rPr>
              <w:t>（</w:t>
            </w:r>
            <w:r>
              <w:rPr>
                <w:rFonts w:hint="eastAsia" w:ascii="宋体" w:hAnsi="宋体" w:eastAsia="宋体"/>
                <w:bCs/>
                <w:color w:val="auto"/>
                <w:kern w:val="0"/>
                <w:sz w:val="24"/>
                <w:szCs w:val="28"/>
                <w:highlight w:val="none"/>
                <w:lang w:val="en-US" w:eastAsia="zh-CN"/>
              </w:rPr>
              <w:t>3</w:t>
            </w:r>
            <w:r>
              <w:rPr>
                <w:rFonts w:hint="eastAsia" w:ascii="宋体" w:hAnsi="宋体" w:eastAsia="宋体"/>
                <w:bCs/>
                <w:color w:val="auto"/>
                <w:kern w:val="0"/>
                <w:sz w:val="24"/>
                <w:szCs w:val="28"/>
                <w:highlight w:val="none"/>
                <w:lang w:eastAsia="zh-CN"/>
              </w:rPr>
              <w:t>）</w:t>
            </w:r>
            <w:r>
              <w:rPr>
                <w:rFonts w:hint="eastAsia" w:ascii="宋体" w:hAnsi="宋体" w:eastAsia="宋体"/>
                <w:bCs/>
                <w:color w:val="auto"/>
                <w:kern w:val="0"/>
                <w:sz w:val="24"/>
                <w:szCs w:val="28"/>
                <w:highlight w:val="none"/>
              </w:rPr>
              <w:t>收取单位：</w:t>
            </w:r>
            <w:r>
              <w:rPr>
                <w:rFonts w:hint="eastAsia" w:ascii="宋体" w:hAnsi="宋体" w:eastAsia="宋体"/>
                <w:bCs/>
                <w:color w:val="auto"/>
                <w:kern w:val="0"/>
                <w:sz w:val="24"/>
                <w:szCs w:val="28"/>
                <w:highlight w:val="none"/>
                <w:u w:val="single"/>
              </w:rPr>
              <w:t xml:space="preserve">              </w:t>
            </w:r>
            <w:r>
              <w:rPr>
                <w:rFonts w:hint="eastAsia" w:ascii="宋体" w:hAnsi="宋体" w:eastAsia="宋体"/>
                <w:bCs/>
                <w:color w:val="auto"/>
                <w:kern w:val="0"/>
                <w:sz w:val="24"/>
                <w:szCs w:val="28"/>
                <w:highlight w:val="none"/>
              </w:rPr>
              <w:t xml:space="preserve">              </w:t>
            </w:r>
          </w:p>
          <w:p w14:paraId="411F616A">
            <w:pPr>
              <w:spacing w:line="360" w:lineRule="auto"/>
              <w:rPr>
                <w:rFonts w:hint="eastAsia"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lang w:val="en-US" w:eastAsia="zh-CN"/>
              </w:rPr>
              <w:t>（4）收取账号：</w:t>
            </w:r>
            <w:r>
              <w:rPr>
                <w:rFonts w:hint="eastAsia" w:ascii="宋体" w:hAnsi="宋体" w:eastAsia="宋体"/>
                <w:bCs/>
                <w:color w:val="auto"/>
                <w:kern w:val="0"/>
                <w:sz w:val="24"/>
                <w:szCs w:val="28"/>
                <w:highlight w:val="none"/>
                <w:u w:val="single"/>
              </w:rPr>
              <w:t xml:space="preserve">              </w:t>
            </w:r>
          </w:p>
          <w:p w14:paraId="78789F18">
            <w:pPr>
              <w:spacing w:line="360" w:lineRule="auto"/>
              <w:rPr>
                <w:rFonts w:ascii="宋体" w:hAnsi="宋体" w:eastAsia="宋体"/>
                <w:color w:val="auto"/>
                <w:sz w:val="24"/>
                <w:highlight w:val="none"/>
              </w:rPr>
            </w:pPr>
            <w:r>
              <w:rPr>
                <w:rFonts w:hint="eastAsia" w:ascii="宋体" w:hAnsi="宋体" w:eastAsia="宋体"/>
                <w:bCs/>
                <w:color w:val="auto"/>
                <w:kern w:val="0"/>
                <w:sz w:val="24"/>
                <w:szCs w:val="28"/>
                <w:highlight w:val="none"/>
              </w:rPr>
              <w:t>（</w:t>
            </w:r>
            <w:r>
              <w:rPr>
                <w:rFonts w:hint="eastAsia" w:ascii="宋体" w:hAnsi="宋体" w:eastAsia="宋体"/>
                <w:bCs/>
                <w:color w:val="auto"/>
                <w:kern w:val="0"/>
                <w:sz w:val="24"/>
                <w:szCs w:val="28"/>
                <w:highlight w:val="none"/>
                <w:lang w:val="en-US" w:eastAsia="zh-CN"/>
              </w:rPr>
              <w:t>5</w:t>
            </w:r>
            <w:r>
              <w:rPr>
                <w:rFonts w:hint="eastAsia" w:ascii="宋体" w:hAnsi="宋体" w:eastAsia="宋体"/>
                <w:bCs/>
                <w:color w:val="auto"/>
                <w:kern w:val="0"/>
                <w:sz w:val="24"/>
                <w:szCs w:val="28"/>
                <w:highlight w:val="none"/>
              </w:rPr>
              <w:t>）</w:t>
            </w:r>
            <w:r>
              <w:rPr>
                <w:rFonts w:hint="eastAsia" w:ascii="宋体" w:hAnsi="宋体" w:eastAsia="宋体"/>
                <w:color w:val="auto"/>
                <w:sz w:val="24"/>
                <w:highlight w:val="none"/>
              </w:rPr>
              <w:t>退还时间：</w:t>
            </w:r>
            <w:r>
              <w:rPr>
                <w:rFonts w:hint="eastAsia" w:ascii="宋体" w:hAnsi="宋体" w:eastAsia="宋体"/>
                <w:bCs/>
                <w:color w:val="auto"/>
                <w:kern w:val="0"/>
                <w:sz w:val="24"/>
                <w:szCs w:val="28"/>
                <w:highlight w:val="none"/>
                <w:u w:val="single"/>
              </w:rPr>
              <w:t xml:space="preserve">              </w:t>
            </w:r>
          </w:p>
          <w:p w14:paraId="12CE641A">
            <w:pPr>
              <w:spacing w:line="360" w:lineRule="auto"/>
              <w:rPr>
                <w:b/>
                <w:bCs/>
                <w:color w:val="auto"/>
                <w:sz w:val="24"/>
                <w:szCs w:val="24"/>
                <w:highlight w:val="none"/>
              </w:rPr>
            </w:pPr>
            <w:r>
              <w:rPr>
                <w:rFonts w:hint="eastAsia"/>
                <w:b/>
                <w:bCs/>
                <w:color w:val="auto"/>
                <w:sz w:val="24"/>
                <w:szCs w:val="24"/>
                <w:highlight w:val="none"/>
              </w:rPr>
              <w:t>注意事项：</w:t>
            </w:r>
          </w:p>
          <w:p w14:paraId="0B7BDBBF">
            <w:pPr>
              <w:spacing w:line="360" w:lineRule="auto"/>
              <w:rPr>
                <w:b/>
                <w:bCs/>
                <w:color w:val="auto"/>
                <w:sz w:val="24"/>
                <w:szCs w:val="24"/>
                <w:highlight w:val="none"/>
              </w:rPr>
            </w:pPr>
            <w:r>
              <w:rPr>
                <w:rFonts w:hint="eastAsia"/>
                <w:b/>
                <w:bCs/>
                <w:color w:val="auto"/>
                <w:sz w:val="24"/>
                <w:szCs w:val="24"/>
                <w:highlight w:val="none"/>
              </w:rPr>
              <w:t>（1）以上各类机构出具的以担保函、保证保险承担责任的方式均须满足无条件见索即付条件。</w:t>
            </w:r>
          </w:p>
          <w:p w14:paraId="3F6E87D9">
            <w:pPr>
              <w:pStyle w:val="73"/>
              <w:widowControl w:val="0"/>
              <w:spacing w:before="0" w:beforeAutospacing="0" w:after="0" w:afterAutospacing="0" w:line="360" w:lineRule="auto"/>
              <w:jc w:val="both"/>
              <w:rPr>
                <w:color w:val="auto"/>
                <w:sz w:val="24"/>
                <w:highlight w:val="none"/>
              </w:rPr>
            </w:pPr>
            <w:r>
              <w:rPr>
                <w:rFonts w:hint="eastAsia"/>
                <w:bCs w:val="0"/>
                <w:color w:val="auto"/>
                <w:sz w:val="24"/>
                <w:szCs w:val="24"/>
                <w:highlight w:val="none"/>
              </w:rPr>
              <w:t>（2）以担保函、保证保险形式缴纳履约保证金的，受益人和收取单位须为采购人。</w:t>
            </w:r>
          </w:p>
        </w:tc>
      </w:tr>
      <w:tr w14:paraId="1339D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3D97E070">
            <w:pPr>
              <w:pStyle w:val="74"/>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26.1</w:t>
            </w:r>
          </w:p>
        </w:tc>
        <w:tc>
          <w:tcPr>
            <w:tcW w:w="977" w:type="pct"/>
            <w:vAlign w:val="center"/>
          </w:tcPr>
          <w:p w14:paraId="0E29C639">
            <w:pPr>
              <w:pStyle w:val="73"/>
              <w:widowControl w:val="0"/>
              <w:spacing w:before="0" w:beforeAutospacing="0" w:after="0" w:afterAutospacing="0" w:line="360" w:lineRule="auto"/>
              <w:jc w:val="both"/>
              <w:rPr>
                <w:b w:val="0"/>
                <w:color w:val="auto"/>
                <w:sz w:val="24"/>
                <w:highlight w:val="none"/>
              </w:rPr>
            </w:pPr>
            <w:r>
              <w:rPr>
                <w:rFonts w:hint="eastAsia" w:ascii="宋体" w:hAnsi="宋体" w:eastAsia="宋体"/>
                <w:b w:val="0"/>
                <w:color w:val="auto"/>
                <w:sz w:val="24"/>
                <w:highlight w:val="none"/>
                <w:lang w:val="en-US" w:eastAsia="zh-CN"/>
              </w:rPr>
              <w:t>代理费用</w:t>
            </w:r>
          </w:p>
        </w:tc>
        <w:tc>
          <w:tcPr>
            <w:tcW w:w="3556" w:type="pct"/>
            <w:vAlign w:val="center"/>
          </w:tcPr>
          <w:p w14:paraId="2B486D9F">
            <w:pPr>
              <w:pStyle w:val="73"/>
              <w:widowControl w:val="0"/>
              <w:spacing w:before="0" w:beforeAutospacing="0" w:after="0" w:afterAutospacing="0" w:line="360" w:lineRule="auto"/>
              <w:jc w:val="both"/>
              <w:rPr>
                <w:rFonts w:hint="eastAsia" w:ascii="宋体" w:hAnsi="宋体" w:eastAsia="宋体"/>
                <w:b w:val="0"/>
                <w:color w:val="auto"/>
                <w:sz w:val="24"/>
                <w:highlight w:val="none"/>
                <w:lang w:val="en-US" w:eastAsia="zh-CN"/>
              </w:rPr>
            </w:pPr>
            <w:r>
              <w:rPr>
                <w:rFonts w:hint="eastAsia" w:ascii="宋体" w:hAnsi="宋体" w:eastAsia="宋体"/>
                <w:b w:val="0"/>
                <w:color w:val="auto"/>
                <w:sz w:val="24"/>
                <w:highlight w:val="none"/>
                <w:lang w:val="en-US" w:eastAsia="zh-CN"/>
              </w:rPr>
              <w:t xml:space="preserve">本项目的下列费用由中标人（成交人）支付。 </w:t>
            </w:r>
          </w:p>
          <w:p w14:paraId="4B9B9ED6">
            <w:pPr>
              <w:pStyle w:val="73"/>
              <w:widowControl w:val="0"/>
              <w:spacing w:before="0" w:beforeAutospacing="0" w:after="0" w:afterAutospacing="0" w:line="360" w:lineRule="auto"/>
              <w:jc w:val="both"/>
              <w:rPr>
                <w:rFonts w:hint="eastAsia" w:ascii="宋体" w:hAnsi="宋体" w:eastAsia="宋体"/>
                <w:b w:val="0"/>
                <w:color w:val="auto"/>
                <w:sz w:val="24"/>
                <w:highlight w:val="none"/>
                <w:lang w:val="en-US" w:eastAsia="zh-CN"/>
              </w:rPr>
            </w:pPr>
            <w:r>
              <w:rPr>
                <w:rFonts w:hint="eastAsia" w:ascii="宋体" w:hAnsi="宋体" w:eastAsia="宋体"/>
                <w:b w:val="0"/>
                <w:color w:val="auto"/>
                <w:sz w:val="24"/>
                <w:highlight w:val="none"/>
                <w:lang w:val="en-US" w:eastAsia="zh-CN"/>
              </w:rPr>
              <w:t>1、中标（成交）服务费：</w:t>
            </w:r>
            <w:r>
              <w:rPr>
                <w:rFonts w:hint="eastAsia"/>
                <w:b w:val="0"/>
                <w:color w:val="auto"/>
                <w:sz w:val="24"/>
                <w:highlight w:val="none"/>
                <w:lang w:val="en-US" w:eastAsia="zh-CN"/>
              </w:rPr>
              <w:t>3000</w:t>
            </w:r>
            <w:r>
              <w:rPr>
                <w:rFonts w:hint="eastAsia" w:ascii="宋体" w:hAnsi="宋体" w:eastAsia="宋体"/>
                <w:b w:val="0"/>
                <w:color w:val="auto"/>
                <w:sz w:val="24"/>
                <w:highlight w:val="none"/>
                <w:lang w:val="en-US" w:eastAsia="zh-CN"/>
              </w:rPr>
              <w:t xml:space="preserve">元。 </w:t>
            </w:r>
          </w:p>
          <w:p w14:paraId="11EA5664">
            <w:pPr>
              <w:pStyle w:val="73"/>
              <w:widowControl w:val="0"/>
              <w:spacing w:before="0" w:beforeAutospacing="0" w:after="0" w:afterAutospacing="0" w:line="360" w:lineRule="auto"/>
              <w:jc w:val="both"/>
              <w:rPr>
                <w:rFonts w:hint="eastAsia" w:ascii="宋体" w:hAnsi="宋体" w:eastAsia="宋体"/>
                <w:b w:val="0"/>
                <w:color w:val="auto"/>
                <w:sz w:val="24"/>
                <w:highlight w:val="none"/>
                <w:lang w:val="en-US" w:eastAsia="zh-CN"/>
              </w:rPr>
            </w:pPr>
            <w:r>
              <w:rPr>
                <w:rFonts w:hint="eastAsia" w:ascii="宋体" w:hAnsi="宋体" w:eastAsia="宋体"/>
                <w:b w:val="0"/>
                <w:color w:val="auto"/>
                <w:sz w:val="24"/>
                <w:highlight w:val="none"/>
                <w:lang w:val="en-US" w:eastAsia="zh-CN"/>
              </w:rPr>
              <w:t>（大写：</w:t>
            </w:r>
            <w:r>
              <w:rPr>
                <w:rFonts w:hint="eastAsia"/>
                <w:b w:val="0"/>
                <w:color w:val="auto"/>
                <w:sz w:val="24"/>
                <w:highlight w:val="none"/>
                <w:lang w:val="en-US" w:eastAsia="zh-CN"/>
              </w:rPr>
              <w:t>叁仟</w:t>
            </w:r>
            <w:r>
              <w:rPr>
                <w:rFonts w:hint="eastAsia" w:ascii="宋体" w:hAnsi="宋体" w:eastAsia="宋体"/>
                <w:b w:val="0"/>
                <w:color w:val="auto"/>
                <w:sz w:val="24"/>
                <w:highlight w:val="none"/>
                <w:lang w:val="en-US" w:eastAsia="zh-CN"/>
              </w:rPr>
              <w:t xml:space="preserve">元整） </w:t>
            </w:r>
          </w:p>
          <w:p w14:paraId="620A3D16">
            <w:pPr>
              <w:pStyle w:val="73"/>
              <w:widowControl w:val="0"/>
              <w:spacing w:before="0" w:beforeAutospacing="0" w:after="0" w:afterAutospacing="0" w:line="360" w:lineRule="auto"/>
              <w:jc w:val="both"/>
              <w:rPr>
                <w:rFonts w:hint="eastAsia" w:ascii="宋体" w:hAnsi="宋体" w:eastAsia="宋体"/>
                <w:b w:val="0"/>
                <w:color w:val="auto"/>
                <w:sz w:val="24"/>
                <w:highlight w:val="none"/>
                <w:lang w:val="en-US" w:eastAsia="zh-CN"/>
              </w:rPr>
            </w:pPr>
            <w:r>
              <w:rPr>
                <w:rFonts w:hint="default" w:ascii="宋体" w:hAnsi="宋体" w:eastAsia="宋体"/>
                <w:b w:val="0"/>
                <w:color w:val="auto"/>
                <w:sz w:val="24"/>
                <w:highlight w:val="none"/>
                <w:lang w:val="en-US" w:eastAsia="zh-CN"/>
              </w:rPr>
              <w:t>2</w:t>
            </w:r>
            <w:r>
              <w:rPr>
                <w:rFonts w:hint="eastAsia" w:ascii="宋体" w:hAnsi="宋体" w:eastAsia="宋体"/>
                <w:b w:val="0"/>
                <w:color w:val="auto"/>
                <w:sz w:val="24"/>
                <w:highlight w:val="none"/>
                <w:lang w:val="en-US" w:eastAsia="zh-CN"/>
              </w:rPr>
              <w:t>、工程量清单及最高投标限价编制费：</w:t>
            </w:r>
            <w:r>
              <w:rPr>
                <w:rFonts w:hint="eastAsia"/>
                <w:b w:val="0"/>
                <w:color w:val="auto"/>
                <w:sz w:val="24"/>
                <w:highlight w:val="none"/>
                <w:lang w:val="en-US" w:eastAsia="zh-CN"/>
              </w:rPr>
              <w:t>1400</w:t>
            </w:r>
            <w:r>
              <w:rPr>
                <w:rFonts w:hint="eastAsia" w:ascii="宋体" w:hAnsi="宋体" w:eastAsia="宋体"/>
                <w:b w:val="0"/>
                <w:color w:val="auto"/>
                <w:sz w:val="24"/>
                <w:highlight w:val="none"/>
                <w:lang w:val="en-US" w:eastAsia="zh-CN"/>
              </w:rPr>
              <w:t xml:space="preserve">元 。 </w:t>
            </w:r>
          </w:p>
          <w:p w14:paraId="2167CD4A">
            <w:pPr>
              <w:pStyle w:val="73"/>
              <w:widowControl w:val="0"/>
              <w:spacing w:before="0" w:beforeAutospacing="0" w:after="0" w:afterAutospacing="0" w:line="360" w:lineRule="auto"/>
              <w:jc w:val="both"/>
              <w:rPr>
                <w:bCs/>
                <w:color w:val="auto"/>
                <w:sz w:val="24"/>
                <w:szCs w:val="28"/>
                <w:highlight w:val="none"/>
              </w:rPr>
            </w:pPr>
            <w:r>
              <w:rPr>
                <w:rFonts w:hint="eastAsia" w:ascii="宋体" w:hAnsi="宋体" w:eastAsia="宋体"/>
                <w:b w:val="0"/>
                <w:color w:val="auto"/>
                <w:sz w:val="24"/>
                <w:highlight w:val="none"/>
                <w:lang w:val="en-US" w:eastAsia="zh-CN"/>
              </w:rPr>
              <w:t>（大写：</w:t>
            </w:r>
            <w:r>
              <w:rPr>
                <w:rFonts w:hint="eastAsia"/>
                <w:b w:val="0"/>
                <w:color w:val="auto"/>
                <w:sz w:val="24"/>
                <w:highlight w:val="none"/>
                <w:lang w:val="en-US" w:eastAsia="zh-CN"/>
              </w:rPr>
              <w:t>壹仟肆佰</w:t>
            </w:r>
            <w:r>
              <w:rPr>
                <w:rFonts w:hint="eastAsia" w:ascii="宋体" w:hAnsi="宋体" w:eastAsia="宋体"/>
                <w:b w:val="0"/>
                <w:color w:val="auto"/>
                <w:sz w:val="24"/>
                <w:highlight w:val="none"/>
                <w:lang w:val="en-US" w:eastAsia="zh-CN"/>
              </w:rPr>
              <w:t xml:space="preserve">元整）。 </w:t>
            </w:r>
          </w:p>
        </w:tc>
      </w:tr>
      <w:tr w14:paraId="1052A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4926063E">
            <w:pPr>
              <w:pStyle w:val="74"/>
              <w:pBdr>
                <w:bottom w:val="none" w:color="auto" w:sz="0" w:space="0"/>
              </w:pBdr>
              <w:tabs>
                <w:tab w:val="clear" w:pos="4153"/>
                <w:tab w:val="clear" w:pos="8306"/>
              </w:tabs>
              <w:adjustRightInd/>
              <w:spacing w:line="360" w:lineRule="auto"/>
              <w:textAlignment w:val="auto"/>
              <w:rPr>
                <w:rFonts w:hint="eastAsia" w:ascii="宋体" w:hAnsi="宋体" w:eastAsia="宋体" w:cs="@仿宋_GB2312"/>
                <w:bCs/>
                <w:color w:val="auto"/>
                <w:kern w:val="2"/>
                <w:sz w:val="24"/>
                <w:szCs w:val="20"/>
                <w:highlight w:val="none"/>
                <w:lang w:val="en-US" w:eastAsia="zh-CN" w:bidi="ar-SA"/>
              </w:rPr>
            </w:pPr>
            <w:r>
              <w:rPr>
                <w:rFonts w:hint="eastAsia"/>
                <w:bCs/>
                <w:color w:val="auto"/>
                <w:kern w:val="2"/>
                <w:highlight w:val="none"/>
                <w:lang w:val="en-US" w:eastAsia="zh-CN"/>
              </w:rPr>
              <w:t>27.1</w:t>
            </w:r>
          </w:p>
        </w:tc>
        <w:tc>
          <w:tcPr>
            <w:tcW w:w="977" w:type="pct"/>
            <w:vAlign w:val="center"/>
          </w:tcPr>
          <w:p w14:paraId="7F003149">
            <w:pPr>
              <w:pStyle w:val="73"/>
              <w:widowControl w:val="0"/>
              <w:spacing w:before="0" w:beforeAutospacing="0" w:after="0" w:afterAutospacing="0" w:line="360" w:lineRule="auto"/>
              <w:jc w:val="both"/>
              <w:rPr>
                <w:rFonts w:hint="eastAsia" w:ascii="宋体" w:hAnsi="宋体" w:eastAsia="宋体" w:cs="@仿宋_GB2312"/>
                <w:b w:val="0"/>
                <w:bCs/>
                <w:color w:val="auto"/>
                <w:kern w:val="0"/>
                <w:sz w:val="24"/>
                <w:szCs w:val="28"/>
                <w:highlight w:val="none"/>
                <w:lang w:val="en-US" w:eastAsia="zh-CN" w:bidi="ar-SA"/>
              </w:rPr>
            </w:pPr>
            <w:r>
              <w:rPr>
                <w:rFonts w:hint="eastAsia" w:ascii="宋体" w:hAnsi="宋体" w:eastAsia="宋体"/>
                <w:b w:val="0"/>
                <w:color w:val="auto"/>
                <w:sz w:val="24"/>
                <w:highlight w:val="none"/>
                <w:lang w:val="en-US" w:eastAsia="zh-CN"/>
              </w:rPr>
              <w:t>签订合同时间</w:t>
            </w:r>
          </w:p>
        </w:tc>
        <w:tc>
          <w:tcPr>
            <w:tcW w:w="3556" w:type="pct"/>
            <w:vAlign w:val="center"/>
          </w:tcPr>
          <w:p w14:paraId="0F288D0B">
            <w:pPr>
              <w:pStyle w:val="5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仿宋_GB2312"/>
                <w:b w:val="0"/>
                <w:bCs/>
                <w:color w:val="auto"/>
                <w:kern w:val="0"/>
                <w:sz w:val="24"/>
                <w:szCs w:val="28"/>
                <w:highlight w:val="none"/>
                <w:lang w:val="en-US" w:eastAsia="zh-CN" w:bidi="ar-SA"/>
              </w:rPr>
            </w:pPr>
            <w:r>
              <w:rPr>
                <w:rFonts w:hint="eastAsia" w:ascii="宋体" w:hAnsi="宋体" w:eastAsia="宋体" w:cs="宋体"/>
                <w:b w:val="0"/>
                <w:bCs w:val="0"/>
                <w:color w:val="auto"/>
                <w:sz w:val="24"/>
                <w:szCs w:val="24"/>
                <w:highlight w:val="none"/>
                <w:lang w:val="en-US" w:eastAsia="zh-CN"/>
              </w:rPr>
              <w:t>（1）采购人与成交供应商应当自发出</w:t>
            </w:r>
            <w:r>
              <w:rPr>
                <w:rFonts w:hint="eastAsia" w:cs="宋体"/>
                <w:b w:val="0"/>
                <w:bCs w:val="0"/>
                <w:color w:val="auto"/>
                <w:sz w:val="24"/>
                <w:szCs w:val="24"/>
                <w:highlight w:val="none"/>
                <w:lang w:val="en-US" w:eastAsia="zh-CN"/>
              </w:rPr>
              <w:t>成交</w:t>
            </w:r>
            <w:r>
              <w:rPr>
                <w:rFonts w:hint="eastAsia" w:ascii="宋体" w:hAnsi="宋体" w:eastAsia="宋体" w:cs="宋体"/>
                <w:b w:val="0"/>
                <w:bCs w:val="0"/>
                <w:color w:val="auto"/>
                <w:sz w:val="24"/>
                <w:szCs w:val="24"/>
                <w:highlight w:val="none"/>
                <w:lang w:val="en-US" w:eastAsia="zh-CN"/>
              </w:rPr>
              <w:t>通知书之日起7个工作日内签订合同。</w:t>
            </w:r>
          </w:p>
        </w:tc>
      </w:tr>
      <w:tr w14:paraId="41ACB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20A2C35F">
            <w:pPr>
              <w:pStyle w:val="74"/>
              <w:pBdr>
                <w:bottom w:val="none" w:color="auto" w:sz="0" w:space="0"/>
              </w:pBdr>
              <w:tabs>
                <w:tab w:val="clear" w:pos="4153"/>
                <w:tab w:val="clear" w:pos="8306"/>
              </w:tabs>
              <w:adjustRightInd/>
              <w:spacing w:line="360" w:lineRule="auto"/>
              <w:textAlignment w:val="auto"/>
              <w:rPr>
                <w:rFonts w:hint="default" w:eastAsia="宋体"/>
                <w:bCs/>
                <w:color w:val="auto"/>
                <w:kern w:val="2"/>
                <w:highlight w:val="none"/>
                <w:lang w:val="en-US" w:eastAsia="zh-CN"/>
              </w:rPr>
            </w:pPr>
            <w:r>
              <w:rPr>
                <w:rFonts w:hint="eastAsia"/>
                <w:bCs/>
                <w:color w:val="auto"/>
                <w:kern w:val="2"/>
                <w:highlight w:val="none"/>
                <w:lang w:val="en-US" w:eastAsia="zh-CN"/>
              </w:rPr>
              <w:t>29.3</w:t>
            </w:r>
          </w:p>
        </w:tc>
        <w:tc>
          <w:tcPr>
            <w:tcW w:w="977" w:type="pct"/>
            <w:vAlign w:val="center"/>
          </w:tcPr>
          <w:p w14:paraId="716C3AD5">
            <w:pPr>
              <w:pStyle w:val="73"/>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质疑函递交方式、接收部门、联系电话和通讯地址</w:t>
            </w:r>
          </w:p>
        </w:tc>
        <w:tc>
          <w:tcPr>
            <w:tcW w:w="3556" w:type="pct"/>
            <w:vAlign w:val="center"/>
          </w:tcPr>
          <w:p w14:paraId="5017AD85">
            <w:pPr>
              <w:pStyle w:val="73"/>
              <w:widowControl w:val="0"/>
              <w:spacing w:before="0" w:beforeAutospacing="0" w:after="0" w:afterAutospacing="0" w:line="360" w:lineRule="auto"/>
              <w:jc w:val="both"/>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（1）书面提出</w:t>
            </w:r>
          </w:p>
          <w:p w14:paraId="14A35C12">
            <w:pPr>
              <w:pStyle w:val="73"/>
              <w:widowControl w:val="0"/>
              <w:spacing w:before="0" w:beforeAutospacing="0" w:after="0" w:afterAutospacing="0" w:line="360" w:lineRule="auto"/>
              <w:jc w:val="both"/>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接收部门：</w:t>
            </w:r>
            <w:r>
              <w:rPr>
                <w:rFonts w:hint="default" w:ascii="宋体" w:hAnsi="宋体" w:eastAsia="宋体" w:cs="宋体"/>
                <w:b w:val="0"/>
                <w:bCs w:val="0"/>
                <w:color w:val="auto"/>
                <w:sz w:val="24"/>
                <w:szCs w:val="24"/>
                <w:highlight w:val="none"/>
                <w:lang w:val="en-US" w:eastAsia="zh-CN"/>
              </w:rPr>
              <w:t>安徽宛鸣工程管理有限公司</w:t>
            </w:r>
          </w:p>
          <w:p w14:paraId="3BBF48D1">
            <w:pPr>
              <w:pStyle w:val="73"/>
              <w:widowControl w:val="0"/>
              <w:spacing w:before="0" w:beforeAutospacing="0" w:after="0" w:afterAutospacing="0" w:line="360" w:lineRule="auto"/>
              <w:jc w:val="both"/>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联系电话：</w:t>
            </w:r>
            <w:r>
              <w:rPr>
                <w:rFonts w:hint="default" w:ascii="宋体" w:hAnsi="宋体" w:eastAsia="宋体" w:cs="宋体"/>
                <w:b w:val="0"/>
                <w:bCs w:val="0"/>
                <w:color w:val="auto"/>
                <w:sz w:val="24"/>
                <w:szCs w:val="24"/>
                <w:highlight w:val="none"/>
                <w:lang w:val="en-US" w:eastAsia="zh-CN"/>
              </w:rPr>
              <w:t>18110507678</w:t>
            </w:r>
          </w:p>
          <w:p w14:paraId="1E112058">
            <w:pPr>
              <w:pStyle w:val="73"/>
              <w:widowControl w:val="0"/>
              <w:spacing w:before="0" w:beforeAutospacing="0" w:after="0" w:afterAutospacing="0" w:line="360" w:lineRule="auto"/>
              <w:jc w:val="both"/>
              <w:rPr>
                <w:rFonts w:hint="default"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电子邮箱：</w:t>
            </w:r>
            <w:r>
              <w:rPr>
                <w:rFonts w:hint="default" w:ascii="宋体" w:hAnsi="宋体" w:eastAsia="宋体" w:cs="宋体"/>
                <w:b w:val="0"/>
                <w:bCs w:val="0"/>
                <w:color w:val="auto"/>
                <w:sz w:val="24"/>
                <w:szCs w:val="24"/>
                <w:highlight w:val="none"/>
                <w:lang w:val="en-US" w:eastAsia="zh-CN"/>
              </w:rPr>
              <w:t>804355545@qq.com</w:t>
            </w:r>
          </w:p>
          <w:p w14:paraId="5C757214">
            <w:pPr>
              <w:pStyle w:val="73"/>
              <w:widowControl w:val="0"/>
              <w:spacing w:before="0" w:beforeAutospacing="0" w:after="0" w:afterAutospacing="0" w:line="360" w:lineRule="auto"/>
              <w:jc w:val="both"/>
              <w:rPr>
                <w:b w:val="0"/>
                <w:color w:val="auto"/>
                <w:sz w:val="24"/>
                <w:highlight w:val="none"/>
              </w:rPr>
            </w:pPr>
            <w:r>
              <w:rPr>
                <w:rFonts w:hint="eastAsia" w:ascii="宋体" w:hAnsi="宋体" w:eastAsia="宋体" w:cs="宋体"/>
                <w:b w:val="0"/>
                <w:bCs w:val="0"/>
                <w:color w:val="auto"/>
                <w:sz w:val="24"/>
                <w:szCs w:val="24"/>
                <w:highlight w:val="none"/>
                <w:lang w:val="zh-CN" w:eastAsia="zh-CN"/>
              </w:rPr>
              <w:t>通讯地址：</w:t>
            </w:r>
            <w:r>
              <w:rPr>
                <w:rFonts w:hint="eastAsia" w:cs="宋体"/>
                <w:b w:val="0"/>
                <w:bCs w:val="0"/>
                <w:color w:val="auto"/>
                <w:sz w:val="24"/>
                <w:szCs w:val="24"/>
                <w:highlight w:val="none"/>
                <w:lang w:val="en-US" w:eastAsia="zh-CN"/>
              </w:rPr>
              <w:t>界首市东城街道胜利路西路107号</w:t>
            </w:r>
          </w:p>
        </w:tc>
      </w:tr>
      <w:tr w14:paraId="4B73A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36189316">
            <w:pPr>
              <w:pStyle w:val="74"/>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rFonts w:hint="eastAsia"/>
                <w:bCs/>
                <w:color w:val="auto"/>
                <w:kern w:val="2"/>
                <w:highlight w:val="none"/>
              </w:rPr>
              <w:t>3</w:t>
            </w:r>
            <w:r>
              <w:rPr>
                <w:rFonts w:hint="eastAsia"/>
                <w:bCs/>
                <w:color w:val="auto"/>
                <w:kern w:val="2"/>
                <w:highlight w:val="none"/>
                <w:lang w:val="en-US" w:eastAsia="zh-CN"/>
              </w:rPr>
              <w:t>0</w:t>
            </w:r>
          </w:p>
        </w:tc>
        <w:tc>
          <w:tcPr>
            <w:tcW w:w="977" w:type="pct"/>
            <w:vAlign w:val="center"/>
          </w:tcPr>
          <w:p w14:paraId="71AD9BF3">
            <w:pPr>
              <w:pStyle w:val="73"/>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其他内容</w:t>
            </w:r>
          </w:p>
        </w:tc>
        <w:tc>
          <w:tcPr>
            <w:tcW w:w="3556" w:type="pct"/>
            <w:vAlign w:val="center"/>
          </w:tcPr>
          <w:p w14:paraId="073B4AFE">
            <w:pPr>
              <w:pStyle w:val="73"/>
              <w:widowControl w:val="0"/>
              <w:spacing w:before="0" w:beforeAutospacing="0" w:after="0" w:afterAutospacing="0" w:line="360" w:lineRule="auto"/>
              <w:jc w:val="both"/>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☑固定总价合同</w:t>
            </w:r>
          </w:p>
          <w:p w14:paraId="762E2974">
            <w:pPr>
              <w:pStyle w:val="73"/>
              <w:widowControl w:val="0"/>
              <w:spacing w:before="0" w:beforeAutospacing="0" w:after="0" w:afterAutospacing="0" w:line="360" w:lineRule="auto"/>
              <w:jc w:val="both"/>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供应商投标时采用固定总价报价方式，供应商不再对清单进行分项报价。报价浮动率 =【报价-（暂估价、暂列金额）】/【最高投标限价-（暂估价、暂列金额）】*100%（保留两位小数，小数点后第三位四舍五入）。 </w:t>
            </w:r>
          </w:p>
          <w:p w14:paraId="46BB64DA">
            <w:pPr>
              <w:pStyle w:val="73"/>
              <w:widowControl w:val="0"/>
              <w:spacing w:before="0" w:beforeAutospacing="0" w:after="0" w:afterAutospacing="0" w:line="360" w:lineRule="auto"/>
              <w:jc w:val="both"/>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工程量清单及最高投标限价的确认：采购人编制的工程量清单及最高投标限价作为本次报价的基础依据，供应商应在投标答疑截止时间前根据施工图对采购人提供的工程量清单及最高投标限价组价进行核算并提出异议，分项工程量误差在正负3%之内的不予调整。若供应商在规定的期限内提出异议，并提供相应的工程量计算书，以便采购人及时核对，并以采购人重新确定的工程量清单作为报价依据，响应文件解密后工程量清单及最高投标限价组价一律不予调整（设计变更、经济签证、工程联系单等除外）。 </w:t>
            </w:r>
          </w:p>
          <w:p w14:paraId="240AAF49">
            <w:pPr>
              <w:pStyle w:val="73"/>
              <w:widowControl w:val="0"/>
              <w:spacing w:before="0" w:beforeAutospacing="0" w:after="0" w:afterAutospacing="0" w:line="360" w:lineRule="auto"/>
              <w:jc w:val="both"/>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技术规范要求的费用应包括在报价中。在设计图中如无图示或未表达明确的，且各投标单位没在规定期限内提出异议，决算时不得调整造价，视为该项费用已包括在投标总价内。</w:t>
            </w:r>
          </w:p>
          <w:p w14:paraId="5E08D423">
            <w:pPr>
              <w:pStyle w:val="73"/>
              <w:widowControl w:val="0"/>
              <w:spacing w:before="0" w:beforeAutospacing="0" w:after="0" w:afterAutospacing="0" w:line="360" w:lineRule="auto"/>
              <w:jc w:val="both"/>
              <w:rPr>
                <w:b w:val="0"/>
                <w:color w:val="auto"/>
                <w:sz w:val="24"/>
                <w:highlight w:val="none"/>
              </w:rPr>
            </w:pPr>
            <w:r>
              <w:rPr>
                <w:rFonts w:hint="eastAsia" w:ascii="宋体" w:hAnsi="宋体" w:eastAsia="宋体" w:cs="宋体"/>
                <w:b w:val="0"/>
                <w:bCs w:val="0"/>
                <w:color w:val="auto"/>
                <w:sz w:val="24"/>
                <w:szCs w:val="24"/>
                <w:highlight w:val="none"/>
                <w:lang w:val="en-US" w:eastAsia="zh-CN"/>
              </w:rPr>
              <w:t>后期结算过程中利用采购人发布的工程量清单及分项组价作为结算依据。为规范工程结算管理， 发布竞争性谈判文件时， 最高投标限价、工程量清单及工程项目最高投标限价汇总表、单项工程组价汇总表、单位工程组价汇总表、分部分项工程量清单计价表、措施项目清单计价表、其他项目清单计价汇总表、规费、税金项目清单计价表、主要材料价格表等一同发布，以利于后期作为结算的依据。</w:t>
            </w:r>
          </w:p>
        </w:tc>
      </w:tr>
      <w:tr w14:paraId="28D7C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6D2926C9">
            <w:pPr>
              <w:pStyle w:val="74"/>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rPr>
              <w:t>1</w:t>
            </w:r>
          </w:p>
        </w:tc>
        <w:tc>
          <w:tcPr>
            <w:tcW w:w="977" w:type="pct"/>
            <w:vAlign w:val="center"/>
          </w:tcPr>
          <w:p w14:paraId="54FC08F7">
            <w:pPr>
              <w:pStyle w:val="73"/>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承包方式</w:t>
            </w:r>
          </w:p>
        </w:tc>
        <w:tc>
          <w:tcPr>
            <w:tcW w:w="3556" w:type="pct"/>
            <w:vAlign w:val="center"/>
          </w:tcPr>
          <w:p w14:paraId="49B375EB">
            <w:pPr>
              <w:pStyle w:val="73"/>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lang w:eastAsia="zh-CN"/>
              </w:rPr>
              <w:t>☑</w:t>
            </w:r>
            <w:r>
              <w:rPr>
                <w:rFonts w:hint="eastAsia"/>
                <w:b w:val="0"/>
                <w:color w:val="auto"/>
                <w:sz w:val="24"/>
                <w:highlight w:val="none"/>
              </w:rPr>
              <w:t>施工总承包  □专业承包</w:t>
            </w:r>
          </w:p>
        </w:tc>
      </w:tr>
      <w:tr w14:paraId="55929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5AD230E8">
            <w:pPr>
              <w:pStyle w:val="74"/>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rPr>
              <w:t>3</w:t>
            </w:r>
          </w:p>
        </w:tc>
        <w:tc>
          <w:tcPr>
            <w:tcW w:w="977" w:type="pct"/>
            <w:vAlign w:val="center"/>
          </w:tcPr>
          <w:p w14:paraId="396F6C51">
            <w:pPr>
              <w:pStyle w:val="73"/>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计划</w:t>
            </w:r>
            <w:r>
              <w:rPr>
                <w:b w:val="0"/>
                <w:color w:val="auto"/>
                <w:sz w:val="24"/>
                <w:highlight w:val="none"/>
              </w:rPr>
              <w:t>工期</w:t>
            </w:r>
          </w:p>
        </w:tc>
        <w:tc>
          <w:tcPr>
            <w:tcW w:w="3556" w:type="pct"/>
            <w:vAlign w:val="center"/>
          </w:tcPr>
          <w:p w14:paraId="0840F6DB">
            <w:pPr>
              <w:pStyle w:val="73"/>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计划</w:t>
            </w:r>
            <w:r>
              <w:rPr>
                <w:b w:val="0"/>
                <w:color w:val="auto"/>
                <w:sz w:val="24"/>
                <w:highlight w:val="none"/>
              </w:rPr>
              <w:t>工期：</w:t>
            </w:r>
            <w:r>
              <w:rPr>
                <w:rFonts w:hint="eastAsia"/>
                <w:b w:val="0"/>
                <w:color w:val="auto"/>
                <w:sz w:val="24"/>
                <w:highlight w:val="none"/>
                <w:u w:val="single"/>
                <w:lang w:val="en-US" w:eastAsia="zh-CN"/>
              </w:rPr>
              <w:t>30</w:t>
            </w:r>
            <w:r>
              <w:rPr>
                <w:b w:val="0"/>
                <w:color w:val="auto"/>
                <w:sz w:val="24"/>
                <w:highlight w:val="none"/>
              </w:rPr>
              <w:t>日历天</w:t>
            </w:r>
          </w:p>
          <w:p w14:paraId="62946F6F">
            <w:pPr>
              <w:pStyle w:val="73"/>
              <w:widowControl w:val="0"/>
              <w:spacing w:before="0" w:beforeAutospacing="0" w:after="0" w:afterAutospacing="0" w:line="360" w:lineRule="auto"/>
              <w:jc w:val="both"/>
              <w:rPr>
                <w:b w:val="0"/>
                <w:color w:val="auto"/>
                <w:sz w:val="24"/>
                <w:highlight w:val="none"/>
              </w:rPr>
            </w:pPr>
            <w:r>
              <w:rPr>
                <w:b w:val="0"/>
                <w:color w:val="auto"/>
                <w:sz w:val="24"/>
                <w:highlight w:val="none"/>
              </w:rPr>
              <w:t>计划开工日期：</w:t>
            </w:r>
            <w:r>
              <w:rPr>
                <w:b w:val="0"/>
                <w:color w:val="auto"/>
                <w:sz w:val="24"/>
                <w:highlight w:val="none"/>
                <w:u w:val="single"/>
              </w:rPr>
              <w:t xml:space="preserve">    </w:t>
            </w:r>
            <w:r>
              <w:rPr>
                <w:b w:val="0"/>
                <w:color w:val="auto"/>
                <w:sz w:val="24"/>
                <w:highlight w:val="none"/>
              </w:rPr>
              <w:t>年</w:t>
            </w:r>
            <w:r>
              <w:rPr>
                <w:b w:val="0"/>
                <w:color w:val="auto"/>
                <w:sz w:val="24"/>
                <w:highlight w:val="none"/>
                <w:u w:val="single"/>
              </w:rPr>
              <w:t xml:space="preserve">  </w:t>
            </w:r>
            <w:r>
              <w:rPr>
                <w:b w:val="0"/>
                <w:color w:val="auto"/>
                <w:sz w:val="24"/>
                <w:highlight w:val="none"/>
              </w:rPr>
              <w:t>月</w:t>
            </w:r>
            <w:r>
              <w:rPr>
                <w:b w:val="0"/>
                <w:color w:val="auto"/>
                <w:sz w:val="24"/>
                <w:highlight w:val="none"/>
                <w:u w:val="single"/>
              </w:rPr>
              <w:t xml:space="preserve">  </w:t>
            </w:r>
            <w:r>
              <w:rPr>
                <w:b w:val="0"/>
                <w:color w:val="auto"/>
                <w:sz w:val="24"/>
                <w:highlight w:val="none"/>
              </w:rPr>
              <w:t>日</w:t>
            </w:r>
            <w:r>
              <w:rPr>
                <w:rFonts w:hint="eastAsia"/>
                <w:b w:val="0"/>
                <w:color w:val="auto"/>
                <w:sz w:val="24"/>
                <w:highlight w:val="none"/>
              </w:rPr>
              <w:t>，</w:t>
            </w:r>
            <w:bookmarkStart w:id="36" w:name="EB2a2e1a22d449405a860670c095486ab8"/>
            <w:r>
              <w:rPr>
                <w:rFonts w:hint="eastAsia"/>
                <w:b w:val="0"/>
                <w:color w:val="auto"/>
                <w:sz w:val="24"/>
                <w:highlight w:val="none"/>
              </w:rPr>
              <w:t>具体开工时间以开工令为准。</w:t>
            </w:r>
            <w:bookmarkEnd w:id="36"/>
          </w:p>
        </w:tc>
      </w:tr>
      <w:tr w14:paraId="73A0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5AFEA9BD">
            <w:pPr>
              <w:pStyle w:val="74"/>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rPr>
              <w:t>4</w:t>
            </w:r>
          </w:p>
        </w:tc>
        <w:tc>
          <w:tcPr>
            <w:tcW w:w="977" w:type="pct"/>
            <w:vAlign w:val="center"/>
          </w:tcPr>
          <w:p w14:paraId="106FA0C1">
            <w:pPr>
              <w:pStyle w:val="73"/>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质量标准要求</w:t>
            </w:r>
          </w:p>
        </w:tc>
        <w:tc>
          <w:tcPr>
            <w:tcW w:w="3556" w:type="pct"/>
            <w:vAlign w:val="center"/>
          </w:tcPr>
          <w:p w14:paraId="78CD8E95">
            <w:pPr>
              <w:pStyle w:val="100"/>
              <w:tabs>
                <w:tab w:val="left" w:pos="1152"/>
              </w:tabs>
              <w:spacing w:before="0" w:beforeAutospacing="0" w:after="0" w:afterAutospacing="0" w:line="360" w:lineRule="auto"/>
              <w:rPr>
                <w:b/>
                <w:color w:val="auto"/>
                <w:highlight w:val="none"/>
              </w:rPr>
            </w:pPr>
            <w:r>
              <w:rPr>
                <w:rFonts w:hint="eastAsia" w:cs="@仿宋_GB2312"/>
                <w:bCs/>
                <w:color w:val="auto"/>
                <w:szCs w:val="28"/>
                <w:highlight w:val="none"/>
              </w:rPr>
              <w:t>质量标准：合格</w:t>
            </w:r>
          </w:p>
        </w:tc>
      </w:tr>
      <w:tr w14:paraId="3A08E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714B2C37">
            <w:pPr>
              <w:pStyle w:val="74"/>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lang w:val="en-US" w:eastAsia="zh-CN"/>
              </w:rPr>
              <w:t>5</w:t>
            </w:r>
          </w:p>
        </w:tc>
        <w:tc>
          <w:tcPr>
            <w:tcW w:w="977" w:type="pct"/>
            <w:vAlign w:val="center"/>
          </w:tcPr>
          <w:p w14:paraId="31918508">
            <w:pPr>
              <w:pStyle w:val="73"/>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安全文明要求</w:t>
            </w:r>
          </w:p>
        </w:tc>
        <w:tc>
          <w:tcPr>
            <w:tcW w:w="3556" w:type="pct"/>
            <w:vAlign w:val="center"/>
          </w:tcPr>
          <w:p w14:paraId="2B00E11E">
            <w:pPr>
              <w:pStyle w:val="73"/>
              <w:widowControl w:val="0"/>
              <w:spacing w:before="0" w:beforeAutospacing="0" w:after="0" w:afterAutospacing="0" w:line="360" w:lineRule="auto"/>
              <w:jc w:val="both"/>
              <w:rPr>
                <w:b w:val="0"/>
                <w:bCs w:val="0"/>
                <w:color w:val="auto"/>
                <w:sz w:val="24"/>
                <w:highlight w:val="none"/>
              </w:rPr>
            </w:pPr>
            <w:r>
              <w:rPr>
                <w:rFonts w:hint="eastAsia"/>
                <w:b w:val="0"/>
                <w:bCs w:val="0"/>
                <w:color w:val="auto"/>
                <w:sz w:val="24"/>
                <w:highlight w:val="none"/>
              </w:rPr>
              <w:t>必须确保安全文明施工，符合国家和项目所在地现行相关规定</w:t>
            </w:r>
          </w:p>
        </w:tc>
      </w:tr>
      <w:tr w14:paraId="4CDCB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73992B4F">
            <w:pPr>
              <w:pStyle w:val="74"/>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lang w:val="en-US" w:eastAsia="zh-CN"/>
              </w:rPr>
              <w:t>6</w:t>
            </w:r>
          </w:p>
        </w:tc>
        <w:tc>
          <w:tcPr>
            <w:tcW w:w="977" w:type="pct"/>
            <w:vAlign w:val="center"/>
          </w:tcPr>
          <w:p w14:paraId="1D0BC9E0">
            <w:pPr>
              <w:pStyle w:val="73"/>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总包及分包规定</w:t>
            </w:r>
          </w:p>
        </w:tc>
        <w:tc>
          <w:tcPr>
            <w:tcW w:w="3556" w:type="pct"/>
            <w:vAlign w:val="center"/>
          </w:tcPr>
          <w:p w14:paraId="497D1596">
            <w:pPr>
              <w:spacing w:line="360" w:lineRule="auto"/>
              <w:rPr>
                <w:rFonts w:ascii="Calibri" w:hAnsi="Calibri" w:cs="Times New Roman"/>
                <w:b w:val="0"/>
                <w:bCs w:val="0"/>
                <w:color w:val="auto"/>
                <w:kern w:val="2"/>
                <w:sz w:val="24"/>
                <w:szCs w:val="28"/>
                <w:highlight w:val="none"/>
              </w:rPr>
            </w:pPr>
            <w:r>
              <w:rPr>
                <w:rFonts w:hint="eastAsia" w:ascii="Calibri" w:hAnsi="Calibri" w:cs="Times New Roman"/>
                <w:b w:val="0"/>
                <w:bCs w:val="0"/>
                <w:color w:val="auto"/>
                <w:kern w:val="2"/>
                <w:sz w:val="24"/>
                <w:szCs w:val="28"/>
                <w:highlight w:val="none"/>
              </w:rPr>
              <w:t>供应商不得在成交后将工程转包给其它施工单位。</w:t>
            </w:r>
          </w:p>
          <w:p w14:paraId="65460E9B">
            <w:pPr>
              <w:spacing w:line="360" w:lineRule="auto"/>
              <w:jc w:val="left"/>
              <w:rPr>
                <w:rFonts w:cs="Times New Roman"/>
                <w:b w:val="0"/>
                <w:bCs w:val="0"/>
                <w:color w:val="auto"/>
                <w:kern w:val="2"/>
                <w:sz w:val="24"/>
                <w:szCs w:val="22"/>
                <w:highlight w:val="none"/>
              </w:rPr>
            </w:pPr>
            <w:r>
              <w:rPr>
                <w:rFonts w:hint="eastAsia" w:cs="Times New Roman"/>
                <w:b w:val="0"/>
                <w:bCs w:val="0"/>
                <w:color w:val="auto"/>
                <w:kern w:val="2"/>
                <w:sz w:val="24"/>
                <w:szCs w:val="22"/>
                <w:highlight w:val="none"/>
              </w:rPr>
              <w:t>分包情况</w:t>
            </w:r>
          </w:p>
          <w:p w14:paraId="77CD357D">
            <w:pPr>
              <w:spacing w:line="360" w:lineRule="auto"/>
              <w:jc w:val="left"/>
              <w:rPr>
                <w:rFonts w:cs="Times New Roman"/>
                <w:b w:val="0"/>
                <w:bCs w:val="0"/>
                <w:color w:val="auto"/>
                <w:kern w:val="2"/>
                <w:sz w:val="24"/>
                <w:szCs w:val="22"/>
                <w:highlight w:val="none"/>
              </w:rPr>
            </w:pPr>
            <w:r>
              <w:rPr>
                <w:rFonts w:hint="eastAsia" w:cs="Times New Roman"/>
                <w:b w:val="0"/>
                <w:bCs w:val="0"/>
                <w:color w:val="auto"/>
                <w:kern w:val="2"/>
                <w:sz w:val="24"/>
                <w:szCs w:val="22"/>
                <w:highlight w:val="none"/>
              </w:rPr>
              <w:t>□允许专业分包，</w:t>
            </w:r>
            <w:r>
              <w:rPr>
                <w:rFonts w:hint="eastAsia" w:ascii="Calibri" w:hAnsi="Calibri" w:cs="Times New Roman"/>
                <w:b w:val="0"/>
                <w:bCs w:val="0"/>
                <w:color w:val="auto"/>
                <w:kern w:val="2"/>
                <w:sz w:val="24"/>
                <w:szCs w:val="22"/>
                <w:highlight w:val="none"/>
              </w:rPr>
              <w:t>分包项目、内容及分包商须经采购人及监理单位同意和认可</w:t>
            </w:r>
          </w:p>
          <w:p w14:paraId="72DBC8D9">
            <w:pPr>
              <w:pStyle w:val="73"/>
              <w:widowControl w:val="0"/>
              <w:spacing w:before="0" w:beforeAutospacing="0" w:after="0" w:afterAutospacing="0" w:line="360" w:lineRule="auto"/>
              <w:jc w:val="both"/>
              <w:rPr>
                <w:b w:val="0"/>
                <w:bCs w:val="0"/>
                <w:color w:val="auto"/>
                <w:sz w:val="24"/>
                <w:highlight w:val="none"/>
              </w:rPr>
            </w:pPr>
            <w:r>
              <w:rPr>
                <w:rFonts w:hint="eastAsia" w:cs="Times New Roman"/>
                <w:b w:val="0"/>
                <w:bCs w:val="0"/>
                <w:color w:val="auto"/>
                <w:kern w:val="2"/>
                <w:sz w:val="24"/>
                <w:szCs w:val="22"/>
                <w:highlight w:val="none"/>
                <w:lang w:eastAsia="zh-CN"/>
              </w:rPr>
              <w:t>☑</w:t>
            </w:r>
            <w:r>
              <w:rPr>
                <w:rFonts w:hint="eastAsia" w:cs="Times New Roman"/>
                <w:b w:val="0"/>
                <w:bCs w:val="0"/>
                <w:color w:val="auto"/>
                <w:kern w:val="2"/>
                <w:sz w:val="24"/>
                <w:szCs w:val="22"/>
                <w:highlight w:val="none"/>
              </w:rPr>
              <w:t>不允许</w:t>
            </w:r>
          </w:p>
        </w:tc>
      </w:tr>
      <w:tr w14:paraId="55FCB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6632B881">
            <w:pPr>
              <w:pStyle w:val="74"/>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lang w:val="en-US" w:eastAsia="zh-CN"/>
              </w:rPr>
              <w:t>7</w:t>
            </w:r>
          </w:p>
        </w:tc>
        <w:tc>
          <w:tcPr>
            <w:tcW w:w="977" w:type="pct"/>
            <w:vAlign w:val="center"/>
          </w:tcPr>
          <w:p w14:paraId="7A29DA69">
            <w:pPr>
              <w:pStyle w:val="73"/>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现场条件</w:t>
            </w:r>
          </w:p>
        </w:tc>
        <w:tc>
          <w:tcPr>
            <w:tcW w:w="3556" w:type="pct"/>
            <w:vAlign w:val="center"/>
          </w:tcPr>
          <w:p w14:paraId="3ADC4F4F">
            <w:pPr>
              <w:pStyle w:val="73"/>
              <w:widowControl w:val="0"/>
              <w:spacing w:before="0" w:beforeAutospacing="0" w:after="0" w:afterAutospacing="0" w:line="360" w:lineRule="auto"/>
              <w:jc w:val="both"/>
              <w:rPr>
                <w:b w:val="0"/>
                <w:color w:val="auto"/>
                <w:sz w:val="24"/>
                <w:highlight w:val="none"/>
              </w:rPr>
            </w:pPr>
            <w:r>
              <w:rPr>
                <w:rFonts w:hint="eastAsia"/>
                <w:b w:val="0"/>
                <w:bCs w:val="0"/>
                <w:color w:val="auto"/>
                <w:sz w:val="24"/>
                <w:highlight w:val="none"/>
              </w:rPr>
              <w:t>具备开工条件</w:t>
            </w:r>
          </w:p>
        </w:tc>
      </w:tr>
      <w:tr w14:paraId="6F6A4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26C1194A">
            <w:pPr>
              <w:pStyle w:val="74"/>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lang w:val="en-US" w:eastAsia="zh-CN"/>
              </w:rPr>
              <w:t>8</w:t>
            </w:r>
          </w:p>
        </w:tc>
        <w:tc>
          <w:tcPr>
            <w:tcW w:w="977" w:type="pct"/>
            <w:vAlign w:val="center"/>
          </w:tcPr>
          <w:p w14:paraId="0082A598">
            <w:pPr>
              <w:pStyle w:val="73"/>
              <w:widowControl w:val="0"/>
              <w:spacing w:before="0" w:beforeAutospacing="0" w:after="0" w:afterAutospacing="0" w:line="360" w:lineRule="auto"/>
              <w:jc w:val="both"/>
              <w:rPr>
                <w:b w:val="0"/>
                <w:color w:val="auto"/>
                <w:sz w:val="24"/>
                <w:highlight w:val="none"/>
              </w:rPr>
            </w:pPr>
            <w:r>
              <w:rPr>
                <w:rFonts w:hint="eastAsia"/>
                <w:b w:val="0"/>
                <w:bCs w:val="0"/>
                <w:color w:val="auto"/>
                <w:sz w:val="24"/>
                <w:highlight w:val="none"/>
              </w:rPr>
              <w:t>采购人提供的资料</w:t>
            </w:r>
          </w:p>
        </w:tc>
        <w:tc>
          <w:tcPr>
            <w:tcW w:w="3556" w:type="pct"/>
            <w:vAlign w:val="center"/>
          </w:tcPr>
          <w:p w14:paraId="7DF50411">
            <w:pPr>
              <w:adjustRightInd w:val="0"/>
              <w:snapToGrid w:val="0"/>
              <w:spacing w:line="360" w:lineRule="auto"/>
              <w:jc w:val="left"/>
              <w:rPr>
                <w:bCs/>
                <w:color w:val="auto"/>
                <w:sz w:val="24"/>
                <w:szCs w:val="28"/>
                <w:highlight w:val="none"/>
              </w:rPr>
            </w:pPr>
            <w:r>
              <w:rPr>
                <w:rFonts w:hint="eastAsia"/>
                <w:bCs/>
                <w:color w:val="auto"/>
                <w:sz w:val="24"/>
                <w:szCs w:val="28"/>
                <w:highlight w:val="none"/>
                <w:lang w:eastAsia="zh-CN"/>
              </w:rPr>
              <w:t>☑</w:t>
            </w:r>
            <w:r>
              <w:rPr>
                <w:rFonts w:hint="eastAsia"/>
                <w:bCs/>
                <w:color w:val="auto"/>
                <w:sz w:val="24"/>
                <w:szCs w:val="28"/>
                <w:highlight w:val="none"/>
              </w:rPr>
              <w:t>磋商文件</w:t>
            </w:r>
          </w:p>
          <w:p w14:paraId="39C70EC3">
            <w:pPr>
              <w:adjustRightInd w:val="0"/>
              <w:snapToGrid w:val="0"/>
              <w:spacing w:line="360" w:lineRule="auto"/>
              <w:jc w:val="left"/>
              <w:rPr>
                <w:bCs/>
                <w:color w:val="auto"/>
                <w:sz w:val="24"/>
                <w:szCs w:val="28"/>
                <w:highlight w:val="none"/>
              </w:rPr>
            </w:pPr>
            <w:r>
              <w:rPr>
                <w:rFonts w:hint="eastAsia"/>
                <w:bCs/>
                <w:color w:val="auto"/>
                <w:sz w:val="24"/>
                <w:szCs w:val="28"/>
                <w:highlight w:val="none"/>
                <w:lang w:eastAsia="zh-CN"/>
              </w:rPr>
              <w:t>☑</w:t>
            </w:r>
            <w:r>
              <w:rPr>
                <w:rFonts w:hint="eastAsia"/>
                <w:bCs/>
                <w:color w:val="auto"/>
                <w:sz w:val="24"/>
                <w:szCs w:val="28"/>
                <w:highlight w:val="none"/>
              </w:rPr>
              <w:t>工程量清单</w:t>
            </w:r>
          </w:p>
          <w:p w14:paraId="7967FC24">
            <w:pPr>
              <w:adjustRightInd w:val="0"/>
              <w:snapToGrid w:val="0"/>
              <w:spacing w:line="360" w:lineRule="auto"/>
              <w:jc w:val="left"/>
              <w:rPr>
                <w:bCs/>
                <w:color w:val="auto"/>
                <w:sz w:val="24"/>
                <w:szCs w:val="28"/>
                <w:highlight w:val="none"/>
              </w:rPr>
            </w:pPr>
            <w:r>
              <w:rPr>
                <w:rFonts w:hint="eastAsia"/>
                <w:bCs/>
                <w:color w:val="auto"/>
                <w:sz w:val="24"/>
                <w:szCs w:val="28"/>
                <w:highlight w:val="none"/>
                <w:lang w:eastAsia="zh-CN"/>
              </w:rPr>
              <w:t>☑</w:t>
            </w:r>
            <w:r>
              <w:rPr>
                <w:rFonts w:hint="eastAsia"/>
                <w:bCs/>
                <w:color w:val="auto"/>
                <w:sz w:val="24"/>
                <w:szCs w:val="28"/>
                <w:highlight w:val="none"/>
              </w:rPr>
              <w:t>最高投标限价</w:t>
            </w:r>
          </w:p>
          <w:p w14:paraId="3B53983C">
            <w:pPr>
              <w:adjustRightInd w:val="0"/>
              <w:snapToGrid w:val="0"/>
              <w:spacing w:line="360" w:lineRule="auto"/>
              <w:jc w:val="left"/>
              <w:rPr>
                <w:bCs/>
                <w:color w:val="auto"/>
                <w:sz w:val="24"/>
                <w:szCs w:val="28"/>
                <w:highlight w:val="none"/>
              </w:rPr>
            </w:pPr>
            <w:r>
              <w:rPr>
                <w:rFonts w:hint="eastAsia"/>
                <w:bCs/>
                <w:color w:val="auto"/>
                <w:sz w:val="24"/>
                <w:szCs w:val="28"/>
                <w:highlight w:val="none"/>
                <w:lang w:eastAsia="zh-CN"/>
              </w:rPr>
              <w:t>□</w:t>
            </w:r>
            <w:r>
              <w:rPr>
                <w:rFonts w:hint="eastAsia"/>
                <w:bCs/>
                <w:color w:val="auto"/>
                <w:sz w:val="24"/>
                <w:szCs w:val="28"/>
                <w:highlight w:val="none"/>
              </w:rPr>
              <w:t>电子版图纸</w:t>
            </w:r>
          </w:p>
          <w:p w14:paraId="4617FAA2">
            <w:pPr>
              <w:adjustRightInd w:val="0"/>
              <w:snapToGrid w:val="0"/>
              <w:spacing w:line="360" w:lineRule="auto"/>
              <w:jc w:val="left"/>
              <w:rPr>
                <w:bCs/>
                <w:color w:val="auto"/>
                <w:sz w:val="24"/>
                <w:szCs w:val="28"/>
                <w:highlight w:val="none"/>
              </w:rPr>
            </w:pPr>
            <w:r>
              <w:rPr>
                <w:rFonts w:hint="eastAsia"/>
                <w:bCs/>
                <w:color w:val="auto"/>
                <w:sz w:val="24"/>
                <w:szCs w:val="28"/>
                <w:highlight w:val="none"/>
              </w:rPr>
              <w:t>获得方式：</w:t>
            </w:r>
          </w:p>
          <w:p w14:paraId="462FE01A">
            <w:pPr>
              <w:pStyle w:val="73"/>
              <w:widowControl w:val="0"/>
              <w:spacing w:before="0" w:beforeAutospacing="0" w:after="0" w:afterAutospacing="0" w:line="360" w:lineRule="auto"/>
              <w:jc w:val="both"/>
              <w:rPr>
                <w:b w:val="0"/>
                <w:color w:val="auto"/>
                <w:sz w:val="24"/>
                <w:highlight w:val="none"/>
              </w:rPr>
            </w:pPr>
            <w:r>
              <w:rPr>
                <w:rFonts w:hint="eastAsia"/>
                <w:color w:val="auto"/>
                <w:sz w:val="24"/>
                <w:highlight w:val="none"/>
              </w:rPr>
              <w:t>上述资料请供应商在获取磋商文件后，自行登录</w:t>
            </w:r>
            <w:r>
              <w:rPr>
                <w:rFonts w:hint="eastAsia" w:hAnsi="宋体"/>
                <w:kern w:val="0"/>
                <w:sz w:val="24"/>
                <w:szCs w:val="24"/>
                <w:lang w:eastAsia="zh-CN"/>
              </w:rPr>
              <w:t>安徽融城高新技术产业发展集团有限公司</w:t>
            </w:r>
            <w:r>
              <w:rPr>
                <w:rFonts w:hint="eastAsia" w:hAnsi="宋体"/>
                <w:kern w:val="0"/>
                <w:sz w:val="24"/>
                <w:szCs w:val="24"/>
                <w:lang w:val="en-US" w:eastAsia="zh-CN"/>
              </w:rPr>
              <w:t>网</w:t>
            </w:r>
            <w:r>
              <w:rPr>
                <w:rFonts w:hint="eastAsia"/>
                <w:color w:val="auto"/>
                <w:sz w:val="24"/>
                <w:highlight w:val="none"/>
                <w:lang w:val="en-US" w:eastAsia="zh-CN"/>
              </w:rPr>
              <w:t>站</w:t>
            </w:r>
            <w:r>
              <w:rPr>
                <w:rFonts w:hint="eastAsia"/>
                <w:color w:val="auto"/>
                <w:sz w:val="24"/>
                <w:highlight w:val="none"/>
              </w:rPr>
              <w:t>下载本项目附件。</w:t>
            </w:r>
          </w:p>
        </w:tc>
      </w:tr>
      <w:tr w14:paraId="45CE0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7B16B365">
            <w:pPr>
              <w:pStyle w:val="74"/>
              <w:pBdr>
                <w:bottom w:val="none" w:color="auto" w:sz="0" w:space="0"/>
              </w:pBdr>
              <w:tabs>
                <w:tab w:val="clear" w:pos="4153"/>
                <w:tab w:val="clear" w:pos="8306"/>
              </w:tabs>
              <w:adjustRightInd/>
              <w:spacing w:line="360" w:lineRule="auto"/>
              <w:textAlignment w:val="auto"/>
              <w:rPr>
                <w:bCs/>
                <w:color w:val="auto"/>
                <w:kern w:val="2"/>
                <w:highlight w:val="none"/>
              </w:rPr>
            </w:pPr>
            <w:r>
              <w:rPr>
                <w:rFonts w:ascii="宋体" w:hAnsi="宋体" w:eastAsia="宋体" w:cs="宋体"/>
                <w:sz w:val="24"/>
                <w:szCs w:val="24"/>
              </w:rPr>
              <w:t>34.7</w:t>
            </w:r>
          </w:p>
        </w:tc>
        <w:tc>
          <w:tcPr>
            <w:tcW w:w="977" w:type="pct"/>
            <w:vAlign w:val="center"/>
          </w:tcPr>
          <w:p w14:paraId="7731F4D4">
            <w:pPr>
              <w:pStyle w:val="73"/>
              <w:widowControl w:val="0"/>
              <w:spacing w:before="0" w:beforeAutospacing="0" w:after="0" w:afterAutospacing="0" w:line="360" w:lineRule="auto"/>
              <w:jc w:val="both"/>
              <w:rPr>
                <w:rFonts w:hint="eastAsia"/>
                <w:b w:val="0"/>
                <w:bCs w:val="0"/>
                <w:color w:val="auto"/>
                <w:sz w:val="24"/>
                <w:highlight w:val="none"/>
              </w:rPr>
            </w:pPr>
            <w:r>
              <w:rPr>
                <w:rFonts w:hint="eastAsia"/>
                <w:b w:val="0"/>
                <w:bCs w:val="0"/>
                <w:color w:val="auto"/>
                <w:sz w:val="24"/>
                <w:highlight w:val="none"/>
              </w:rPr>
              <w:t>关于联合体参加磋商的相关 约定</w:t>
            </w:r>
          </w:p>
        </w:tc>
        <w:tc>
          <w:tcPr>
            <w:tcW w:w="3556" w:type="pct"/>
            <w:vAlign w:val="center"/>
          </w:tcPr>
          <w:p w14:paraId="0A901BFD">
            <w:pPr>
              <w:pStyle w:val="73"/>
              <w:widowControl w:val="0"/>
              <w:numPr>
                <w:ilvl w:val="0"/>
                <w:numId w:val="2"/>
              </w:numPr>
              <w:spacing w:before="0" w:beforeAutospacing="0" w:after="0" w:afterAutospacing="0" w:line="360" w:lineRule="auto"/>
              <w:jc w:val="both"/>
              <w:rPr>
                <w:rFonts w:hint="eastAsia" w:ascii="宋体" w:hAnsi="宋体" w:eastAsia="宋体"/>
                <w:b w:val="0"/>
                <w:bCs w:val="0"/>
                <w:color w:val="auto"/>
                <w:sz w:val="24"/>
                <w:highlight w:val="none"/>
              </w:rPr>
            </w:pPr>
            <w:r>
              <w:rPr>
                <w:rFonts w:hint="eastAsia" w:ascii="宋体" w:hAnsi="宋体" w:eastAsia="宋体"/>
                <w:b w:val="0"/>
                <w:bCs w:val="0"/>
                <w:color w:val="auto"/>
                <w:sz w:val="24"/>
                <w:highlight w:val="none"/>
              </w:rPr>
              <w:t xml:space="preserve">联合体响应的须提供联合体协议（见响应文件格式），相关 证明材料由供应商根据联合体协议分工情况及竞争性磋商文件要求提供。 </w:t>
            </w:r>
          </w:p>
          <w:p w14:paraId="2427B063">
            <w:pPr>
              <w:pStyle w:val="73"/>
              <w:widowControl w:val="0"/>
              <w:numPr>
                <w:ilvl w:val="0"/>
                <w:numId w:val="0"/>
              </w:numPr>
              <w:spacing w:before="0" w:beforeAutospacing="0" w:after="0" w:afterAutospacing="0" w:line="360" w:lineRule="auto"/>
              <w:jc w:val="both"/>
              <w:rPr>
                <w:rFonts w:hint="eastAsia"/>
                <w:color w:val="auto"/>
                <w:sz w:val="24"/>
                <w:highlight w:val="none"/>
              </w:rPr>
            </w:pPr>
            <w:r>
              <w:rPr>
                <w:rFonts w:hint="eastAsia" w:ascii="宋体" w:hAnsi="宋体" w:eastAsia="宋体"/>
                <w:b w:val="0"/>
                <w:bCs w:val="0"/>
                <w:color w:val="auto"/>
                <w:sz w:val="24"/>
                <w:highlight w:val="none"/>
              </w:rPr>
              <w:t>（2）联合体各成员单位均须提供营业执照等证明文件。</w:t>
            </w:r>
          </w:p>
        </w:tc>
      </w:tr>
      <w:tr w14:paraId="07DFA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73829274">
            <w:pPr>
              <w:pStyle w:val="74"/>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rFonts w:hint="eastAsia"/>
                <w:bCs/>
                <w:color w:val="auto"/>
                <w:kern w:val="2"/>
                <w:highlight w:val="none"/>
                <w:lang w:val="en-US" w:eastAsia="zh-CN"/>
              </w:rPr>
              <w:t>30</w:t>
            </w:r>
            <w:r>
              <w:rPr>
                <w:bCs/>
                <w:color w:val="auto"/>
                <w:kern w:val="2"/>
                <w:highlight w:val="none"/>
              </w:rPr>
              <w:t>.</w:t>
            </w:r>
            <w:r>
              <w:rPr>
                <w:rFonts w:hint="eastAsia"/>
                <w:bCs/>
                <w:color w:val="auto"/>
                <w:kern w:val="2"/>
                <w:highlight w:val="none"/>
                <w:lang w:val="en-US" w:eastAsia="zh-CN"/>
              </w:rPr>
              <w:t>9</w:t>
            </w:r>
          </w:p>
        </w:tc>
        <w:tc>
          <w:tcPr>
            <w:tcW w:w="977" w:type="pct"/>
            <w:vAlign w:val="center"/>
          </w:tcPr>
          <w:p w14:paraId="0334D579">
            <w:pPr>
              <w:pStyle w:val="73"/>
              <w:widowControl w:val="0"/>
              <w:spacing w:before="0" w:beforeAutospacing="0" w:after="0" w:afterAutospacing="0" w:line="360" w:lineRule="auto"/>
              <w:jc w:val="both"/>
              <w:rPr>
                <w:b w:val="0"/>
                <w:color w:val="auto"/>
                <w:sz w:val="24"/>
                <w:highlight w:val="none"/>
              </w:rPr>
            </w:pPr>
            <w:r>
              <w:rPr>
                <w:rFonts w:hint="eastAsia"/>
                <w:b w:val="0"/>
                <w:bCs w:val="0"/>
                <w:color w:val="auto"/>
                <w:sz w:val="24"/>
                <w:highlight w:val="none"/>
              </w:rPr>
              <w:t>工程量清单和最高投标限价编制费</w:t>
            </w:r>
          </w:p>
        </w:tc>
        <w:tc>
          <w:tcPr>
            <w:tcW w:w="3556" w:type="pct"/>
            <w:vAlign w:val="center"/>
          </w:tcPr>
          <w:p w14:paraId="49596E04">
            <w:pPr>
              <w:pStyle w:val="73"/>
              <w:widowControl w:val="0"/>
              <w:spacing w:before="0" w:beforeAutospacing="0" w:after="0" w:afterAutospacing="0" w:line="360" w:lineRule="auto"/>
              <w:jc w:val="both"/>
              <w:rPr>
                <w:rFonts w:hint="default" w:eastAsiaTheme="minorEastAsia"/>
                <w:b/>
                <w:bCs/>
                <w:color w:val="auto"/>
                <w:sz w:val="24"/>
                <w:highlight w:val="none"/>
                <w:lang w:val="en-US" w:eastAsia="zh-CN"/>
              </w:rPr>
            </w:pPr>
            <w:r>
              <w:rPr>
                <w:rFonts w:hint="eastAsia" w:ascii="宋体" w:hAnsi="宋体" w:eastAsia="宋体"/>
                <w:b w:val="0"/>
                <w:bCs w:val="0"/>
                <w:color w:val="auto"/>
                <w:sz w:val="24"/>
                <w:highlight w:val="none"/>
                <w:lang w:val="en-US" w:eastAsia="zh-CN"/>
              </w:rPr>
              <w:t>见</w:t>
            </w:r>
            <w:r>
              <w:rPr>
                <w:rFonts w:hint="eastAsia" w:ascii="宋体" w:hAnsi="宋体" w:eastAsia="宋体"/>
                <w:b w:val="0"/>
                <w:bCs w:val="0"/>
                <w:color w:val="auto"/>
                <w:sz w:val="24"/>
                <w:highlight w:val="none"/>
              </w:rPr>
              <w:t>供应商须知前附表</w:t>
            </w:r>
            <w:r>
              <w:rPr>
                <w:rFonts w:hint="eastAsia" w:ascii="宋体" w:hAnsi="宋体" w:eastAsia="宋体"/>
                <w:b w:val="0"/>
                <w:bCs w:val="0"/>
                <w:color w:val="auto"/>
                <w:sz w:val="24"/>
                <w:highlight w:val="none"/>
                <w:lang w:val="en-US" w:eastAsia="zh-CN"/>
              </w:rPr>
              <w:t>26.1</w:t>
            </w:r>
          </w:p>
        </w:tc>
      </w:tr>
      <w:tr w14:paraId="407D3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3948034B">
            <w:pPr>
              <w:pStyle w:val="74"/>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.1</w:t>
            </w:r>
            <w:r>
              <w:rPr>
                <w:rFonts w:hint="eastAsia"/>
                <w:bCs/>
                <w:color w:val="auto"/>
                <w:kern w:val="2"/>
                <w:highlight w:val="none"/>
                <w:lang w:val="en-US" w:eastAsia="zh-CN"/>
              </w:rPr>
              <w:t>0</w:t>
            </w:r>
          </w:p>
        </w:tc>
        <w:tc>
          <w:tcPr>
            <w:tcW w:w="977" w:type="pct"/>
            <w:vAlign w:val="center"/>
          </w:tcPr>
          <w:p w14:paraId="49F7CF84">
            <w:pPr>
              <w:pStyle w:val="73"/>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其他补充说明</w:t>
            </w:r>
          </w:p>
        </w:tc>
        <w:tc>
          <w:tcPr>
            <w:tcW w:w="3556" w:type="pct"/>
            <w:vAlign w:val="center"/>
          </w:tcPr>
          <w:p w14:paraId="1FD3F074">
            <w:pPr>
              <w:numPr>
                <w:ilvl w:val="0"/>
                <w:numId w:val="0"/>
              </w:numPr>
              <w:spacing w:line="360" w:lineRule="auto"/>
              <w:rPr>
                <w:rFonts w:hint="eastAsia" w:asciiTheme="minorEastAsia" w:hAnsiTheme="minorEastAsia" w:eastAsiaTheme="minorEastAsia"/>
                <w:bCs/>
                <w:color w:val="auto"/>
                <w:sz w:val="24"/>
                <w:szCs w:val="24"/>
                <w:highlight w:val="none"/>
                <w:lang w:val="en-US" w:eastAsia="zh-CN"/>
              </w:rPr>
            </w:pPr>
            <w:r>
              <w:rPr>
                <w:rFonts w:hint="eastAsia" w:asciiTheme="minorEastAsia" w:hAnsiTheme="minorEastAsia" w:eastAsiaTheme="minorEastAsia"/>
                <w:bCs/>
                <w:color w:val="auto"/>
                <w:sz w:val="24"/>
                <w:szCs w:val="24"/>
                <w:highlight w:val="none"/>
                <w:lang w:val="en-US" w:eastAsia="zh-CN"/>
              </w:rPr>
              <w:t>1、解释权：</w:t>
            </w:r>
          </w:p>
          <w:p w14:paraId="52DA69B0">
            <w:pPr>
              <w:numPr>
                <w:ilvl w:val="0"/>
                <w:numId w:val="0"/>
              </w:num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（1）</w:t>
            </w:r>
            <w:r>
              <w:rPr>
                <w:rFonts w:asciiTheme="minorEastAsia" w:hAnsiTheme="minorEastAsia" w:eastAsiaTheme="minorEastAsia"/>
                <w:bCs/>
                <w:color w:val="auto"/>
                <w:sz w:val="24"/>
                <w:szCs w:val="24"/>
                <w:highlight w:val="none"/>
              </w:rPr>
              <w:t>构成本</w:t>
            </w:r>
            <w:r>
              <w:rPr>
                <w:rFonts w:hint="eastAsia" w:asciiTheme="minorEastAsia" w:hAnsiTheme="minorEastAsia" w:eastAsiaTheme="minorEastAsia"/>
                <w:bCs/>
                <w:color w:val="auto"/>
                <w:sz w:val="24"/>
                <w:szCs w:val="24"/>
                <w:highlight w:val="none"/>
              </w:rPr>
              <w:t>磋商</w:t>
            </w:r>
            <w:r>
              <w:rPr>
                <w:rFonts w:asciiTheme="minorEastAsia" w:hAnsiTheme="minorEastAsia" w:eastAsiaTheme="minorEastAsia"/>
                <w:bCs/>
                <w:color w:val="auto"/>
                <w:sz w:val="24"/>
                <w:szCs w:val="24"/>
                <w:highlight w:val="none"/>
              </w:rPr>
              <w:t>文件的各个组成文件应互为解释，互为说明；</w:t>
            </w:r>
          </w:p>
          <w:p w14:paraId="10EDA87B">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（2）</w:t>
            </w:r>
            <w:r>
              <w:rPr>
                <w:rFonts w:asciiTheme="minorEastAsia" w:hAnsiTheme="minorEastAsia" w:eastAsiaTheme="minorEastAsia"/>
                <w:bCs/>
                <w:color w:val="auto"/>
                <w:sz w:val="24"/>
                <w:szCs w:val="24"/>
                <w:highlight w:val="none"/>
              </w:rPr>
              <w:t>同一组成文件中就同一事项的规定或约定不一致的，以编排顺序在后者为准；</w:t>
            </w:r>
          </w:p>
          <w:p w14:paraId="298E0FA4">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（3）</w:t>
            </w:r>
            <w:r>
              <w:rPr>
                <w:rFonts w:asciiTheme="minorEastAsia" w:hAnsiTheme="minorEastAsia" w:eastAsiaTheme="minorEastAsia"/>
                <w:bCs/>
                <w:color w:val="auto"/>
                <w:sz w:val="24"/>
                <w:szCs w:val="24"/>
                <w:highlight w:val="none"/>
              </w:rPr>
              <w:t>如有不明确或不一致，构成合同文件组成内容的，以合同文件约定内容为准，且以专用合同条款约定的合同文件优先顺序解释；</w:t>
            </w:r>
          </w:p>
          <w:p w14:paraId="20B3B8B6">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（4）</w:t>
            </w:r>
            <w:r>
              <w:rPr>
                <w:rFonts w:asciiTheme="minorEastAsia" w:hAnsiTheme="minorEastAsia" w:eastAsiaTheme="minorEastAsia"/>
                <w:bCs/>
                <w:color w:val="auto"/>
                <w:sz w:val="24"/>
                <w:szCs w:val="24"/>
                <w:highlight w:val="none"/>
              </w:rPr>
              <w:t>除</w:t>
            </w:r>
            <w:r>
              <w:rPr>
                <w:rFonts w:hint="eastAsia" w:asciiTheme="minorEastAsia" w:hAnsiTheme="minorEastAsia" w:eastAsiaTheme="minorEastAsia"/>
                <w:bCs/>
                <w:color w:val="auto"/>
                <w:sz w:val="24"/>
                <w:szCs w:val="24"/>
                <w:highlight w:val="none"/>
              </w:rPr>
              <w:t>磋商</w:t>
            </w:r>
            <w:r>
              <w:rPr>
                <w:rFonts w:asciiTheme="minorEastAsia" w:hAnsiTheme="minorEastAsia" w:eastAsiaTheme="minorEastAsia"/>
                <w:bCs/>
                <w:color w:val="auto"/>
                <w:sz w:val="24"/>
                <w:szCs w:val="24"/>
                <w:highlight w:val="none"/>
              </w:rPr>
              <w:t>文件中有特别规定外，仅适用于</w:t>
            </w:r>
            <w:r>
              <w:rPr>
                <w:rFonts w:hint="eastAsia" w:asciiTheme="minorEastAsia" w:hAnsiTheme="minorEastAsia" w:eastAsiaTheme="minorEastAsia"/>
                <w:bCs/>
                <w:color w:val="auto"/>
                <w:sz w:val="24"/>
                <w:szCs w:val="24"/>
                <w:highlight w:val="none"/>
              </w:rPr>
              <w:t>磋商及响应文件提交</w:t>
            </w:r>
            <w:r>
              <w:rPr>
                <w:rFonts w:asciiTheme="minorEastAsia" w:hAnsiTheme="minorEastAsia" w:eastAsiaTheme="minorEastAsia"/>
                <w:bCs/>
                <w:color w:val="auto"/>
                <w:sz w:val="24"/>
                <w:szCs w:val="24"/>
                <w:highlight w:val="none"/>
              </w:rPr>
              <w:t>阶段的规定，按</w:t>
            </w:r>
            <w:r>
              <w:rPr>
                <w:rFonts w:hint="eastAsia" w:asciiTheme="minorEastAsia" w:hAnsiTheme="minorEastAsia" w:eastAsiaTheme="minorEastAsia"/>
                <w:bCs/>
                <w:color w:val="auto"/>
                <w:sz w:val="24"/>
                <w:szCs w:val="24"/>
                <w:highlight w:val="none"/>
              </w:rPr>
              <w:t>竞争性磋商</w:t>
            </w:r>
            <w:r>
              <w:rPr>
                <w:rFonts w:asciiTheme="minorEastAsia" w:hAnsiTheme="minorEastAsia" w:eastAsiaTheme="minorEastAsia"/>
                <w:bCs/>
                <w:color w:val="auto"/>
                <w:sz w:val="24"/>
                <w:szCs w:val="24"/>
                <w:highlight w:val="none"/>
              </w:rPr>
              <w:t>公告、</w:t>
            </w:r>
            <w:r>
              <w:rPr>
                <w:rFonts w:hint="eastAsia" w:asciiTheme="minorEastAsia" w:hAnsiTheme="minorEastAsia" w:eastAsiaTheme="minorEastAsia"/>
                <w:bCs/>
                <w:color w:val="auto"/>
                <w:sz w:val="24"/>
                <w:szCs w:val="24"/>
                <w:highlight w:val="none"/>
              </w:rPr>
              <w:t>磋商邀请、供应商</w:t>
            </w:r>
            <w:r>
              <w:rPr>
                <w:rFonts w:asciiTheme="minorEastAsia" w:hAnsiTheme="minorEastAsia" w:eastAsiaTheme="minorEastAsia"/>
                <w:bCs/>
                <w:color w:val="auto"/>
                <w:sz w:val="24"/>
                <w:szCs w:val="24"/>
                <w:highlight w:val="none"/>
              </w:rPr>
              <w:t>须知、评</w:t>
            </w:r>
            <w:r>
              <w:rPr>
                <w:rFonts w:hint="eastAsia" w:asciiTheme="minorEastAsia" w:hAnsiTheme="minorEastAsia" w:eastAsiaTheme="minorEastAsia"/>
                <w:bCs/>
                <w:color w:val="auto"/>
                <w:sz w:val="24"/>
                <w:szCs w:val="24"/>
                <w:highlight w:val="none"/>
              </w:rPr>
              <w:t>审方</w:t>
            </w:r>
            <w:r>
              <w:rPr>
                <w:rFonts w:asciiTheme="minorEastAsia" w:hAnsiTheme="minorEastAsia" w:eastAsiaTheme="minorEastAsia"/>
                <w:bCs/>
                <w:color w:val="auto"/>
                <w:sz w:val="24"/>
                <w:szCs w:val="24"/>
                <w:highlight w:val="none"/>
              </w:rPr>
              <w:t>法</w:t>
            </w:r>
            <w:r>
              <w:rPr>
                <w:rFonts w:hint="eastAsia" w:asciiTheme="minorEastAsia" w:hAnsiTheme="minorEastAsia" w:eastAsiaTheme="minorEastAsia"/>
                <w:bCs/>
                <w:color w:val="auto"/>
                <w:sz w:val="24"/>
                <w:szCs w:val="24"/>
                <w:highlight w:val="none"/>
              </w:rPr>
              <w:t>和标准</w:t>
            </w:r>
            <w:r>
              <w:rPr>
                <w:rFonts w:asciiTheme="minorEastAsia" w:hAnsiTheme="minorEastAsia" w:eastAsiaTheme="minorEastAsia"/>
                <w:bCs/>
                <w:color w:val="auto"/>
                <w:sz w:val="24"/>
                <w:szCs w:val="24"/>
                <w:highlight w:val="none"/>
              </w:rPr>
              <w:t>、</w:t>
            </w:r>
            <w:r>
              <w:rPr>
                <w:rFonts w:hint="eastAsia" w:asciiTheme="minorEastAsia" w:hAnsiTheme="minorEastAsia" w:eastAsiaTheme="minorEastAsia"/>
                <w:bCs/>
                <w:color w:val="auto"/>
                <w:sz w:val="24"/>
                <w:szCs w:val="24"/>
                <w:highlight w:val="none"/>
              </w:rPr>
              <w:t>响应</w:t>
            </w:r>
            <w:r>
              <w:rPr>
                <w:rFonts w:asciiTheme="minorEastAsia" w:hAnsiTheme="minorEastAsia" w:eastAsiaTheme="minorEastAsia"/>
                <w:bCs/>
                <w:color w:val="auto"/>
                <w:sz w:val="24"/>
                <w:szCs w:val="24"/>
                <w:highlight w:val="none"/>
              </w:rPr>
              <w:t>文件格式的先后顺序解释；</w:t>
            </w:r>
          </w:p>
          <w:p w14:paraId="687E1652">
            <w:pPr>
              <w:pStyle w:val="73"/>
              <w:widowControl w:val="0"/>
              <w:spacing w:before="0" w:beforeAutospacing="0" w:after="0" w:afterAutospacing="0" w:line="360" w:lineRule="auto"/>
              <w:jc w:val="both"/>
              <w:rPr>
                <w:rFonts w:asciiTheme="minorEastAsia" w:hAnsiTheme="minorEastAsia" w:eastAsiaTheme="minorEastAsia"/>
                <w:b w:val="0"/>
                <w:color w:val="auto"/>
                <w:sz w:val="24"/>
                <w:szCs w:val="24"/>
                <w:highlight w:val="none"/>
              </w:rPr>
            </w:pPr>
            <w:r>
              <w:rPr>
                <w:rFonts w:hint="eastAsia" w:asciiTheme="minorEastAsia" w:hAnsiTheme="minorEastAsia" w:eastAsiaTheme="minorEastAsia"/>
                <w:b w:val="0"/>
                <w:color w:val="auto"/>
                <w:sz w:val="24"/>
                <w:szCs w:val="24"/>
                <w:highlight w:val="none"/>
              </w:rPr>
              <w:t>（5）</w:t>
            </w:r>
            <w:r>
              <w:rPr>
                <w:rFonts w:asciiTheme="minorEastAsia" w:hAnsiTheme="minorEastAsia" w:eastAsiaTheme="minorEastAsia"/>
                <w:b w:val="0"/>
                <w:color w:val="auto"/>
                <w:sz w:val="24"/>
                <w:szCs w:val="24"/>
                <w:highlight w:val="none"/>
              </w:rPr>
              <w:t>按本款前述规定仍不能形成结论的，由</w:t>
            </w:r>
            <w:r>
              <w:rPr>
                <w:rFonts w:hint="eastAsia" w:asciiTheme="minorEastAsia" w:hAnsiTheme="minorEastAsia" w:eastAsiaTheme="minorEastAsia"/>
                <w:b w:val="0"/>
                <w:color w:val="auto"/>
                <w:sz w:val="24"/>
                <w:szCs w:val="24"/>
                <w:highlight w:val="none"/>
              </w:rPr>
              <w:t>采购</w:t>
            </w:r>
            <w:r>
              <w:rPr>
                <w:rFonts w:asciiTheme="minorEastAsia" w:hAnsiTheme="minorEastAsia" w:eastAsiaTheme="minorEastAsia"/>
                <w:b w:val="0"/>
                <w:color w:val="auto"/>
                <w:sz w:val="24"/>
                <w:szCs w:val="24"/>
                <w:highlight w:val="none"/>
              </w:rPr>
              <w:t>人负责解释。</w:t>
            </w:r>
          </w:p>
        </w:tc>
      </w:tr>
    </w:tbl>
    <w:p w14:paraId="11E15A62">
      <w:pPr>
        <w:spacing w:line="360" w:lineRule="auto"/>
        <w:jc w:val="both"/>
        <w:outlineLvl w:val="1"/>
        <w:rPr>
          <w:rFonts w:asciiTheme="minorEastAsia" w:hAnsiTheme="minorEastAsia" w:eastAsiaTheme="minorEastAsia"/>
          <w:b/>
          <w:color w:val="auto"/>
          <w:sz w:val="24"/>
          <w:highlight w:val="none"/>
        </w:rPr>
      </w:pPr>
      <w:r>
        <w:rPr>
          <w:rFonts w:asciiTheme="minorEastAsia" w:hAnsiTheme="minorEastAsia" w:eastAsiaTheme="minorEastAsia"/>
          <w:b/>
          <w:color w:val="auto"/>
          <w:sz w:val="28"/>
          <w:highlight w:val="none"/>
        </w:rPr>
        <w:br w:type="page"/>
      </w:r>
      <w:bookmarkStart w:id="37" w:name="_Toc26858"/>
      <w:bookmarkStart w:id="38" w:name="_Toc18784"/>
      <w:bookmarkStart w:id="39" w:name="_Toc19955"/>
      <w:r>
        <w:rPr>
          <w:rFonts w:hint="eastAsia" w:asciiTheme="minorEastAsia" w:hAnsiTheme="minorEastAsia" w:eastAsiaTheme="minorEastAsia"/>
          <w:b/>
          <w:color w:val="auto"/>
          <w:sz w:val="24"/>
          <w:highlight w:val="none"/>
        </w:rPr>
        <w:t>二、供应商</w:t>
      </w:r>
      <w:r>
        <w:rPr>
          <w:rFonts w:asciiTheme="minorEastAsia" w:hAnsiTheme="minorEastAsia" w:eastAsiaTheme="minorEastAsia"/>
          <w:b/>
          <w:color w:val="auto"/>
          <w:sz w:val="24"/>
          <w:highlight w:val="none"/>
        </w:rPr>
        <w:t>须知</w:t>
      </w:r>
      <w:r>
        <w:rPr>
          <w:rFonts w:hint="eastAsia" w:asciiTheme="minorEastAsia" w:hAnsiTheme="minorEastAsia" w:eastAsiaTheme="minorEastAsia"/>
          <w:b/>
          <w:color w:val="auto"/>
          <w:sz w:val="24"/>
          <w:highlight w:val="none"/>
        </w:rPr>
        <w:t>正文</w:t>
      </w:r>
      <w:bookmarkEnd w:id="37"/>
      <w:bookmarkEnd w:id="38"/>
      <w:bookmarkEnd w:id="39"/>
    </w:p>
    <w:p w14:paraId="6AD74C97">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采购人、采购代理机构及供应商</w:t>
      </w:r>
    </w:p>
    <w:p w14:paraId="01E6F0F0">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.1采购人：是指依法开展政府采购活动的国家机关、事业单位、团体组织。</w:t>
      </w:r>
    </w:p>
    <w:p w14:paraId="58DC7DD2">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.3政府采购监督管理部门：</w:t>
      </w:r>
      <w:r>
        <w:rPr>
          <w:rFonts w:hint="eastAsia"/>
          <w:color w:val="auto"/>
          <w:sz w:val="24"/>
          <w:highlight w:val="none"/>
        </w:rPr>
        <w:t>各级人民政府指定的有关部门依法履行与政府采购活动有关的监督管理职责。</w:t>
      </w:r>
    </w:p>
    <w:p w14:paraId="3AF5CD1E">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.4</w:t>
      </w:r>
      <w:r>
        <w:rPr>
          <w:rFonts w:hint="eastAsia"/>
          <w:color w:val="auto"/>
          <w:sz w:val="24"/>
          <w:highlight w:val="none"/>
        </w:rPr>
        <w:t>供应商</w:t>
      </w:r>
      <w:r>
        <w:rPr>
          <w:color w:val="auto"/>
          <w:sz w:val="24"/>
          <w:highlight w:val="none"/>
        </w:rPr>
        <w:t>：是指向采购人提供货物、工程或者服务的法人、</w:t>
      </w:r>
      <w:r>
        <w:rPr>
          <w:rFonts w:hint="eastAsia"/>
          <w:color w:val="auto"/>
          <w:sz w:val="24"/>
          <w:highlight w:val="none"/>
          <w:lang w:val="en-US" w:eastAsia="zh-CN"/>
        </w:rPr>
        <w:t>其他</w:t>
      </w:r>
      <w:r>
        <w:rPr>
          <w:color w:val="auto"/>
          <w:sz w:val="24"/>
          <w:highlight w:val="none"/>
        </w:rPr>
        <w:t>组织或者自然人。</w:t>
      </w:r>
      <w:r>
        <w:rPr>
          <w:rFonts w:hint="eastAsia"/>
          <w:color w:val="auto"/>
          <w:sz w:val="24"/>
          <w:highlight w:val="none"/>
        </w:rPr>
        <w:t>分支机构不得参加政府采购活动，但银行、保险、石油石化、电力、电信等特殊行业除外。</w:t>
      </w:r>
      <w:r>
        <w:rPr>
          <w:color w:val="auto"/>
          <w:sz w:val="24"/>
          <w:highlight w:val="none"/>
        </w:rPr>
        <w:t>本项目的</w:t>
      </w:r>
      <w:r>
        <w:rPr>
          <w:rFonts w:hint="eastAsia"/>
          <w:color w:val="auto"/>
          <w:sz w:val="24"/>
          <w:highlight w:val="none"/>
        </w:rPr>
        <w:t>供应商</w:t>
      </w:r>
      <w:r>
        <w:rPr>
          <w:color w:val="auto"/>
          <w:sz w:val="24"/>
          <w:highlight w:val="none"/>
        </w:rPr>
        <w:t>须满足以下条件：</w:t>
      </w:r>
    </w:p>
    <w:p w14:paraId="0E62FF5E">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.4.</w:t>
      </w:r>
      <w:r>
        <w:rPr>
          <w:rFonts w:hint="eastAsia"/>
          <w:color w:val="auto"/>
          <w:sz w:val="24"/>
          <w:highlight w:val="none"/>
          <w:lang w:val="en-US" w:eastAsia="zh-CN"/>
        </w:rPr>
        <w:t>1</w:t>
      </w:r>
      <w:r>
        <w:rPr>
          <w:color w:val="auto"/>
          <w:sz w:val="24"/>
          <w:highlight w:val="none"/>
        </w:rPr>
        <w:t>具备《中华人民共和国政府采购法》第二十二条关于供应商条件的规定，遵守本项目采购人本级和上级财政部门政府采购的有关规定。</w:t>
      </w:r>
    </w:p>
    <w:p w14:paraId="599871FA">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.4.</w:t>
      </w:r>
      <w:r>
        <w:rPr>
          <w:rFonts w:hint="eastAsia"/>
          <w:color w:val="auto"/>
          <w:sz w:val="24"/>
          <w:highlight w:val="none"/>
          <w:lang w:val="en-US" w:eastAsia="zh-CN"/>
        </w:rPr>
        <w:t>2</w:t>
      </w:r>
      <w:r>
        <w:rPr>
          <w:color w:val="auto"/>
          <w:sz w:val="24"/>
          <w:highlight w:val="none"/>
        </w:rPr>
        <w:t>以采购代理机构认可的方式获得了本项目的</w:t>
      </w:r>
      <w:r>
        <w:rPr>
          <w:rFonts w:hint="eastAsia"/>
          <w:color w:val="auto"/>
          <w:sz w:val="24"/>
          <w:highlight w:val="none"/>
        </w:rPr>
        <w:t>磋商</w:t>
      </w:r>
      <w:r>
        <w:rPr>
          <w:color w:val="auto"/>
          <w:sz w:val="24"/>
          <w:highlight w:val="none"/>
        </w:rPr>
        <w:t>文件。</w:t>
      </w:r>
    </w:p>
    <w:p w14:paraId="23A688EF">
      <w:pPr>
        <w:spacing w:line="360" w:lineRule="auto"/>
        <w:ind w:firstLine="435"/>
        <w:rPr>
          <w:color w:val="auto"/>
          <w:sz w:val="24"/>
          <w:highlight w:val="none"/>
        </w:rPr>
      </w:pPr>
      <w:r>
        <w:rPr>
          <w:rFonts w:hint="eastAsia"/>
          <w:bCs/>
          <w:color w:val="auto"/>
          <w:sz w:val="24"/>
          <w:szCs w:val="28"/>
          <w:highlight w:val="none"/>
          <w:lang w:val="en-US" w:eastAsia="zh-CN"/>
        </w:rPr>
        <w:t>1</w:t>
      </w:r>
      <w:r>
        <w:rPr>
          <w:bCs/>
          <w:color w:val="auto"/>
          <w:sz w:val="24"/>
          <w:szCs w:val="28"/>
          <w:highlight w:val="none"/>
        </w:rPr>
        <w:t>.5</w:t>
      </w:r>
      <w:r>
        <w:rPr>
          <w:rFonts w:hint="eastAsia"/>
          <w:bCs/>
          <w:color w:val="auto"/>
          <w:sz w:val="24"/>
          <w:szCs w:val="28"/>
          <w:highlight w:val="none"/>
        </w:rPr>
        <w:t>若竞争性磋商公告</w:t>
      </w:r>
      <w:r>
        <w:rPr>
          <w:bCs/>
          <w:color w:val="auto"/>
          <w:sz w:val="24"/>
          <w:szCs w:val="28"/>
          <w:highlight w:val="none"/>
        </w:rPr>
        <w:t>中允许联合体</w:t>
      </w:r>
      <w:r>
        <w:rPr>
          <w:rFonts w:hint="eastAsia"/>
          <w:bCs/>
          <w:color w:val="auto"/>
          <w:sz w:val="24"/>
          <w:szCs w:val="28"/>
          <w:highlight w:val="none"/>
        </w:rPr>
        <w:t>参加磋商</w:t>
      </w:r>
      <w:r>
        <w:rPr>
          <w:bCs/>
          <w:color w:val="auto"/>
          <w:sz w:val="24"/>
          <w:szCs w:val="28"/>
          <w:highlight w:val="none"/>
        </w:rPr>
        <w:t>，对联合体规定如下：</w:t>
      </w:r>
    </w:p>
    <w:p w14:paraId="2A751B14">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.1</w:t>
      </w:r>
      <w:r>
        <w:rPr>
          <w:rFonts w:hint="eastAsia"/>
          <w:color w:val="auto"/>
          <w:sz w:val="24"/>
          <w:highlight w:val="none"/>
        </w:rPr>
        <w:t>两个以上供应商可以组成一个磋商联合体，以一个供应商的身份磋商</w:t>
      </w:r>
      <w:r>
        <w:rPr>
          <w:color w:val="auto"/>
          <w:sz w:val="24"/>
          <w:highlight w:val="none"/>
        </w:rPr>
        <w:t>。</w:t>
      </w:r>
      <w:r>
        <w:rPr>
          <w:b w:val="0"/>
          <w:sz w:val="24"/>
        </w:rPr>
        <w:t>联合体参加磋商的，</w:t>
      </w:r>
      <w:r>
        <w:rPr>
          <w:rFonts w:hint="eastAsia"/>
          <w:b w:val="0"/>
          <w:sz w:val="24"/>
        </w:rPr>
        <w:t>磋商文件获取</w:t>
      </w:r>
      <w:r>
        <w:rPr>
          <w:b w:val="0"/>
          <w:sz w:val="24"/>
        </w:rPr>
        <w:t>手续由联合体</w:t>
      </w:r>
      <w:r>
        <w:rPr>
          <w:rFonts w:hint="eastAsia"/>
          <w:b w:val="0"/>
          <w:sz w:val="24"/>
        </w:rPr>
        <w:t>中</w:t>
      </w:r>
      <w:r>
        <w:rPr>
          <w:b w:val="0"/>
          <w:sz w:val="24"/>
        </w:rPr>
        <w:t>任一</w:t>
      </w:r>
      <w:r>
        <w:rPr>
          <w:rFonts w:hint="eastAsia"/>
          <w:b w:val="0"/>
          <w:sz w:val="24"/>
        </w:rPr>
        <w:t>成员单位</w:t>
      </w:r>
      <w:r>
        <w:rPr>
          <w:b w:val="0"/>
          <w:sz w:val="24"/>
        </w:rPr>
        <w:t>办理均可。</w:t>
      </w:r>
    </w:p>
    <w:p w14:paraId="5F88EE37">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.2联合体各方均应符合《中华人民共和国政府采购法》第二十二条规定的条件。</w:t>
      </w:r>
    </w:p>
    <w:p w14:paraId="3244A195">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.3采购人根据采购项目对</w:t>
      </w:r>
      <w:r>
        <w:rPr>
          <w:rFonts w:hint="eastAsia"/>
          <w:color w:val="auto"/>
          <w:sz w:val="24"/>
          <w:highlight w:val="none"/>
        </w:rPr>
        <w:t>供应商</w:t>
      </w:r>
      <w:r>
        <w:rPr>
          <w:color w:val="auto"/>
          <w:sz w:val="24"/>
          <w:highlight w:val="none"/>
        </w:rPr>
        <w:t>的特殊要求，联合体中至少应当有一方符合相关规定。</w:t>
      </w:r>
    </w:p>
    <w:p w14:paraId="1C9EAF88">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.4联合体各方应签订</w:t>
      </w:r>
      <w:r>
        <w:rPr>
          <w:rFonts w:hint="eastAsia"/>
          <w:color w:val="auto"/>
          <w:sz w:val="24"/>
          <w:highlight w:val="none"/>
        </w:rPr>
        <w:t>联合协议</w:t>
      </w:r>
      <w:r>
        <w:rPr>
          <w:color w:val="auto"/>
          <w:sz w:val="24"/>
          <w:highlight w:val="none"/>
        </w:rPr>
        <w:t>，明确约定联合体各方承担的工作和相应的责任，并将</w:t>
      </w:r>
      <w:r>
        <w:rPr>
          <w:rFonts w:hint="eastAsia"/>
          <w:color w:val="auto"/>
          <w:sz w:val="24"/>
          <w:highlight w:val="none"/>
        </w:rPr>
        <w:t>联合协议</w:t>
      </w:r>
      <w:r>
        <w:rPr>
          <w:color w:val="auto"/>
          <w:sz w:val="24"/>
          <w:highlight w:val="none"/>
        </w:rPr>
        <w:t>作为</w:t>
      </w:r>
      <w:r>
        <w:rPr>
          <w:rFonts w:hint="eastAsia"/>
          <w:color w:val="auto"/>
          <w:sz w:val="24"/>
          <w:highlight w:val="none"/>
        </w:rPr>
        <w:t>响应</w:t>
      </w:r>
      <w:r>
        <w:rPr>
          <w:color w:val="auto"/>
          <w:sz w:val="24"/>
          <w:highlight w:val="none"/>
        </w:rPr>
        <w:t>文件</w:t>
      </w:r>
      <w:r>
        <w:rPr>
          <w:rFonts w:hint="eastAsia"/>
          <w:color w:val="auto"/>
          <w:sz w:val="24"/>
          <w:highlight w:val="none"/>
        </w:rPr>
        <w:t>的</w:t>
      </w:r>
      <w:r>
        <w:rPr>
          <w:color w:val="auto"/>
          <w:sz w:val="24"/>
          <w:highlight w:val="none"/>
        </w:rPr>
        <w:t>一部分提交。</w:t>
      </w:r>
    </w:p>
    <w:p w14:paraId="115B755F">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.5大中型企业、其他自然人、法人或者非法人组织与小型、微型企业组成联合体共同参加</w:t>
      </w:r>
      <w:r>
        <w:rPr>
          <w:rFonts w:hint="eastAsia"/>
          <w:color w:val="auto"/>
          <w:sz w:val="24"/>
          <w:highlight w:val="none"/>
        </w:rPr>
        <w:t>磋商</w:t>
      </w:r>
      <w:r>
        <w:rPr>
          <w:color w:val="auto"/>
          <w:sz w:val="24"/>
          <w:highlight w:val="none"/>
        </w:rPr>
        <w:t>，</w:t>
      </w:r>
      <w:r>
        <w:rPr>
          <w:rFonts w:hint="eastAsia"/>
          <w:color w:val="auto"/>
          <w:sz w:val="24"/>
          <w:highlight w:val="none"/>
        </w:rPr>
        <w:t>联合协议中</w:t>
      </w:r>
      <w:r>
        <w:rPr>
          <w:color w:val="auto"/>
          <w:sz w:val="24"/>
          <w:highlight w:val="none"/>
        </w:rPr>
        <w:t>应写明小型、微型企业的协议合同金额占到</w:t>
      </w:r>
      <w:r>
        <w:rPr>
          <w:rFonts w:hint="eastAsia"/>
          <w:color w:val="auto"/>
          <w:sz w:val="24"/>
          <w:highlight w:val="none"/>
        </w:rPr>
        <w:t>联合协议合同</w:t>
      </w:r>
      <w:r>
        <w:rPr>
          <w:color w:val="auto"/>
          <w:sz w:val="24"/>
          <w:highlight w:val="none"/>
        </w:rPr>
        <w:t>总金额的比例。</w:t>
      </w:r>
    </w:p>
    <w:p w14:paraId="7359CAC8">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.5.6</w:t>
      </w:r>
      <w:r>
        <w:rPr>
          <w:rFonts w:hint="eastAsia"/>
          <w:color w:val="auto"/>
          <w:sz w:val="24"/>
          <w:highlight w:val="none"/>
        </w:rPr>
        <w:t>联合体中有同类资质的供应商按照联合体分工承担相同工作的，</w:t>
      </w:r>
      <w:r>
        <w:rPr>
          <w:color w:val="auto"/>
          <w:sz w:val="24"/>
          <w:highlight w:val="none"/>
        </w:rPr>
        <w:t>应当按照</w:t>
      </w:r>
      <w:r>
        <w:rPr>
          <w:rFonts w:hint="eastAsia"/>
          <w:color w:val="auto"/>
          <w:sz w:val="24"/>
          <w:highlight w:val="none"/>
        </w:rPr>
        <w:t>资质等级较低的供应商确定资质等级。</w:t>
      </w:r>
    </w:p>
    <w:p w14:paraId="46B038B7">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.7以联合体形式参加政府采购活动的，联合体各方不得再单独参加或者与其他供应商另外组成联合体参加本项目</w:t>
      </w:r>
      <w:r>
        <w:rPr>
          <w:rFonts w:hint="eastAsia"/>
          <w:color w:val="auto"/>
          <w:sz w:val="24"/>
          <w:highlight w:val="none"/>
        </w:rPr>
        <w:t>磋商</w:t>
      </w:r>
      <w:r>
        <w:rPr>
          <w:color w:val="auto"/>
          <w:sz w:val="24"/>
          <w:highlight w:val="none"/>
        </w:rPr>
        <w:t>，否则相关</w:t>
      </w:r>
      <w:r>
        <w:rPr>
          <w:rFonts w:hint="eastAsia"/>
          <w:color w:val="auto"/>
          <w:sz w:val="24"/>
          <w:highlight w:val="none"/>
        </w:rPr>
        <w:t>响应文件将被认定为</w:t>
      </w:r>
      <w:r>
        <w:rPr>
          <w:rFonts w:hint="eastAsia"/>
          <w:b/>
          <w:color w:val="auto"/>
          <w:sz w:val="24"/>
          <w:highlight w:val="none"/>
        </w:rPr>
        <w:t>响应无效</w:t>
      </w:r>
      <w:r>
        <w:rPr>
          <w:color w:val="auto"/>
          <w:sz w:val="24"/>
          <w:highlight w:val="none"/>
        </w:rPr>
        <w:t>。</w:t>
      </w:r>
    </w:p>
    <w:p w14:paraId="5097C15C">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.8对联合体参加磋商的其他资格要求见</w:t>
      </w:r>
      <w:r>
        <w:rPr>
          <w:rFonts w:hint="eastAsia" w:ascii="宋体" w:hAnsi="宋体" w:eastAsia="宋体"/>
          <w:color w:val="auto"/>
          <w:sz w:val="24"/>
          <w:highlight w:val="none"/>
          <w:lang w:val="en-US" w:eastAsia="zh-CN"/>
        </w:rPr>
        <w:t>申请人的</w:t>
      </w:r>
      <w:r>
        <w:rPr>
          <w:rFonts w:hint="eastAsia" w:ascii="宋体" w:hAnsi="宋体" w:eastAsia="宋体"/>
          <w:color w:val="auto"/>
          <w:sz w:val="24"/>
          <w:highlight w:val="none"/>
        </w:rPr>
        <w:t>资格</w:t>
      </w:r>
      <w:r>
        <w:rPr>
          <w:rFonts w:hint="eastAsia" w:ascii="宋体" w:hAnsi="宋体" w:eastAsia="宋体"/>
          <w:color w:val="auto"/>
          <w:sz w:val="24"/>
          <w:highlight w:val="none"/>
          <w:lang w:val="en-US" w:eastAsia="zh-CN"/>
        </w:rPr>
        <w:t>要求</w:t>
      </w:r>
      <w:r>
        <w:rPr>
          <w:color w:val="auto"/>
          <w:sz w:val="24"/>
          <w:highlight w:val="none"/>
        </w:rPr>
        <w:t>。</w:t>
      </w:r>
    </w:p>
    <w:p w14:paraId="6089FAAD">
      <w:pPr>
        <w:spacing w:line="360" w:lineRule="auto"/>
        <w:ind w:firstLine="437"/>
        <w:outlineLvl w:val="2"/>
        <w:rPr>
          <w:rFonts w:hint="default" w:asciiTheme="minorEastAsia" w:hAnsiTheme="minorEastAsia" w:eastAsiaTheme="minorEastAsia"/>
          <w:b/>
          <w:color w:val="auto"/>
          <w:sz w:val="24"/>
          <w:highlight w:val="none"/>
          <w:lang w:val="en-US" w:eastAsia="zh-CN"/>
        </w:rPr>
      </w:pPr>
      <w:r>
        <w:rPr>
          <w:rFonts w:hint="eastAsia" w:asciiTheme="minorEastAsia" w:hAnsiTheme="minorEastAsia" w:eastAsiaTheme="minorEastAsia"/>
          <w:b/>
          <w:color w:val="auto"/>
          <w:sz w:val="24"/>
          <w:highlight w:val="none"/>
          <w:lang w:val="en-US" w:eastAsia="zh-CN"/>
        </w:rPr>
        <w:t>2</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资金</w:t>
      </w:r>
      <w:r>
        <w:rPr>
          <w:rFonts w:hint="eastAsia" w:asciiTheme="minorEastAsia" w:hAnsiTheme="minorEastAsia" w:eastAsiaTheme="minorEastAsia"/>
          <w:b/>
          <w:color w:val="auto"/>
          <w:sz w:val="24"/>
          <w:highlight w:val="none"/>
          <w:lang w:val="en-US" w:eastAsia="zh-CN"/>
        </w:rPr>
        <w:t>落实情况</w:t>
      </w:r>
    </w:p>
    <w:p w14:paraId="3D00CF49">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.1本项目的采购人已获得足以支付本次磋商后所签订的合同项下的资金。</w:t>
      </w:r>
    </w:p>
    <w:p w14:paraId="4500E7A4">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3</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磋商费用</w:t>
      </w:r>
    </w:p>
    <w:p w14:paraId="3B60660B">
      <w:pPr>
        <w:spacing w:line="360" w:lineRule="auto"/>
        <w:ind w:firstLine="437"/>
        <w:rPr>
          <w:color w:val="auto"/>
          <w:sz w:val="24"/>
          <w:highlight w:val="none"/>
        </w:rPr>
      </w:pPr>
      <w:r>
        <w:rPr>
          <w:rFonts w:hint="eastAsia"/>
          <w:color w:val="auto"/>
          <w:sz w:val="24"/>
          <w:highlight w:val="none"/>
        </w:rPr>
        <w:t>不论磋商的结果如何，供应商应承担其所有与准备和参加磋商有关的费用。</w:t>
      </w:r>
    </w:p>
    <w:p w14:paraId="5F38BC55">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4</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适用法律</w:t>
      </w:r>
    </w:p>
    <w:p w14:paraId="62A4AF62">
      <w:pPr>
        <w:spacing w:line="360" w:lineRule="auto"/>
        <w:ind w:firstLine="435"/>
        <w:rPr>
          <w:rFonts w:asciiTheme="minorEastAsia" w:hAnsiTheme="minorEastAsia" w:eastAsiaTheme="minorEastAsia"/>
          <w:color w:val="auto"/>
          <w:sz w:val="24"/>
          <w:highlight w:val="none"/>
        </w:rPr>
      </w:pPr>
      <w:r>
        <w:rPr>
          <w:rFonts w:hint="eastAsia"/>
          <w:color w:val="auto"/>
          <w:sz w:val="24"/>
          <w:highlight w:val="none"/>
        </w:rPr>
        <w:t>本项目采购人、采购代理机构、供应商、磋商小组的相关行为均受《中华人民共和国政府采购法》、《中华人民共和国政府采购法实施条例》及本项目本级和上级财政部门、政府采购监督管理部门的政府采购有关规定的约束，其权利受到上述法律法规的保护。</w:t>
      </w:r>
    </w:p>
    <w:p w14:paraId="49C6B85A">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5</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磋商文件构成</w:t>
      </w:r>
    </w:p>
    <w:p w14:paraId="29BD6CCE">
      <w:pPr>
        <w:spacing w:line="360" w:lineRule="auto"/>
        <w:ind w:firstLine="435"/>
        <w:rPr>
          <w:color w:val="auto"/>
          <w:sz w:val="24"/>
          <w:highlight w:val="none"/>
        </w:rPr>
      </w:pPr>
      <w:r>
        <w:rPr>
          <w:rFonts w:hint="eastAsia"/>
          <w:color w:val="auto"/>
          <w:sz w:val="24"/>
          <w:highlight w:val="none"/>
          <w:lang w:val="en-US" w:eastAsia="zh-CN"/>
        </w:rPr>
        <w:t>5</w:t>
      </w:r>
      <w:r>
        <w:rPr>
          <w:rFonts w:hint="eastAsia"/>
          <w:color w:val="auto"/>
          <w:sz w:val="24"/>
          <w:highlight w:val="none"/>
        </w:rPr>
        <w:t>.1磋商文件包括下列内容：</w:t>
      </w:r>
    </w:p>
    <w:p w14:paraId="3350B14C">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第一章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磋商邀请</w:t>
      </w:r>
    </w:p>
    <w:p w14:paraId="1153AAFA">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第二章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须知</w:t>
      </w:r>
    </w:p>
    <w:p w14:paraId="01E7B417">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第三章</w:t>
      </w:r>
      <w:r>
        <w:rPr>
          <w:rFonts w:asciiTheme="minorEastAsia" w:hAnsiTheme="minorEastAsia" w:eastAsiaTheme="minorEastAsia"/>
          <w:color w:val="auto"/>
          <w:sz w:val="24"/>
          <w:highlight w:val="none"/>
        </w:rPr>
        <w:t xml:space="preserve">  采购需求</w:t>
      </w:r>
    </w:p>
    <w:p w14:paraId="0C307950">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第四章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评审方法</w:t>
      </w:r>
      <w:r>
        <w:rPr>
          <w:rFonts w:asciiTheme="minorEastAsia" w:hAnsiTheme="minorEastAsia" w:eastAsiaTheme="minorEastAsia"/>
          <w:color w:val="auto"/>
          <w:sz w:val="24"/>
          <w:highlight w:val="none"/>
        </w:rPr>
        <w:t>和标准</w:t>
      </w:r>
    </w:p>
    <w:p w14:paraId="124A637B">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第五章</w:t>
      </w:r>
      <w:r>
        <w:rPr>
          <w:rFonts w:asciiTheme="minorEastAsia" w:hAnsiTheme="minorEastAsia" w:eastAsiaTheme="minorEastAsia"/>
          <w:color w:val="auto"/>
          <w:sz w:val="24"/>
          <w:highlight w:val="none"/>
        </w:rPr>
        <w:t xml:space="preserve">  政府采购合同</w:t>
      </w:r>
    </w:p>
    <w:p w14:paraId="48AA290E">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第六章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响应</w:t>
      </w:r>
      <w:r>
        <w:rPr>
          <w:rFonts w:asciiTheme="minorEastAsia" w:hAnsiTheme="minorEastAsia" w:eastAsiaTheme="minorEastAsia"/>
          <w:color w:val="auto"/>
          <w:sz w:val="24"/>
          <w:highlight w:val="none"/>
        </w:rPr>
        <w:t>文件格式</w:t>
      </w:r>
    </w:p>
    <w:p w14:paraId="3702BBA6">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w:t>
      </w:r>
      <w:r>
        <w:rPr>
          <w:rFonts w:hint="eastAsia" w:asciiTheme="minorEastAsia" w:hAnsiTheme="minorEastAsia" w:eastAsiaTheme="minorEastAsia"/>
          <w:color w:val="auto"/>
          <w:sz w:val="24"/>
          <w:highlight w:val="none"/>
          <w:lang w:val="en-US" w:eastAsia="zh-CN"/>
        </w:rPr>
        <w:t>七</w:t>
      </w:r>
      <w:r>
        <w:rPr>
          <w:rFonts w:hint="eastAsia" w:asciiTheme="minorEastAsia" w:hAnsiTheme="minorEastAsia" w:eastAsiaTheme="minorEastAsia"/>
          <w:color w:val="auto"/>
          <w:sz w:val="24"/>
          <w:highlight w:val="none"/>
        </w:rPr>
        <w:t>章</w:t>
      </w:r>
      <w:r>
        <w:rPr>
          <w:rFonts w:asciiTheme="minorEastAsia" w:hAnsiTheme="minorEastAsia" w:eastAsiaTheme="minorEastAsia"/>
          <w:color w:val="auto"/>
          <w:sz w:val="24"/>
          <w:highlight w:val="none"/>
        </w:rPr>
        <w:t xml:space="preserve">  政府采购供应商</w:t>
      </w:r>
      <w:r>
        <w:rPr>
          <w:rFonts w:hint="eastAsia" w:asciiTheme="minorEastAsia" w:hAnsiTheme="minorEastAsia" w:eastAsiaTheme="minorEastAsia"/>
          <w:color w:val="auto"/>
          <w:sz w:val="24"/>
          <w:highlight w:val="none"/>
        </w:rPr>
        <w:t>询问函和</w:t>
      </w:r>
      <w:r>
        <w:rPr>
          <w:rFonts w:asciiTheme="minorEastAsia" w:hAnsiTheme="minorEastAsia" w:eastAsiaTheme="minorEastAsia"/>
          <w:color w:val="auto"/>
          <w:sz w:val="24"/>
          <w:highlight w:val="none"/>
        </w:rPr>
        <w:t>质疑函范本</w:t>
      </w:r>
    </w:p>
    <w:p w14:paraId="62096643">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5</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现场</w:t>
      </w:r>
      <w:r>
        <w:rPr>
          <w:rFonts w:hint="eastAsia" w:asciiTheme="minorEastAsia" w:hAnsiTheme="minorEastAsia" w:eastAsiaTheme="minorEastAsia"/>
          <w:color w:val="auto"/>
          <w:sz w:val="24"/>
          <w:highlight w:val="none"/>
        </w:rPr>
        <w:t>考察</w:t>
      </w:r>
      <w:r>
        <w:rPr>
          <w:rFonts w:hint="eastAsia" w:asciiTheme="minorEastAsia" w:hAnsiTheme="minorEastAsia" w:eastAsiaTheme="minorEastAsia"/>
          <w:color w:val="auto"/>
          <w:sz w:val="24"/>
          <w:highlight w:val="none"/>
          <w:lang w:eastAsia="zh-CN"/>
        </w:rPr>
        <w:t>（</w:t>
      </w:r>
      <w:r>
        <w:rPr>
          <w:rFonts w:hint="eastAsia" w:asciiTheme="minorEastAsia" w:hAnsiTheme="minorEastAsia" w:eastAsiaTheme="minorEastAsia"/>
          <w:color w:val="auto"/>
          <w:sz w:val="24"/>
          <w:highlight w:val="none"/>
          <w:lang w:val="en-US" w:eastAsia="zh-CN"/>
        </w:rPr>
        <w:t>标前答疑会</w:t>
      </w:r>
      <w:r>
        <w:rPr>
          <w:rFonts w:hint="eastAsia" w:asciiTheme="minorEastAsia" w:hAnsiTheme="minorEastAsia" w:eastAsiaTheme="minorEastAsia"/>
          <w:color w:val="auto"/>
          <w:sz w:val="24"/>
          <w:highlight w:val="none"/>
          <w:lang w:eastAsia="zh-CN"/>
        </w:rPr>
        <w:t>）</w:t>
      </w:r>
      <w:r>
        <w:rPr>
          <w:rFonts w:asciiTheme="minorEastAsia" w:hAnsiTheme="minorEastAsia" w:eastAsiaTheme="minorEastAsia"/>
          <w:color w:val="auto"/>
          <w:sz w:val="24"/>
          <w:highlight w:val="none"/>
        </w:rPr>
        <w:t>及相关事项见</w:t>
      </w:r>
      <w:r>
        <w:rPr>
          <w:rFonts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w:t>
      </w:r>
    </w:p>
    <w:p w14:paraId="01F96620">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5</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3</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应认真阅读</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文件所有的事项、格式、条款和技术规范等。</w:t>
      </w:r>
    </w:p>
    <w:p w14:paraId="3BBDD842">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6</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磋商文件的澄清与修改</w:t>
      </w:r>
    </w:p>
    <w:p w14:paraId="215E9C67">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6</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1供应商</w:t>
      </w:r>
      <w:r>
        <w:rPr>
          <w:rFonts w:asciiTheme="minorEastAsia" w:hAnsiTheme="minorEastAsia" w:eastAsiaTheme="minorEastAsia"/>
          <w:color w:val="auto"/>
          <w:sz w:val="24"/>
          <w:highlight w:val="none"/>
        </w:rPr>
        <w:t>如对</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文件内容有疑问，必须在</w:t>
      </w:r>
      <w:r>
        <w:rPr>
          <w:color w:val="auto"/>
          <w:sz w:val="24"/>
          <w:highlight w:val="none"/>
          <w:u w:val="single"/>
        </w:rPr>
        <w:t>供应商须知前附表</w:t>
      </w:r>
      <w:r>
        <w:rPr>
          <w:rFonts w:asciiTheme="minorEastAsia" w:hAnsiTheme="minorEastAsia" w:eastAsiaTheme="minorEastAsia"/>
          <w:color w:val="auto"/>
          <w:sz w:val="24"/>
          <w:highlight w:val="none"/>
        </w:rPr>
        <w:t>规定的</w:t>
      </w:r>
      <w:r>
        <w:rPr>
          <w:rFonts w:hint="eastAsia" w:asciiTheme="minorEastAsia" w:hAnsiTheme="minorEastAsia" w:eastAsiaTheme="minorEastAsia"/>
          <w:color w:val="auto"/>
          <w:sz w:val="24"/>
          <w:highlight w:val="none"/>
        </w:rPr>
        <w:t>询问</w:t>
      </w:r>
      <w:r>
        <w:rPr>
          <w:rFonts w:asciiTheme="minorEastAsia" w:hAnsiTheme="minorEastAsia" w:eastAsiaTheme="minorEastAsia"/>
          <w:color w:val="auto"/>
          <w:sz w:val="24"/>
          <w:highlight w:val="none"/>
        </w:rPr>
        <w:t>截止时间前以</w:t>
      </w:r>
      <w:r>
        <w:rPr>
          <w:rFonts w:hint="eastAsia" w:asciiTheme="minorEastAsia" w:hAnsiTheme="minorEastAsia" w:eastAsiaTheme="minorEastAsia"/>
          <w:color w:val="auto"/>
          <w:sz w:val="24"/>
          <w:highlight w:val="none"/>
          <w:lang w:val="en-US" w:eastAsia="zh-CN"/>
        </w:rPr>
        <w:t>现场</w:t>
      </w:r>
      <w:r>
        <w:rPr>
          <w:rFonts w:asciiTheme="minorEastAsia" w:hAnsiTheme="minorEastAsia" w:eastAsiaTheme="minorEastAsia"/>
          <w:color w:val="auto"/>
          <w:sz w:val="24"/>
          <w:highlight w:val="none"/>
        </w:rPr>
        <w:t>提问形式提交给采购代理机构。</w:t>
      </w:r>
    </w:p>
    <w:p w14:paraId="74C3F7B3">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6</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2采购人可主动地或在</w:t>
      </w:r>
      <w:r>
        <w:rPr>
          <w:rFonts w:hint="eastAsia" w:asciiTheme="minorEastAsia" w:hAnsiTheme="minorEastAsia" w:eastAsiaTheme="minorEastAsia"/>
          <w:color w:val="auto"/>
          <w:sz w:val="24"/>
          <w:highlight w:val="none"/>
          <w:lang w:val="en-US" w:eastAsia="zh-CN"/>
        </w:rPr>
        <w:t>答复供应商</w:t>
      </w:r>
      <w:r>
        <w:rPr>
          <w:rFonts w:hint="eastAsia" w:asciiTheme="minorEastAsia" w:hAnsiTheme="minorEastAsia" w:eastAsiaTheme="minorEastAsia"/>
          <w:color w:val="auto"/>
          <w:sz w:val="24"/>
          <w:highlight w:val="none"/>
        </w:rPr>
        <w:t>提出的</w:t>
      </w:r>
      <w:r>
        <w:rPr>
          <w:rFonts w:hint="eastAsia" w:asciiTheme="minorEastAsia" w:hAnsiTheme="minorEastAsia" w:eastAsiaTheme="minorEastAsia"/>
          <w:color w:val="auto"/>
          <w:sz w:val="24"/>
          <w:highlight w:val="none"/>
          <w:lang w:val="en-US" w:eastAsia="zh-CN"/>
        </w:rPr>
        <w:t>询问</w:t>
      </w:r>
      <w:r>
        <w:rPr>
          <w:rFonts w:hint="eastAsia" w:asciiTheme="minorEastAsia" w:hAnsiTheme="minorEastAsia" w:eastAsiaTheme="minorEastAsia"/>
          <w:color w:val="auto"/>
          <w:sz w:val="24"/>
          <w:highlight w:val="none"/>
        </w:rPr>
        <w:t>时对</w:t>
      </w:r>
      <w:r>
        <w:rPr>
          <w:rFonts w:hint="eastAsia" w:asciiTheme="minorEastAsia" w:hAnsiTheme="minorEastAsia" w:eastAsiaTheme="minorEastAsia"/>
          <w:color w:val="auto"/>
          <w:sz w:val="24"/>
          <w:highlight w:val="none"/>
          <w:lang w:val="en-US" w:eastAsia="zh-CN"/>
        </w:rPr>
        <w:t>磋商</w:t>
      </w:r>
      <w:r>
        <w:rPr>
          <w:rFonts w:hint="eastAsia" w:asciiTheme="minorEastAsia" w:hAnsiTheme="minorEastAsia" w:eastAsiaTheme="minorEastAsia"/>
          <w:color w:val="auto"/>
          <w:sz w:val="24"/>
          <w:highlight w:val="none"/>
        </w:rPr>
        <w:t>文件进行澄清与修改。</w:t>
      </w:r>
      <w:r>
        <w:rPr>
          <w:rFonts w:asciiTheme="minorEastAsia" w:hAnsiTheme="minorEastAsia" w:eastAsiaTheme="minorEastAsia"/>
          <w:color w:val="auto"/>
          <w:sz w:val="24"/>
          <w:highlight w:val="none"/>
        </w:rPr>
        <w:t>采购代理机构将</w:t>
      </w:r>
      <w:r>
        <w:rPr>
          <w:rFonts w:hint="eastAsia" w:asciiTheme="minorEastAsia" w:hAnsiTheme="minorEastAsia" w:eastAsiaTheme="minorEastAsia"/>
          <w:color w:val="auto"/>
          <w:sz w:val="24"/>
          <w:highlight w:val="none"/>
        </w:rPr>
        <w:t>在</w:t>
      </w:r>
      <w:bookmarkStart w:id="40" w:name="_Hlk16458572"/>
      <w:r>
        <w:rPr>
          <w:rFonts w:hint="eastAsia" w:hAnsi="宋体"/>
          <w:b/>
          <w:bCs/>
          <w:kern w:val="0"/>
          <w:sz w:val="24"/>
          <w:szCs w:val="24"/>
          <w:lang w:eastAsia="zh-CN"/>
        </w:rPr>
        <w:t>安徽融城高新技术产业发展集团有限公司</w:t>
      </w:r>
      <w:r>
        <w:rPr>
          <w:rFonts w:hint="eastAsia"/>
          <w:b/>
          <w:bCs/>
          <w:color w:val="auto"/>
          <w:sz w:val="24"/>
          <w:szCs w:val="18"/>
          <w:highlight w:val="none"/>
        </w:rPr>
        <w:t>网</w:t>
      </w:r>
      <w:bookmarkEnd w:id="40"/>
      <w:r>
        <w:rPr>
          <w:rFonts w:hint="eastAsia" w:asciiTheme="minorEastAsia" w:hAnsiTheme="minorEastAsia" w:eastAsiaTheme="minorEastAsia"/>
          <w:color w:val="auto"/>
          <w:sz w:val="24"/>
          <w:highlight w:val="none"/>
        </w:rPr>
        <w:t>发布更正公告的方式澄清或者修改磋商文件，更正公告的</w:t>
      </w:r>
      <w:r>
        <w:rPr>
          <w:rFonts w:asciiTheme="minorEastAsia" w:hAnsiTheme="minorEastAsia" w:eastAsiaTheme="minorEastAsia"/>
          <w:color w:val="auto"/>
          <w:sz w:val="24"/>
          <w:highlight w:val="none"/>
        </w:rPr>
        <w:t>内容</w:t>
      </w:r>
      <w:r>
        <w:rPr>
          <w:rFonts w:hint="eastAsia" w:asciiTheme="minorEastAsia" w:hAnsiTheme="minorEastAsia" w:eastAsiaTheme="minorEastAsia"/>
          <w:color w:val="auto"/>
          <w:sz w:val="24"/>
          <w:highlight w:val="none"/>
        </w:rPr>
        <w:t>作</w:t>
      </w:r>
      <w:r>
        <w:rPr>
          <w:rFonts w:asciiTheme="minorEastAsia" w:hAnsiTheme="minorEastAsia" w:eastAsiaTheme="minorEastAsia"/>
          <w:color w:val="auto"/>
          <w:sz w:val="24"/>
          <w:highlight w:val="none"/>
        </w:rPr>
        <w:t>为</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rPr>
        <w:t>的</w:t>
      </w:r>
      <w:r>
        <w:rPr>
          <w:rFonts w:asciiTheme="minorEastAsia" w:hAnsiTheme="minorEastAsia" w:eastAsiaTheme="minorEastAsia"/>
          <w:color w:val="auto"/>
          <w:sz w:val="24"/>
          <w:highlight w:val="none"/>
        </w:rPr>
        <w:t>组成部分，对</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起约束作用</w:t>
      </w:r>
      <w:r>
        <w:rPr>
          <w:rFonts w:hint="eastAsia" w:asciiTheme="minorEastAsia" w:hAnsiTheme="minorEastAsia" w:eastAsiaTheme="minorEastAsia"/>
          <w:color w:val="auto"/>
          <w:sz w:val="24"/>
          <w:highlight w:val="none"/>
        </w:rPr>
        <w:t>。供应商应主动上网查询。采购代理机构不承担供应商未及时关注相关信息引发的相关责任。</w:t>
      </w:r>
    </w:p>
    <w:p w14:paraId="61E8ECE1">
      <w:pPr>
        <w:spacing w:line="360" w:lineRule="auto"/>
        <w:ind w:firstLine="435"/>
        <w:rPr>
          <w:color w:val="auto"/>
          <w:sz w:val="24"/>
          <w:highlight w:val="none"/>
        </w:rPr>
      </w:pPr>
      <w:r>
        <w:rPr>
          <w:rFonts w:hint="eastAsia"/>
          <w:color w:val="auto"/>
          <w:sz w:val="24"/>
          <w:highlight w:val="none"/>
          <w:lang w:val="en-US" w:eastAsia="zh-CN"/>
        </w:rPr>
        <w:t>6</w:t>
      </w:r>
      <w:r>
        <w:rPr>
          <w:rFonts w:hint="eastAsia"/>
          <w:color w:val="auto"/>
          <w:sz w:val="24"/>
          <w:highlight w:val="none"/>
        </w:rPr>
        <w:t>.3任何人或任何组织向供应商提供的任何书面或口头资料，未经采购代理机构在网上发布或书面通知，均作无效处理，不得作为磋商文件的组成部分。采购代理机构对供应商由此而做出的推论、理解和结论概不负责。</w:t>
      </w:r>
    </w:p>
    <w:p w14:paraId="207D06FB">
      <w:pPr>
        <w:spacing w:line="360" w:lineRule="auto"/>
        <w:ind w:firstLine="435"/>
        <w:rPr>
          <w:rFonts w:asciiTheme="minorEastAsia" w:hAnsiTheme="minorEastAsia" w:eastAsiaTheme="minorEastAsia"/>
          <w:iCs/>
          <w:color w:val="auto"/>
          <w:sz w:val="24"/>
          <w:highlight w:val="none"/>
        </w:rPr>
      </w:pPr>
      <w:r>
        <w:rPr>
          <w:rFonts w:hint="eastAsia" w:asciiTheme="minorEastAsia" w:hAnsiTheme="minorEastAsia" w:eastAsiaTheme="minorEastAsia"/>
          <w:color w:val="auto"/>
          <w:sz w:val="24"/>
          <w:highlight w:val="none"/>
          <w:lang w:val="en-US" w:eastAsia="zh-CN"/>
        </w:rPr>
        <w:t>6</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4</w:t>
      </w:r>
      <w:r>
        <w:rPr>
          <w:rFonts w:asciiTheme="minorEastAsia" w:hAnsiTheme="minorEastAsia" w:eastAsiaTheme="minorEastAsia"/>
          <w:color w:val="auto"/>
          <w:sz w:val="24"/>
          <w:highlight w:val="none"/>
        </w:rPr>
        <w:t>对于</w:t>
      </w:r>
      <w:r>
        <w:rPr>
          <w:color w:val="auto"/>
          <w:sz w:val="24"/>
          <w:highlight w:val="none"/>
        </w:rPr>
        <w:t>没有</w:t>
      </w:r>
      <w:r>
        <w:rPr>
          <w:rFonts w:asciiTheme="minorEastAsia" w:hAnsiTheme="minorEastAsia" w:eastAsiaTheme="minorEastAsia"/>
          <w:color w:val="auto"/>
          <w:sz w:val="24"/>
          <w:highlight w:val="none"/>
        </w:rPr>
        <w:t>提出</w:t>
      </w:r>
      <w:r>
        <w:rPr>
          <w:rFonts w:hint="eastAsia" w:asciiTheme="minorEastAsia" w:hAnsiTheme="minorEastAsia" w:eastAsiaTheme="minorEastAsia"/>
          <w:color w:val="auto"/>
          <w:sz w:val="24"/>
          <w:highlight w:val="none"/>
        </w:rPr>
        <w:t>询问</w:t>
      </w:r>
      <w:r>
        <w:rPr>
          <w:rFonts w:asciiTheme="minorEastAsia" w:hAnsiTheme="minorEastAsia" w:eastAsiaTheme="minorEastAsia"/>
          <w:color w:val="auto"/>
          <w:sz w:val="24"/>
          <w:highlight w:val="none"/>
        </w:rPr>
        <w:t>又参与了</w:t>
      </w:r>
      <w:r>
        <w:rPr>
          <w:rFonts w:hint="eastAsia" w:asciiTheme="minorEastAsia" w:hAnsiTheme="minorEastAsia" w:eastAsiaTheme="minorEastAsia"/>
          <w:color w:val="auto"/>
          <w:sz w:val="24"/>
          <w:highlight w:val="none"/>
        </w:rPr>
        <w:t>本</w:t>
      </w:r>
      <w:r>
        <w:rPr>
          <w:rFonts w:asciiTheme="minorEastAsia" w:hAnsiTheme="minorEastAsia" w:eastAsiaTheme="minorEastAsia"/>
          <w:color w:val="auto"/>
          <w:sz w:val="24"/>
          <w:highlight w:val="none"/>
        </w:rPr>
        <w:t>项目</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的</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将被视为完全认同</w:t>
      </w:r>
      <w:r>
        <w:rPr>
          <w:rFonts w:hint="eastAsia" w:asciiTheme="minorEastAsia" w:hAnsiTheme="minorEastAsia" w:eastAsiaTheme="minorEastAsia"/>
          <w:color w:val="auto"/>
          <w:sz w:val="24"/>
          <w:highlight w:val="none"/>
        </w:rPr>
        <w:t>本磋商</w:t>
      </w:r>
      <w:r>
        <w:rPr>
          <w:rFonts w:asciiTheme="minorEastAsia" w:hAnsiTheme="minorEastAsia" w:eastAsiaTheme="minorEastAsia"/>
          <w:color w:val="auto"/>
          <w:sz w:val="24"/>
          <w:highlight w:val="none"/>
        </w:rPr>
        <w:t>文件（含</w:t>
      </w:r>
      <w:r>
        <w:rPr>
          <w:rFonts w:hint="eastAsia" w:asciiTheme="minorEastAsia" w:hAnsiTheme="minorEastAsia" w:eastAsiaTheme="minorEastAsia"/>
          <w:color w:val="auto"/>
          <w:sz w:val="24"/>
          <w:highlight w:val="none"/>
        </w:rPr>
        <w:t>更正公告的</w:t>
      </w:r>
      <w:r>
        <w:rPr>
          <w:rFonts w:asciiTheme="minorEastAsia" w:hAnsiTheme="minorEastAsia" w:eastAsiaTheme="minorEastAsia"/>
          <w:color w:val="auto"/>
          <w:sz w:val="24"/>
          <w:highlight w:val="none"/>
        </w:rPr>
        <w:t>内容）</w:t>
      </w:r>
      <w:r>
        <w:rPr>
          <w:rFonts w:hint="eastAsia" w:asciiTheme="minorEastAsia" w:hAnsiTheme="minorEastAsia" w:eastAsiaTheme="minorEastAsia"/>
          <w:i/>
          <w:color w:val="auto"/>
          <w:sz w:val="24"/>
          <w:highlight w:val="none"/>
        </w:rPr>
        <w:t>。</w:t>
      </w:r>
    </w:p>
    <w:p w14:paraId="7121D6FF">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7</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磋商范围及响应文件中标准和计量单位的使用</w:t>
      </w:r>
    </w:p>
    <w:p w14:paraId="192F4D72">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.1项目有分包的，供应商可</w:t>
      </w:r>
      <w:r>
        <w:rPr>
          <w:rFonts w:hint="eastAsia" w:asciiTheme="minorEastAsia" w:hAnsiTheme="minorEastAsia" w:eastAsiaTheme="minorEastAsia"/>
          <w:color w:val="auto"/>
          <w:sz w:val="24"/>
          <w:highlight w:val="none"/>
        </w:rPr>
        <w:t>参与</w:t>
      </w:r>
      <w:r>
        <w:rPr>
          <w:rFonts w:asciiTheme="minorEastAsia" w:hAnsiTheme="minorEastAsia" w:eastAsiaTheme="minorEastAsia"/>
          <w:color w:val="auto"/>
          <w:sz w:val="24"/>
          <w:highlight w:val="none"/>
        </w:rPr>
        <w:t>其中某一个或</w:t>
      </w:r>
      <w:r>
        <w:rPr>
          <w:rFonts w:hint="eastAsia" w:asciiTheme="minorEastAsia" w:hAnsiTheme="minorEastAsia" w:eastAsiaTheme="minorEastAsia"/>
          <w:color w:val="auto"/>
          <w:sz w:val="24"/>
          <w:highlight w:val="none"/>
        </w:rPr>
        <w:t>多</w:t>
      </w:r>
      <w:r>
        <w:rPr>
          <w:rFonts w:asciiTheme="minorEastAsia" w:hAnsiTheme="minorEastAsia" w:eastAsiaTheme="minorEastAsia"/>
          <w:color w:val="auto"/>
          <w:sz w:val="24"/>
          <w:highlight w:val="none"/>
        </w:rPr>
        <w:t>个分包</w:t>
      </w:r>
      <w:r>
        <w:rPr>
          <w:rFonts w:hint="eastAsia" w:asciiTheme="minorEastAsia" w:hAnsiTheme="minorEastAsia" w:eastAsiaTheme="minorEastAsia"/>
          <w:color w:val="auto"/>
          <w:sz w:val="24"/>
          <w:highlight w:val="none"/>
        </w:rPr>
        <w:t>的磋商</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成交包数详见</w:t>
      </w:r>
      <w:r>
        <w:rPr>
          <w:rFonts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中规定。</w:t>
      </w:r>
    </w:p>
    <w:p w14:paraId="31F7C436">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无论磋商文件中是否要求，供应商所</w:t>
      </w:r>
      <w:r>
        <w:rPr>
          <w:rFonts w:hint="eastAsia" w:asciiTheme="minorEastAsia" w:hAnsiTheme="minorEastAsia" w:eastAsiaTheme="minorEastAsia"/>
          <w:color w:val="auto"/>
          <w:sz w:val="24"/>
          <w:highlight w:val="none"/>
        </w:rPr>
        <w:t>承担</w:t>
      </w:r>
      <w:r>
        <w:rPr>
          <w:rFonts w:asciiTheme="minorEastAsia" w:hAnsiTheme="minorEastAsia" w:eastAsiaTheme="minorEastAsia"/>
          <w:color w:val="auto"/>
          <w:sz w:val="24"/>
          <w:highlight w:val="none"/>
        </w:rPr>
        <w:t>工程及伴随的货物和</w:t>
      </w:r>
      <w:r>
        <w:rPr>
          <w:rFonts w:hint="eastAsia" w:asciiTheme="minorEastAsia" w:hAnsiTheme="minorEastAsia" w:eastAsiaTheme="minorEastAsia"/>
          <w:color w:val="auto"/>
          <w:sz w:val="24"/>
          <w:highlight w:val="none"/>
        </w:rPr>
        <w:t>服务</w:t>
      </w:r>
      <w:r>
        <w:rPr>
          <w:rFonts w:asciiTheme="minorEastAsia" w:hAnsiTheme="minorEastAsia" w:eastAsiaTheme="minorEastAsia"/>
          <w:color w:val="auto"/>
          <w:sz w:val="24"/>
          <w:highlight w:val="none"/>
        </w:rPr>
        <w:t>均应符合国家强制性标准。</w:t>
      </w:r>
    </w:p>
    <w:p w14:paraId="0BF93FDE">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3</w:t>
      </w:r>
      <w:r>
        <w:rPr>
          <w:rFonts w:asciiTheme="minorEastAsia" w:hAnsiTheme="minorEastAsia" w:eastAsiaTheme="minorEastAsia"/>
          <w:color w:val="auto"/>
          <w:sz w:val="24"/>
          <w:highlight w:val="none"/>
        </w:rPr>
        <w:t>供应商与采购代理机构之间与磋商有关的所有往来通知、函件和响应文件均用中文表述。供应商随响应文件提供的证明文件和资料可以为其他语言，但必须附中文译文。翻译的中文资料与外文资料如果出现差异时，以中文为准。</w:t>
      </w:r>
    </w:p>
    <w:p w14:paraId="16CB3DA1">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4</w:t>
      </w:r>
      <w:r>
        <w:rPr>
          <w:rFonts w:asciiTheme="minorEastAsia" w:hAnsiTheme="minorEastAsia" w:eastAsiaTheme="minorEastAsia"/>
          <w:color w:val="auto"/>
          <w:sz w:val="24"/>
          <w:highlight w:val="none"/>
        </w:rPr>
        <w:t>除磋商文件中有特殊要求外，响应文件中所使用的计量单位，应采用中华人民共和国法定计量单位。</w:t>
      </w:r>
    </w:p>
    <w:p w14:paraId="2055CFDB">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8</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响应文件构成</w:t>
      </w:r>
    </w:p>
    <w:p w14:paraId="5CBF0E9A">
      <w:pPr>
        <w:spacing w:line="360" w:lineRule="auto"/>
        <w:ind w:firstLine="437"/>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8</w:t>
      </w:r>
      <w:r>
        <w:rPr>
          <w:rFonts w:asciiTheme="minorEastAsia" w:hAnsiTheme="minorEastAsia" w:eastAsiaTheme="minorEastAsia"/>
          <w:color w:val="auto"/>
          <w:sz w:val="24"/>
          <w:highlight w:val="none"/>
        </w:rPr>
        <w:t>.1供应商应完整地按磋商文件提供的响应文件格式及要求编写响应文件，具体内容详见第六章响应文件格式的相关内容。</w:t>
      </w:r>
    </w:p>
    <w:p w14:paraId="178D8D95">
      <w:pPr>
        <w:spacing w:line="360" w:lineRule="auto"/>
        <w:ind w:firstLine="435"/>
        <w:rPr>
          <w:rFonts w:asciiTheme="minorEastAsia" w:hAnsiTheme="minorEastAsia" w:eastAsiaTheme="minorEastAsia"/>
          <w:color w:val="auto"/>
          <w:sz w:val="24"/>
          <w:highlight w:val="none"/>
        </w:rPr>
      </w:pPr>
      <w:r>
        <w:rPr>
          <w:rFonts w:hint="eastAsia"/>
          <w:color w:val="auto"/>
          <w:sz w:val="24"/>
          <w:highlight w:val="none"/>
          <w:lang w:val="en-US" w:eastAsia="zh-CN"/>
        </w:rPr>
        <w:t>8.2</w:t>
      </w:r>
      <w:r>
        <w:rPr>
          <w:rFonts w:hint="eastAsia"/>
          <w:color w:val="auto"/>
          <w:sz w:val="24"/>
          <w:highlight w:val="none"/>
        </w:rPr>
        <w:t>供应商应提交磋商文件要求的证明文件，证明其响应内容符合磋商文件规定。该证明文件是响应文件的一部分</w:t>
      </w:r>
      <w:r>
        <w:rPr>
          <w:rFonts w:asciiTheme="minorEastAsia" w:hAnsiTheme="minorEastAsia" w:eastAsiaTheme="minorEastAsia"/>
          <w:color w:val="auto"/>
          <w:sz w:val="24"/>
          <w:highlight w:val="none"/>
        </w:rPr>
        <w:t>。证明文件</w:t>
      </w:r>
      <w:r>
        <w:rPr>
          <w:rFonts w:hint="eastAsia" w:asciiTheme="minorEastAsia" w:hAnsiTheme="minorEastAsia" w:eastAsiaTheme="minorEastAsia"/>
          <w:color w:val="auto"/>
          <w:sz w:val="24"/>
          <w:highlight w:val="none"/>
          <w:lang w:val="en-US" w:eastAsia="zh-CN"/>
        </w:rPr>
        <w:t>形式</w:t>
      </w:r>
      <w:r>
        <w:rPr>
          <w:rFonts w:asciiTheme="minorEastAsia" w:hAnsiTheme="minorEastAsia" w:eastAsiaTheme="minorEastAsia"/>
          <w:color w:val="auto"/>
          <w:sz w:val="24"/>
          <w:highlight w:val="none"/>
        </w:rPr>
        <w:t>可以是文字资料、图纸和数据</w:t>
      </w:r>
      <w:bookmarkStart w:id="41" w:name="_Hlk11703583"/>
      <w:r>
        <w:rPr>
          <w:rFonts w:hint="eastAsia" w:asciiTheme="minorEastAsia" w:hAnsiTheme="minorEastAsia" w:eastAsiaTheme="minorEastAsia"/>
          <w:color w:val="auto"/>
          <w:sz w:val="24"/>
          <w:highlight w:val="none"/>
        </w:rPr>
        <w:t>。</w:t>
      </w:r>
      <w:bookmarkEnd w:id="41"/>
    </w:p>
    <w:p w14:paraId="589AADD6">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8</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为保证</w:t>
      </w:r>
      <w:r>
        <w:rPr>
          <w:color w:val="auto"/>
          <w:sz w:val="24"/>
          <w:highlight w:val="none"/>
        </w:rPr>
        <w:t>公平</w:t>
      </w:r>
      <w:r>
        <w:rPr>
          <w:rFonts w:asciiTheme="minorEastAsia" w:hAnsiTheme="minorEastAsia" w:eastAsiaTheme="minorEastAsia"/>
          <w:color w:val="auto"/>
          <w:sz w:val="24"/>
          <w:highlight w:val="none"/>
        </w:rPr>
        <w:t>公正，除非磋商文件另有规定或说明，</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对同一项目</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时，不得同时提供</w:t>
      </w:r>
      <w:r>
        <w:rPr>
          <w:rFonts w:hint="eastAsia" w:asciiTheme="minorEastAsia" w:hAnsiTheme="minorEastAsia" w:eastAsiaTheme="minorEastAsia"/>
          <w:color w:val="auto"/>
          <w:sz w:val="24"/>
          <w:highlight w:val="none"/>
        </w:rPr>
        <w:t>备选磋商</w:t>
      </w:r>
      <w:r>
        <w:rPr>
          <w:rFonts w:asciiTheme="minorEastAsia" w:hAnsiTheme="minorEastAsia" w:eastAsiaTheme="minorEastAsia"/>
          <w:color w:val="auto"/>
          <w:sz w:val="24"/>
          <w:highlight w:val="none"/>
        </w:rPr>
        <w:t>方案。</w:t>
      </w:r>
    </w:p>
    <w:p w14:paraId="4CFFFCBC">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9</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报价</w:t>
      </w:r>
    </w:p>
    <w:p w14:paraId="2C17AE79">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的报价应当包括满足本次</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全部</w:t>
      </w:r>
      <w:r>
        <w:rPr>
          <w:rFonts w:hint="eastAsia" w:asciiTheme="minorEastAsia" w:hAnsiTheme="minorEastAsia" w:eastAsiaTheme="minorEastAsia"/>
          <w:color w:val="auto"/>
          <w:sz w:val="24"/>
          <w:highlight w:val="none"/>
        </w:rPr>
        <w:t>内容。所有报价均应以人民币报价，供应商的磋商报价应遵守《中华人民共和国价格法》。</w:t>
      </w:r>
    </w:p>
    <w:p w14:paraId="30A6460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最后报价均不得高于磋商文件（公告）列明的项目预算</w:t>
      </w:r>
      <w:r>
        <w:rPr>
          <w:rFonts w:hint="eastAsia" w:asciiTheme="minorEastAsia" w:hAnsiTheme="minorEastAsia" w:eastAsiaTheme="minorEastAsia"/>
          <w:color w:val="auto"/>
          <w:sz w:val="24"/>
          <w:highlight w:val="none"/>
        </w:rPr>
        <w:t>、最高投标限价</w:t>
      </w:r>
      <w:r>
        <w:rPr>
          <w:rFonts w:asciiTheme="minorEastAsia" w:hAnsiTheme="minorEastAsia" w:eastAsiaTheme="minorEastAsia"/>
          <w:color w:val="auto"/>
          <w:sz w:val="24"/>
          <w:highlight w:val="none"/>
        </w:rPr>
        <w:t>，否则其响应文件将被认定为</w:t>
      </w:r>
      <w:r>
        <w:rPr>
          <w:rFonts w:asciiTheme="minorEastAsia" w:hAnsiTheme="minorEastAsia" w:eastAsiaTheme="minorEastAsia"/>
          <w:b/>
          <w:color w:val="auto"/>
          <w:sz w:val="24"/>
          <w:highlight w:val="none"/>
        </w:rPr>
        <w:t>响应无效</w:t>
      </w:r>
      <w:r>
        <w:rPr>
          <w:rFonts w:asciiTheme="minorEastAsia" w:hAnsiTheme="minorEastAsia" w:eastAsiaTheme="minorEastAsia"/>
          <w:color w:val="auto"/>
          <w:sz w:val="24"/>
          <w:highlight w:val="none"/>
        </w:rPr>
        <w:t>。</w:t>
      </w:r>
    </w:p>
    <w:p w14:paraId="046ACECF">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3</w:t>
      </w:r>
      <w:r>
        <w:rPr>
          <w:rFonts w:hint="eastAsia" w:asciiTheme="minorEastAsia" w:hAnsiTheme="minorEastAsia" w:eastAsiaTheme="minorEastAsia"/>
          <w:color w:val="auto"/>
          <w:sz w:val="24"/>
          <w:highlight w:val="none"/>
        </w:rPr>
        <w:t>报价</w:t>
      </w:r>
      <w:r>
        <w:rPr>
          <w:rFonts w:asciiTheme="minorEastAsia" w:hAnsiTheme="minorEastAsia" w:eastAsiaTheme="minorEastAsia"/>
          <w:color w:val="auto"/>
          <w:sz w:val="24"/>
          <w:highlight w:val="none"/>
        </w:rPr>
        <w:t>在合同履行过程中是固定不变的，不得以任何理由予以变更。任何包含价格调整要求的</w:t>
      </w:r>
      <w:r>
        <w:rPr>
          <w:rFonts w:hint="eastAsia" w:asciiTheme="minorEastAsia" w:hAnsiTheme="minorEastAsia" w:eastAsiaTheme="minorEastAsia"/>
          <w:color w:val="auto"/>
          <w:sz w:val="24"/>
          <w:highlight w:val="none"/>
        </w:rPr>
        <w:t>报价</w:t>
      </w:r>
      <w:r>
        <w:rPr>
          <w:rFonts w:asciiTheme="minorEastAsia" w:hAnsiTheme="minorEastAsia" w:eastAsiaTheme="minorEastAsia"/>
          <w:color w:val="auto"/>
          <w:sz w:val="24"/>
          <w:highlight w:val="none"/>
        </w:rPr>
        <w:t>，其</w:t>
      </w:r>
      <w:r>
        <w:rPr>
          <w:rFonts w:hint="eastAsia" w:asciiTheme="minorEastAsia" w:hAnsiTheme="minorEastAsia" w:eastAsiaTheme="minorEastAsia"/>
          <w:color w:val="auto"/>
          <w:sz w:val="24"/>
          <w:highlight w:val="none"/>
        </w:rPr>
        <w:t>响应文件将被认定为</w:t>
      </w:r>
      <w:r>
        <w:rPr>
          <w:rFonts w:hint="eastAsia" w:asciiTheme="minorEastAsia" w:hAnsiTheme="minorEastAsia" w:eastAsiaTheme="minorEastAsia"/>
          <w:b/>
          <w:color w:val="auto"/>
          <w:sz w:val="24"/>
          <w:highlight w:val="none"/>
        </w:rPr>
        <w:t>响应无效</w:t>
      </w:r>
      <w:r>
        <w:rPr>
          <w:rFonts w:asciiTheme="minorEastAsia" w:hAnsiTheme="minorEastAsia" w:eastAsiaTheme="minorEastAsia"/>
          <w:color w:val="auto"/>
          <w:sz w:val="24"/>
          <w:highlight w:val="none"/>
        </w:rPr>
        <w:t>。</w:t>
      </w:r>
    </w:p>
    <w:p w14:paraId="2D51031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采购人不接受具有附加条件的报价。</w:t>
      </w:r>
    </w:p>
    <w:p w14:paraId="39FD1CDE">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10</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磋商保证金</w:t>
      </w:r>
    </w:p>
    <w:p w14:paraId="59C15A56">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10</w:t>
      </w:r>
      <w:r>
        <w:rPr>
          <w:rFonts w:asciiTheme="minorEastAsia" w:hAnsiTheme="minorEastAsia" w:eastAsiaTheme="minorEastAsia"/>
          <w:color w:val="auto"/>
          <w:sz w:val="24"/>
          <w:highlight w:val="none"/>
        </w:rPr>
        <w:t>.1本项目不收取磋商保证金。</w:t>
      </w:r>
    </w:p>
    <w:p w14:paraId="48AF2E64">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11</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磋商有效期</w:t>
      </w:r>
    </w:p>
    <w:p w14:paraId="55187DC6">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1</w:t>
      </w:r>
      <w:r>
        <w:rPr>
          <w:rFonts w:asciiTheme="minorEastAsia" w:hAnsiTheme="minorEastAsia" w:eastAsiaTheme="minorEastAsia"/>
          <w:color w:val="auto"/>
          <w:sz w:val="24"/>
          <w:highlight w:val="none"/>
        </w:rPr>
        <w:t>.1磋商有效期为从响应文件提交截止之日算起的日历天数，磋商有效期详见</w:t>
      </w:r>
      <w:r>
        <w:rPr>
          <w:rFonts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w:t>
      </w:r>
    </w:p>
    <w:p w14:paraId="3D555A2C">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1</w:t>
      </w:r>
      <w:r>
        <w:rPr>
          <w:rFonts w:asciiTheme="minorEastAsia" w:hAnsiTheme="minorEastAsia" w:eastAsiaTheme="minorEastAsia"/>
          <w:color w:val="auto"/>
          <w:sz w:val="24"/>
          <w:highlight w:val="none"/>
        </w:rPr>
        <w:t>.2在磋商有效期内，供应商的磋商保持有效，供应商不得要求撤销或修改其响应文件。磋商有效期不满足要求的响应，其响应文件将被认定为</w:t>
      </w:r>
      <w:r>
        <w:rPr>
          <w:rFonts w:asciiTheme="minorEastAsia" w:hAnsiTheme="minorEastAsia" w:eastAsiaTheme="minorEastAsia"/>
          <w:b/>
          <w:color w:val="auto"/>
          <w:sz w:val="24"/>
          <w:highlight w:val="none"/>
        </w:rPr>
        <w:t>响应无效</w:t>
      </w:r>
      <w:r>
        <w:rPr>
          <w:rFonts w:asciiTheme="minorEastAsia" w:hAnsiTheme="minorEastAsia" w:eastAsiaTheme="minorEastAsia"/>
          <w:color w:val="auto"/>
          <w:sz w:val="24"/>
          <w:highlight w:val="none"/>
        </w:rPr>
        <w:t>。</w:t>
      </w:r>
    </w:p>
    <w:p w14:paraId="64BCA239">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1</w:t>
      </w:r>
      <w:r>
        <w:rPr>
          <w:rFonts w:asciiTheme="minorEastAsia" w:hAnsiTheme="minorEastAsia" w:eastAsiaTheme="minorEastAsia"/>
          <w:color w:val="auto"/>
          <w:sz w:val="24"/>
          <w:highlight w:val="none"/>
        </w:rPr>
        <w:t>.3为保证有充分时间签订合同，采购人或采购代理机构可根据实际情况，在原磋商有效期截止之前，要求供应商延长磋商有效期。接受该要求的供应商将不会被要求和允许修正其响应文件。供应商可以拒绝延长磋商有效期的要求，且不承担任何责任。上述要求和答复都应以书面形式提交。</w:t>
      </w:r>
    </w:p>
    <w:p w14:paraId="4191E6BC">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1</w:t>
      </w:r>
      <w:r>
        <w:rPr>
          <w:rFonts w:hint="eastAsia" w:asciiTheme="minorEastAsia" w:hAnsiTheme="minorEastAsia" w:eastAsiaTheme="minorEastAsia"/>
          <w:b/>
          <w:color w:val="auto"/>
          <w:sz w:val="24"/>
          <w:highlight w:val="none"/>
          <w:lang w:val="en-US" w:eastAsia="zh-CN"/>
        </w:rPr>
        <w:t>2</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响应文件的提交、修改与撤回</w:t>
      </w:r>
    </w:p>
    <w:p w14:paraId="257591AA">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2</w:t>
      </w:r>
      <w:r>
        <w:rPr>
          <w:rFonts w:hint="eastAsia" w:asciiTheme="minorEastAsia" w:hAnsiTheme="minorEastAsia" w:eastAsiaTheme="minorEastAsia"/>
          <w:color w:val="auto"/>
          <w:sz w:val="24"/>
          <w:highlight w:val="none"/>
        </w:rPr>
        <w:t>.1供应商应当在</w:t>
      </w:r>
      <w:r>
        <w:rPr>
          <w:rFonts w:hint="eastAsia" w:asciiTheme="minorEastAsia" w:hAnsiTheme="minorEastAsia" w:eastAsiaTheme="minorEastAsia"/>
          <w:color w:val="auto"/>
          <w:sz w:val="24"/>
          <w:highlight w:val="none"/>
          <w:lang w:val="en-US" w:eastAsia="zh-CN"/>
        </w:rPr>
        <w:t>竞争性磋商公告</w:t>
      </w:r>
      <w:r>
        <w:rPr>
          <w:rFonts w:hint="eastAsia" w:asciiTheme="minorEastAsia" w:hAnsiTheme="minorEastAsia" w:eastAsiaTheme="minorEastAsia"/>
          <w:color w:val="auto"/>
          <w:sz w:val="24"/>
          <w:highlight w:val="none"/>
        </w:rPr>
        <w:t>规定的响应文件提交截止时间前</w:t>
      </w:r>
      <w:r>
        <w:rPr>
          <w:rFonts w:asciiTheme="minorEastAsia" w:hAnsiTheme="minorEastAsia" w:eastAsiaTheme="minorEastAsia"/>
          <w:color w:val="auto"/>
          <w:sz w:val="24"/>
          <w:highlight w:val="none"/>
        </w:rPr>
        <w:t>，将</w:t>
      </w:r>
      <w:r>
        <w:rPr>
          <w:rFonts w:hint="eastAsia" w:asciiTheme="minorEastAsia" w:hAnsiTheme="minorEastAsia" w:eastAsiaTheme="minorEastAsia"/>
          <w:color w:val="auto"/>
          <w:sz w:val="24"/>
          <w:highlight w:val="none"/>
          <w:lang w:val="en-US" w:eastAsia="zh-CN"/>
        </w:rPr>
        <w:t>密封的</w:t>
      </w:r>
      <w:r>
        <w:rPr>
          <w:rFonts w:hint="eastAsia" w:asciiTheme="minorEastAsia" w:hAnsiTheme="minorEastAsia" w:eastAsiaTheme="minorEastAsia"/>
          <w:color w:val="auto"/>
          <w:sz w:val="24"/>
          <w:highlight w:val="none"/>
        </w:rPr>
        <w:t>响应</w:t>
      </w:r>
      <w:r>
        <w:rPr>
          <w:rFonts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rPr>
        <w:t>在</w:t>
      </w:r>
      <w:r>
        <w:rPr>
          <w:rFonts w:hint="eastAsia" w:asciiTheme="minorEastAsia" w:hAnsiTheme="minorEastAsia" w:eastAsiaTheme="minorEastAsia"/>
          <w:color w:val="auto"/>
          <w:sz w:val="24"/>
          <w:highlight w:val="none"/>
          <w:lang w:val="en-US" w:eastAsia="zh-CN"/>
        </w:rPr>
        <w:t>开标现场提交</w:t>
      </w:r>
      <w:r>
        <w:rPr>
          <w:rFonts w:asciiTheme="minorEastAsia" w:hAnsiTheme="minorEastAsia" w:eastAsiaTheme="minorEastAsia"/>
          <w:color w:val="auto"/>
          <w:sz w:val="24"/>
          <w:highlight w:val="none"/>
        </w:rPr>
        <w:t>。</w:t>
      </w:r>
    </w:p>
    <w:p w14:paraId="68B70037">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2</w:t>
      </w:r>
      <w:r>
        <w:rPr>
          <w:rFonts w:hint="eastAsia" w:asciiTheme="minorEastAsia" w:hAnsiTheme="minorEastAsia" w:eastAsiaTheme="minorEastAsia"/>
          <w:color w:val="auto"/>
          <w:sz w:val="24"/>
          <w:highlight w:val="none"/>
        </w:rPr>
        <w:t>.2供应商应当在响应文件提交截止时间前完成响应文件的提交（以接收到</w:t>
      </w:r>
      <w:r>
        <w:rPr>
          <w:rFonts w:hint="eastAsia" w:asciiTheme="minorEastAsia" w:hAnsiTheme="minorEastAsia" w:eastAsiaTheme="minorEastAsia"/>
          <w:color w:val="auto"/>
          <w:sz w:val="24"/>
          <w:highlight w:val="none"/>
          <w:lang w:val="en-US" w:eastAsia="zh-CN"/>
        </w:rPr>
        <w:t>签到</w:t>
      </w:r>
      <w:r>
        <w:rPr>
          <w:rFonts w:hint="eastAsia" w:asciiTheme="minorEastAsia" w:hAnsiTheme="minorEastAsia" w:eastAsiaTheme="minorEastAsia"/>
          <w:color w:val="auto"/>
          <w:sz w:val="24"/>
          <w:highlight w:val="none"/>
        </w:rPr>
        <w:t>凭证为准），并可以补充、修改或者撤回响应文件。响应文件提交截止时间前未完成响应文件</w:t>
      </w:r>
      <w:r>
        <w:rPr>
          <w:rFonts w:hint="eastAsia" w:asciiTheme="minorEastAsia" w:hAnsiTheme="minorEastAsia" w:eastAsiaTheme="minorEastAsia"/>
          <w:color w:val="auto"/>
          <w:sz w:val="24"/>
          <w:highlight w:val="none"/>
          <w:lang w:val="en-US" w:eastAsia="zh-CN"/>
        </w:rPr>
        <w:t>提交</w:t>
      </w:r>
      <w:r>
        <w:rPr>
          <w:rFonts w:hint="eastAsia" w:asciiTheme="minorEastAsia" w:hAnsiTheme="minorEastAsia" w:eastAsiaTheme="minorEastAsia"/>
          <w:color w:val="auto"/>
          <w:sz w:val="24"/>
          <w:highlight w:val="none"/>
        </w:rPr>
        <w:t>的，视为撤回响应文件。响应文件提交截止时间后送达的响应文件，</w:t>
      </w:r>
      <w:r>
        <w:rPr>
          <w:rFonts w:hint="eastAsia" w:asciiTheme="minorEastAsia" w:hAnsiTheme="minorEastAsia" w:eastAsiaTheme="minorEastAsia"/>
          <w:color w:val="auto"/>
          <w:sz w:val="24"/>
          <w:highlight w:val="none"/>
          <w:lang w:val="en-US" w:eastAsia="zh-CN"/>
        </w:rPr>
        <w:t>采购人</w:t>
      </w:r>
      <w:r>
        <w:rPr>
          <w:rFonts w:hint="eastAsia" w:asciiTheme="minorEastAsia" w:hAnsiTheme="minorEastAsia" w:eastAsiaTheme="minorEastAsia"/>
          <w:color w:val="auto"/>
          <w:sz w:val="24"/>
          <w:highlight w:val="none"/>
        </w:rPr>
        <w:t>应当拒收。</w:t>
      </w:r>
    </w:p>
    <w:p w14:paraId="60F54751">
      <w:pPr>
        <w:spacing w:line="360" w:lineRule="auto"/>
        <w:ind w:firstLine="435"/>
        <w:rPr>
          <w:rFonts w:hint="eastAsia" w:asciiTheme="minorEastAsia" w:hAnsiTheme="minorEastAsia" w:eastAsiaTheme="minorEastAsia"/>
          <w:color w:val="auto"/>
          <w:sz w:val="24"/>
          <w:highlight w:val="none"/>
          <w:lang w:eastAsia="zh-CN"/>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2</w:t>
      </w:r>
      <w:r>
        <w:rPr>
          <w:rFonts w:hint="eastAsia" w:asciiTheme="minorEastAsia" w:hAnsiTheme="minorEastAsia" w:eastAsiaTheme="minorEastAsia"/>
          <w:color w:val="auto"/>
          <w:sz w:val="24"/>
          <w:highlight w:val="none"/>
        </w:rPr>
        <w:t>.</w:t>
      </w:r>
      <w:r>
        <w:rPr>
          <w:rFonts w:asciiTheme="minorEastAsia" w:hAnsiTheme="minorEastAsia" w:eastAsiaTheme="minorEastAsia"/>
          <w:color w:val="auto"/>
          <w:sz w:val="24"/>
          <w:highlight w:val="none"/>
        </w:rPr>
        <w:t>3</w:t>
      </w:r>
      <w:r>
        <w:rPr>
          <w:rFonts w:hint="eastAsia" w:asciiTheme="minorEastAsia" w:hAnsiTheme="minorEastAsia" w:eastAsiaTheme="minorEastAsia"/>
          <w:color w:val="auto"/>
          <w:sz w:val="24"/>
          <w:highlight w:val="none"/>
        </w:rPr>
        <w:t>供应商应在</w:t>
      </w:r>
      <w:r>
        <w:rPr>
          <w:rFonts w:hint="eastAsia" w:asciiTheme="minorEastAsia" w:hAnsiTheme="minorEastAsia" w:eastAsiaTheme="minorEastAsia"/>
          <w:color w:val="auto"/>
          <w:sz w:val="24"/>
          <w:highlight w:val="none"/>
          <w:u w:val="single"/>
        </w:rPr>
        <w:t>供应商须知前附表</w:t>
      </w:r>
      <w:r>
        <w:rPr>
          <w:rFonts w:hint="eastAsia" w:asciiTheme="minorEastAsia" w:hAnsiTheme="minorEastAsia" w:eastAsiaTheme="minorEastAsia"/>
          <w:color w:val="auto"/>
          <w:sz w:val="24"/>
          <w:highlight w:val="none"/>
        </w:rPr>
        <w:t>规定的解密时间前对</w:t>
      </w:r>
      <w:r>
        <w:rPr>
          <w:rFonts w:hint="eastAsia" w:asciiTheme="minorEastAsia" w:hAnsiTheme="minorEastAsia" w:eastAsiaTheme="minorEastAsia"/>
          <w:color w:val="auto"/>
          <w:sz w:val="24"/>
          <w:highlight w:val="none"/>
          <w:lang w:val="en-US" w:eastAsia="zh-CN"/>
        </w:rPr>
        <w:t>其</w:t>
      </w:r>
      <w:r>
        <w:rPr>
          <w:rFonts w:hint="eastAsia" w:asciiTheme="minorEastAsia" w:hAnsiTheme="minorEastAsia" w:eastAsiaTheme="minorEastAsia"/>
          <w:color w:val="auto"/>
          <w:sz w:val="24"/>
          <w:highlight w:val="none"/>
        </w:rPr>
        <w:t>响应文件进行解密</w:t>
      </w:r>
      <w:r>
        <w:rPr>
          <w:rFonts w:hint="eastAsia" w:asciiTheme="minorEastAsia" w:hAnsiTheme="minorEastAsia" w:eastAsiaTheme="minorEastAsia"/>
          <w:color w:val="auto"/>
          <w:sz w:val="24"/>
          <w:highlight w:val="none"/>
          <w:lang w:eastAsia="zh-CN"/>
        </w:rPr>
        <w:t>，</w:t>
      </w:r>
      <w:r>
        <w:rPr>
          <w:rFonts w:asciiTheme="minorEastAsia" w:hAnsiTheme="minorEastAsia" w:eastAsiaTheme="minorEastAsia"/>
          <w:color w:val="auto"/>
          <w:sz w:val="24"/>
          <w:highlight w:val="none"/>
        </w:rPr>
        <w:t>未在规定时间内进行解密的，</w:t>
      </w:r>
      <w:r>
        <w:rPr>
          <w:rFonts w:hint="eastAsia" w:asciiTheme="minorEastAsia" w:hAnsiTheme="minorEastAsia" w:eastAsiaTheme="minorEastAsia"/>
          <w:b/>
          <w:color w:val="auto"/>
          <w:sz w:val="24"/>
          <w:highlight w:val="none"/>
        </w:rPr>
        <w:t>响应无效</w:t>
      </w:r>
      <w:r>
        <w:rPr>
          <w:rFonts w:hint="eastAsia" w:asciiTheme="minorEastAsia" w:hAnsiTheme="minorEastAsia" w:eastAsiaTheme="minorEastAsia"/>
          <w:b/>
          <w:color w:val="auto"/>
          <w:sz w:val="24"/>
          <w:highlight w:val="none"/>
          <w:lang w:eastAsia="zh-CN"/>
        </w:rPr>
        <w:t>。</w:t>
      </w:r>
    </w:p>
    <w:p w14:paraId="5BA6F11E">
      <w:pPr>
        <w:spacing w:line="360" w:lineRule="auto"/>
        <w:ind w:firstLine="435"/>
        <w:rPr>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2</w:t>
      </w:r>
      <w:r>
        <w:rPr>
          <w:rFonts w:hint="eastAsia" w:asciiTheme="minorEastAsia" w:hAnsiTheme="minorEastAsia" w:eastAsiaTheme="minorEastAsia"/>
          <w:color w:val="auto"/>
          <w:sz w:val="24"/>
          <w:highlight w:val="none"/>
        </w:rPr>
        <w:t>.4在响应文件提交截止时间之后，供应商不得对其响应文件做任何修改。</w:t>
      </w:r>
      <w:r>
        <w:rPr>
          <w:rFonts w:hint="eastAsia"/>
          <w:color w:val="auto"/>
          <w:sz w:val="24"/>
          <w:highlight w:val="none"/>
        </w:rPr>
        <w:t>但属于磋商小组在评审中发现的计算错误并进行核实的修改、按照磋商文件的变动情况和磋商小组的要求重新提交响应文件的，不在此列。</w:t>
      </w:r>
    </w:p>
    <w:p w14:paraId="2F15E76E">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13</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磋商小组</w:t>
      </w:r>
    </w:p>
    <w:p w14:paraId="5CE51AC3">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.1本项目将依法组建磋商小组，磋商小组成员由3人以上单数组成，磋商小组及其成员应当依照政府采购的有关规定履行相关职责和义务。</w:t>
      </w:r>
    </w:p>
    <w:p w14:paraId="67D039D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.2磋商小组依法对响应文件进行评审，并根据磋商文件规定的程序、评定成交的标准等事项与实质性响应磋商文件要求的供应商进行磋商。</w:t>
      </w:r>
    </w:p>
    <w:p w14:paraId="5C1AAED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.3磋商小组应当从质量和服务均能满足磋商文件实质性响应要求的供应商中，按照评审</w:t>
      </w:r>
      <w:r>
        <w:rPr>
          <w:rFonts w:hint="eastAsia" w:asciiTheme="minorEastAsia" w:hAnsiTheme="minorEastAsia" w:eastAsiaTheme="minorEastAsia"/>
          <w:color w:val="auto"/>
          <w:sz w:val="24"/>
          <w:highlight w:val="none"/>
        </w:rPr>
        <w:t>方</w:t>
      </w:r>
      <w:r>
        <w:rPr>
          <w:rFonts w:asciiTheme="minorEastAsia" w:hAnsiTheme="minorEastAsia" w:eastAsiaTheme="minorEastAsia"/>
          <w:color w:val="auto"/>
          <w:sz w:val="24"/>
          <w:highlight w:val="none"/>
        </w:rPr>
        <w:t>法</w:t>
      </w:r>
      <w:r>
        <w:rPr>
          <w:rFonts w:hint="eastAsia" w:asciiTheme="minorEastAsia" w:hAnsiTheme="minorEastAsia" w:eastAsiaTheme="minorEastAsia"/>
          <w:color w:val="auto"/>
          <w:sz w:val="24"/>
          <w:highlight w:val="none"/>
        </w:rPr>
        <w:t>和标准推荐</w:t>
      </w:r>
      <w:r>
        <w:rPr>
          <w:rFonts w:asciiTheme="minorEastAsia" w:hAnsiTheme="minorEastAsia" w:eastAsiaTheme="minorEastAsia"/>
          <w:color w:val="auto"/>
          <w:sz w:val="24"/>
          <w:highlight w:val="none"/>
        </w:rPr>
        <w:t>成交候选供应商，并编写</w:t>
      </w:r>
      <w:r>
        <w:rPr>
          <w:rFonts w:hint="eastAsia" w:asciiTheme="minorEastAsia" w:hAnsiTheme="minorEastAsia" w:eastAsiaTheme="minorEastAsia"/>
          <w:color w:val="auto"/>
          <w:sz w:val="24"/>
          <w:highlight w:val="none"/>
        </w:rPr>
        <w:t>评审</w:t>
      </w:r>
      <w:r>
        <w:rPr>
          <w:rFonts w:asciiTheme="minorEastAsia" w:hAnsiTheme="minorEastAsia" w:eastAsiaTheme="minorEastAsia"/>
          <w:color w:val="auto"/>
          <w:sz w:val="24"/>
          <w:highlight w:val="none"/>
        </w:rPr>
        <w:t>报告。</w:t>
      </w:r>
    </w:p>
    <w:p w14:paraId="0ED81A30">
      <w:pPr>
        <w:spacing w:line="360" w:lineRule="auto"/>
        <w:ind w:firstLine="437"/>
        <w:outlineLvl w:val="2"/>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t>1</w:t>
      </w:r>
      <w:r>
        <w:rPr>
          <w:rFonts w:hint="eastAsia" w:asciiTheme="minorEastAsia" w:hAnsiTheme="minorEastAsia" w:eastAsiaTheme="minorEastAsia"/>
          <w:b/>
          <w:color w:val="auto"/>
          <w:sz w:val="24"/>
          <w:highlight w:val="none"/>
          <w:lang w:val="en-US" w:eastAsia="zh-CN"/>
        </w:rPr>
        <w:t>4</w:t>
      </w:r>
      <w:r>
        <w:rPr>
          <w:rFonts w:asciiTheme="minorEastAsia" w:hAnsiTheme="minorEastAsia" w:eastAsiaTheme="minorEastAsia"/>
          <w:b/>
          <w:color w:val="auto"/>
          <w:sz w:val="24"/>
          <w:highlight w:val="none"/>
        </w:rPr>
        <w:t>.响应文件的评审与磋商</w:t>
      </w:r>
    </w:p>
    <w:p w14:paraId="6AE04EF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1采购人和采购代理机构将在</w:t>
      </w:r>
      <w:r>
        <w:rPr>
          <w:rFonts w:hint="eastAsia" w:cs="@仿宋_GB2312" w:asciiTheme="minorEastAsia" w:hAnsiTheme="minorEastAsia" w:eastAsiaTheme="minorEastAsia"/>
          <w:color w:val="auto"/>
          <w:kern w:val="2"/>
          <w:sz w:val="24"/>
          <w:highlight w:val="none"/>
          <w:u w:val="none"/>
          <w:lang w:val="en-US" w:eastAsia="zh-CN"/>
        </w:rPr>
        <w:t>竞争性磋商公告</w:t>
      </w:r>
      <w:r>
        <w:rPr>
          <w:rFonts w:hint="eastAsia" w:asciiTheme="minorEastAsia" w:hAnsiTheme="minorEastAsia" w:eastAsiaTheme="minorEastAsia"/>
          <w:color w:val="auto"/>
          <w:sz w:val="24"/>
          <w:highlight w:val="none"/>
        </w:rPr>
        <w:t>规定的时间和地点组织磋商。</w:t>
      </w:r>
    </w:p>
    <w:p w14:paraId="56CF1DF0">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.2竞争性磋商活动采用综合评分法评审。</w:t>
      </w:r>
    </w:p>
    <w:p w14:paraId="63C865D9">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综合评分法，是指响应文件满足磋商文件全部实质性要求且按评审因素的量化指标评审得分最高的供应商为成交候选供应商的评审方法。</w:t>
      </w:r>
    </w:p>
    <w:p w14:paraId="172727EB">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.3磋商小组将按照磋商文件规定的</w:t>
      </w:r>
      <w:r>
        <w:rPr>
          <w:rFonts w:asciiTheme="minorEastAsia" w:hAnsiTheme="minorEastAsia" w:eastAsiaTheme="minorEastAsia"/>
          <w:color w:val="auto"/>
          <w:sz w:val="24"/>
          <w:highlight w:val="none"/>
        </w:rPr>
        <w:t>评审</w:t>
      </w:r>
      <w:r>
        <w:rPr>
          <w:rFonts w:hint="eastAsia" w:asciiTheme="minorEastAsia" w:hAnsiTheme="minorEastAsia" w:eastAsiaTheme="minorEastAsia"/>
          <w:color w:val="auto"/>
          <w:sz w:val="24"/>
          <w:highlight w:val="none"/>
        </w:rPr>
        <w:t>方</w:t>
      </w:r>
      <w:r>
        <w:rPr>
          <w:rFonts w:asciiTheme="minorEastAsia" w:hAnsiTheme="minorEastAsia" w:eastAsiaTheme="minorEastAsia"/>
          <w:color w:val="auto"/>
          <w:sz w:val="24"/>
          <w:highlight w:val="none"/>
        </w:rPr>
        <w:t>法</w:t>
      </w:r>
      <w:r>
        <w:rPr>
          <w:rFonts w:hint="eastAsia" w:asciiTheme="minorEastAsia" w:hAnsiTheme="minorEastAsia" w:eastAsiaTheme="minorEastAsia"/>
          <w:color w:val="auto"/>
          <w:sz w:val="24"/>
          <w:highlight w:val="none"/>
        </w:rPr>
        <w:t>和标准对供应商独立进行评审。评审程序如下：</w:t>
      </w:r>
    </w:p>
    <w:p w14:paraId="3833FC97">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.3.1</w:t>
      </w:r>
      <w:r>
        <w:rPr>
          <w:rFonts w:hint="eastAsia" w:asciiTheme="minorEastAsia" w:hAnsiTheme="minorEastAsia" w:eastAsiaTheme="minorEastAsia"/>
          <w:b/>
          <w:color w:val="auto"/>
          <w:sz w:val="24"/>
          <w:highlight w:val="none"/>
        </w:rPr>
        <w:t>初审</w:t>
      </w:r>
      <w:r>
        <w:rPr>
          <w:rFonts w:hint="eastAsia" w:asciiTheme="minorEastAsia" w:hAnsiTheme="minorEastAsia" w:eastAsiaTheme="minorEastAsia"/>
          <w:color w:val="auto"/>
          <w:sz w:val="24"/>
          <w:highlight w:val="none"/>
        </w:rPr>
        <w:t>。磋商小组对供应商必须满足和实质性响应的内容进行评审，供应商未实质性响应磋商文件要求导致响应无效的，磋商小组将以书面询标的方式告知有关供应商。</w:t>
      </w:r>
    </w:p>
    <w:p w14:paraId="7AB2582E">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.3.2</w:t>
      </w:r>
      <w:r>
        <w:rPr>
          <w:rFonts w:hint="eastAsia" w:asciiTheme="minorEastAsia" w:hAnsiTheme="minorEastAsia" w:eastAsiaTheme="minorEastAsia"/>
          <w:b/>
          <w:color w:val="auto"/>
          <w:sz w:val="24"/>
          <w:highlight w:val="none"/>
        </w:rPr>
        <w:t>磋商</w:t>
      </w:r>
      <w:r>
        <w:rPr>
          <w:rFonts w:hint="eastAsia" w:asciiTheme="minorEastAsia" w:hAnsiTheme="minorEastAsia" w:eastAsiaTheme="minorEastAsia"/>
          <w:color w:val="auto"/>
          <w:sz w:val="24"/>
          <w:highlight w:val="none"/>
        </w:rPr>
        <w:t>。初审合格后，磋商小组将按响应文件提交顺序集中与单一供应商分别进行磋商，并给予所有参加磋商的供应商平等的磋商机会。</w:t>
      </w:r>
    </w:p>
    <w:p w14:paraId="252FA684">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.3.3</w:t>
      </w:r>
      <w:r>
        <w:rPr>
          <w:rFonts w:asciiTheme="minorEastAsia" w:hAnsiTheme="minorEastAsia" w:eastAsiaTheme="minorEastAsia"/>
          <w:b/>
          <w:color w:val="auto"/>
          <w:sz w:val="24"/>
          <w:highlight w:val="none"/>
        </w:rPr>
        <w:t>报价</w:t>
      </w:r>
      <w:r>
        <w:rPr>
          <w:rFonts w:hint="eastAsia" w:asciiTheme="minorEastAsia" w:hAnsiTheme="minorEastAsia" w:eastAsiaTheme="minorEastAsia"/>
          <w:color w:val="auto"/>
          <w:sz w:val="24"/>
          <w:highlight w:val="none"/>
        </w:rPr>
        <w:t>。</w:t>
      </w:r>
      <w:r>
        <w:rPr>
          <w:rFonts w:asciiTheme="minorEastAsia" w:hAnsiTheme="minorEastAsia" w:eastAsiaTheme="minorEastAsia"/>
          <w:color w:val="auto"/>
          <w:sz w:val="24"/>
          <w:highlight w:val="none"/>
        </w:rPr>
        <w:t>磋商结束后，磋商小组应当要求所有</w:t>
      </w:r>
      <w:r>
        <w:rPr>
          <w:rFonts w:hint="eastAsia" w:asciiTheme="minorEastAsia" w:hAnsiTheme="minorEastAsia" w:eastAsiaTheme="minorEastAsia"/>
          <w:color w:val="auto"/>
          <w:sz w:val="24"/>
          <w:highlight w:val="none"/>
        </w:rPr>
        <w:t>实质性响应</w:t>
      </w:r>
      <w:r>
        <w:rPr>
          <w:rFonts w:asciiTheme="minorEastAsia" w:hAnsiTheme="minorEastAsia" w:eastAsiaTheme="minorEastAsia"/>
          <w:color w:val="auto"/>
          <w:sz w:val="24"/>
          <w:highlight w:val="none"/>
        </w:rPr>
        <w:t>的供应商在规定时间内提交最后报价</w:t>
      </w:r>
      <w:r>
        <w:rPr>
          <w:rFonts w:hint="eastAsia"/>
          <w:color w:val="auto"/>
          <w:sz w:val="24"/>
          <w:highlight w:val="none"/>
        </w:rPr>
        <w:t>。</w:t>
      </w:r>
    </w:p>
    <w:p w14:paraId="17B70FCF">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.3.4</w:t>
      </w:r>
      <w:r>
        <w:rPr>
          <w:rFonts w:hint="eastAsia" w:asciiTheme="minorEastAsia" w:hAnsiTheme="minorEastAsia" w:eastAsiaTheme="minorEastAsia"/>
          <w:b/>
          <w:color w:val="auto"/>
          <w:sz w:val="24"/>
          <w:highlight w:val="none"/>
        </w:rPr>
        <w:t>综合评分</w:t>
      </w:r>
      <w:r>
        <w:rPr>
          <w:rFonts w:hint="eastAsia" w:asciiTheme="minorEastAsia" w:hAnsiTheme="minorEastAsia" w:eastAsiaTheme="minorEastAsia"/>
          <w:color w:val="auto"/>
          <w:sz w:val="24"/>
          <w:highlight w:val="none"/>
        </w:rPr>
        <w:t>。磋商小组只对通过初审，实质上响应磋商文件要求的响应文件进行综合评分。经磋商确定最终采购需求和提交最后报价的供应商后，由磋商小组采用综合评分法对提交最后报价的供应商的响应文件和最后报价进行综合评分。</w:t>
      </w:r>
    </w:p>
    <w:p w14:paraId="3D683E04">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.4相关说明。</w:t>
      </w:r>
    </w:p>
    <w:p w14:paraId="1AC376A8">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 xml:space="preserve">.4.1为保证磋商活动顺利进行，供应商可派相关技术人员进行网上答疑； </w:t>
      </w:r>
    </w:p>
    <w:p w14:paraId="1A91C6E3">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.4.2磋</w:t>
      </w:r>
      <w:r>
        <w:rPr>
          <w:rFonts w:asciiTheme="minorEastAsia" w:hAnsiTheme="minorEastAsia" w:eastAsiaTheme="minorEastAsia"/>
          <w:color w:val="auto"/>
          <w:sz w:val="24"/>
          <w:highlight w:val="none"/>
        </w:rPr>
        <w:t>商小组根据与</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磋商情况可能实质性变动</w:t>
      </w:r>
      <w:r>
        <w:rPr>
          <w:rFonts w:hint="eastAsia" w:asciiTheme="minorEastAsia" w:hAnsiTheme="minorEastAsia" w:eastAsiaTheme="minorEastAsia"/>
          <w:color w:val="auto"/>
          <w:sz w:val="24"/>
          <w:highlight w:val="none"/>
        </w:rPr>
        <w:t>磋商文件</w:t>
      </w:r>
      <w:r>
        <w:rPr>
          <w:rFonts w:asciiTheme="minorEastAsia" w:hAnsiTheme="minorEastAsia" w:eastAsiaTheme="minorEastAsia"/>
          <w:color w:val="auto"/>
          <w:sz w:val="24"/>
          <w:highlight w:val="none"/>
        </w:rPr>
        <w:t>的内容，包括采购需求中的技术、服务要求以及合同草案条款。磋商文件有实质性变动的，</w:t>
      </w:r>
      <w:r>
        <w:rPr>
          <w:rFonts w:hint="eastAsia" w:asciiTheme="minorEastAsia" w:hAnsiTheme="minorEastAsia" w:eastAsiaTheme="minorEastAsia"/>
          <w:color w:val="auto"/>
          <w:sz w:val="24"/>
          <w:highlight w:val="none"/>
        </w:rPr>
        <w:t>经采购人代表确认作为磋商文件的有效组成部分，</w:t>
      </w:r>
      <w:r>
        <w:rPr>
          <w:rFonts w:asciiTheme="minorEastAsia" w:hAnsiTheme="minorEastAsia" w:eastAsiaTheme="minorEastAsia"/>
          <w:color w:val="auto"/>
          <w:sz w:val="24"/>
          <w:highlight w:val="none"/>
        </w:rPr>
        <w:t>磋商小组</w:t>
      </w:r>
      <w:r>
        <w:rPr>
          <w:rFonts w:hint="eastAsia" w:asciiTheme="minorEastAsia" w:hAnsiTheme="minorEastAsia" w:eastAsiaTheme="minorEastAsia"/>
          <w:color w:val="auto"/>
          <w:sz w:val="24"/>
          <w:highlight w:val="none"/>
        </w:rPr>
        <w:t>将</w:t>
      </w:r>
      <w:r>
        <w:rPr>
          <w:rFonts w:asciiTheme="minorEastAsia" w:hAnsiTheme="minorEastAsia" w:eastAsiaTheme="minorEastAsia"/>
          <w:color w:val="auto"/>
          <w:sz w:val="24"/>
          <w:highlight w:val="none"/>
        </w:rPr>
        <w:t>以书面形式通知所有参加磋商的供应商。</w:t>
      </w:r>
    </w:p>
    <w:p w14:paraId="20950B42">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4.3磋商小组发现供应商的报价或者某些分项报价明显低于其他通过初审的供应商的报价，有可能影响产品质量和不能诚信履约的，应当要求其在合理的时间内提供书面说明，必要时提交相关证明材料；供应商不能证明其报价合理性的，其响应文件将被认定为</w:t>
      </w:r>
      <w:r>
        <w:rPr>
          <w:rFonts w:asciiTheme="minorEastAsia" w:hAnsiTheme="minorEastAsia" w:eastAsiaTheme="minorEastAsia"/>
          <w:b/>
          <w:color w:val="auto"/>
          <w:sz w:val="24"/>
          <w:highlight w:val="none"/>
        </w:rPr>
        <w:t>响应无效。</w:t>
      </w:r>
    </w:p>
    <w:p w14:paraId="7671F380">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.4.4</w:t>
      </w:r>
      <w:r>
        <w:rPr>
          <w:rFonts w:asciiTheme="minorEastAsia" w:hAnsiTheme="minorEastAsia" w:eastAsiaTheme="minorEastAsia"/>
          <w:color w:val="auto"/>
          <w:sz w:val="24"/>
          <w:highlight w:val="none"/>
        </w:rPr>
        <w:t>无论何种原因，即使供应商</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时携带了证书材料的原件，但响应文件中未提供与之内容完全一致的</w:t>
      </w:r>
      <w:r>
        <w:rPr>
          <w:rFonts w:hint="eastAsia" w:asciiTheme="minorEastAsia" w:hAnsiTheme="minorEastAsia" w:eastAsiaTheme="minorEastAsia"/>
          <w:color w:val="auto"/>
          <w:sz w:val="24"/>
          <w:highlight w:val="none"/>
        </w:rPr>
        <w:t>扫描件</w:t>
      </w:r>
      <w:r>
        <w:rPr>
          <w:rFonts w:asciiTheme="minorEastAsia" w:hAnsiTheme="minorEastAsia" w:eastAsiaTheme="minorEastAsia"/>
          <w:color w:val="auto"/>
          <w:sz w:val="24"/>
          <w:highlight w:val="none"/>
        </w:rPr>
        <w:t>的，</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小组可以视同其未提供。</w:t>
      </w:r>
    </w:p>
    <w:p w14:paraId="4F21F14E">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.4.5磋商</w:t>
      </w:r>
      <w:r>
        <w:rPr>
          <w:rFonts w:asciiTheme="minorEastAsia" w:hAnsiTheme="minorEastAsia" w:eastAsiaTheme="minorEastAsia"/>
          <w:color w:val="auto"/>
          <w:sz w:val="24"/>
          <w:highlight w:val="none"/>
        </w:rPr>
        <w:t>小组决定响应文件的响应性及符合性只根据响应文件本身的内容，而不寻求其他外部证据。</w:t>
      </w:r>
    </w:p>
    <w:p w14:paraId="72711166">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5</w:t>
      </w:r>
      <w:r>
        <w:rPr>
          <w:rFonts w:asciiTheme="minorEastAsia" w:hAnsiTheme="minorEastAsia" w:eastAsiaTheme="minorEastAsia"/>
          <w:color w:val="auto"/>
          <w:sz w:val="24"/>
          <w:highlight w:val="none"/>
        </w:rPr>
        <w:t>供应商</w:t>
      </w:r>
      <w:r>
        <w:rPr>
          <w:rFonts w:hint="eastAsia" w:asciiTheme="minorEastAsia" w:hAnsiTheme="minorEastAsia" w:eastAsiaTheme="minorEastAsia"/>
          <w:color w:val="auto"/>
          <w:sz w:val="24"/>
          <w:highlight w:val="none"/>
        </w:rPr>
        <w:t>授权</w:t>
      </w:r>
      <w:r>
        <w:rPr>
          <w:rFonts w:asciiTheme="minorEastAsia" w:hAnsiTheme="minorEastAsia" w:eastAsiaTheme="minorEastAsia"/>
          <w:color w:val="auto"/>
          <w:sz w:val="24"/>
          <w:highlight w:val="none"/>
        </w:rPr>
        <w:t>代表对</w:t>
      </w:r>
      <w:r>
        <w:rPr>
          <w:rFonts w:hint="eastAsia" w:asciiTheme="minorEastAsia" w:hAnsiTheme="minorEastAsia" w:eastAsiaTheme="minorEastAsia"/>
          <w:color w:val="auto"/>
          <w:sz w:val="24"/>
          <w:highlight w:val="none"/>
        </w:rPr>
        <w:t>磋商过程</w:t>
      </w:r>
      <w:r>
        <w:rPr>
          <w:rFonts w:asciiTheme="minorEastAsia" w:hAnsiTheme="minorEastAsia" w:eastAsiaTheme="minorEastAsia"/>
          <w:color w:val="auto"/>
          <w:sz w:val="24"/>
          <w:highlight w:val="none"/>
        </w:rPr>
        <w:t>有疑义，以及认为采购人、采购代理机构相关工作人员有需要回避的情形的，应当场提出询问或者回避申请</w:t>
      </w:r>
      <w:r>
        <w:rPr>
          <w:rFonts w:hint="eastAsia" w:asciiTheme="minorEastAsia" w:hAnsiTheme="minorEastAsia" w:eastAsiaTheme="minorEastAsia"/>
          <w:color w:val="auto"/>
          <w:sz w:val="24"/>
          <w:highlight w:val="none"/>
        </w:rPr>
        <w:t>，并说明理由。</w:t>
      </w:r>
      <w:r>
        <w:rPr>
          <w:rFonts w:asciiTheme="minorEastAsia" w:hAnsiTheme="minorEastAsia" w:eastAsiaTheme="minorEastAsia"/>
          <w:color w:val="auto"/>
          <w:sz w:val="24"/>
          <w:highlight w:val="none"/>
        </w:rPr>
        <w:t xml:space="preserve"> </w:t>
      </w:r>
    </w:p>
    <w:p w14:paraId="03A0883C">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15</w:t>
      </w:r>
      <w:r>
        <w:rPr>
          <w:rFonts w:asciiTheme="minorEastAsia" w:hAnsiTheme="minorEastAsia" w:eastAsiaTheme="minorEastAsia"/>
          <w:b/>
          <w:color w:val="auto"/>
          <w:sz w:val="24"/>
          <w:highlight w:val="none"/>
        </w:rPr>
        <w:t>.终止竞争性磋商</w:t>
      </w:r>
    </w:p>
    <w:p w14:paraId="27E7D217">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15</w:t>
      </w:r>
      <w:r>
        <w:rPr>
          <w:rFonts w:hint="eastAsia" w:asciiTheme="minorEastAsia" w:hAnsiTheme="minorEastAsia" w:eastAsiaTheme="minorEastAsia"/>
          <w:color w:val="auto"/>
          <w:sz w:val="24"/>
          <w:highlight w:val="none"/>
        </w:rPr>
        <w:t>.1出现下列情况之一时，采购人和采购代理机构有权宣布终止竞争性磋商采购，并将理由通知所有供应商：</w:t>
      </w:r>
    </w:p>
    <w:p w14:paraId="16BAC422">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（1）有效供应商数量不足，导致本次磋商缺乏竞争的；</w:t>
      </w:r>
    </w:p>
    <w:p w14:paraId="0661173F">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（2）出现影响采购公正的违法、违规行为的；</w:t>
      </w:r>
    </w:p>
    <w:p w14:paraId="2B1DD76F">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（3）因重大变故，采购任务取消的；</w:t>
      </w:r>
    </w:p>
    <w:p w14:paraId="38EC82D0">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（4）政府采购法律法规规定的其他情形。</w:t>
      </w:r>
    </w:p>
    <w:p w14:paraId="519E9CAE">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16</w:t>
      </w:r>
      <w:r>
        <w:rPr>
          <w:rFonts w:asciiTheme="minorEastAsia" w:hAnsiTheme="minorEastAsia" w:eastAsiaTheme="minorEastAsia"/>
          <w:b/>
          <w:color w:val="auto"/>
          <w:sz w:val="24"/>
          <w:highlight w:val="none"/>
        </w:rPr>
        <w:t>.响应文件的澄清、说明或</w:t>
      </w:r>
      <w:r>
        <w:rPr>
          <w:rFonts w:hint="eastAsia" w:asciiTheme="minorEastAsia" w:hAnsiTheme="minorEastAsia" w:eastAsiaTheme="minorEastAsia"/>
          <w:b/>
          <w:color w:val="auto"/>
          <w:sz w:val="24"/>
          <w:highlight w:val="none"/>
        </w:rPr>
        <w:t>更正</w:t>
      </w:r>
    </w:p>
    <w:p w14:paraId="62E6EB12">
      <w:pPr>
        <w:spacing w:line="360" w:lineRule="auto"/>
        <w:ind w:firstLine="470" w:firstLineChars="196"/>
        <w:rPr>
          <w:color w:val="auto"/>
          <w:sz w:val="24"/>
          <w:highlight w:val="none"/>
        </w:rPr>
      </w:pPr>
      <w:r>
        <w:rPr>
          <w:rFonts w:hint="eastAsia"/>
          <w:color w:val="auto"/>
          <w:sz w:val="24"/>
          <w:highlight w:val="none"/>
          <w:lang w:val="en-US" w:eastAsia="zh-CN"/>
        </w:rPr>
        <w:t>16</w:t>
      </w:r>
      <w:r>
        <w:rPr>
          <w:rFonts w:hint="eastAsia"/>
          <w:color w:val="auto"/>
          <w:sz w:val="24"/>
          <w:highlight w:val="none"/>
        </w:rPr>
        <w:t>.1磋商小组将对响应文件的有效性、完整性和响应程度进行审查，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对不同文字文本响应文件的解释发生异议的，以中文文本为准。</w:t>
      </w:r>
    </w:p>
    <w:p w14:paraId="2D1FD126">
      <w:pPr>
        <w:spacing w:line="360" w:lineRule="auto"/>
        <w:ind w:firstLine="470" w:firstLineChars="196"/>
        <w:rPr>
          <w:color w:val="auto"/>
          <w:sz w:val="24"/>
          <w:highlight w:val="none"/>
        </w:rPr>
      </w:pPr>
      <w:r>
        <w:rPr>
          <w:rFonts w:hint="eastAsia"/>
          <w:color w:val="auto"/>
          <w:sz w:val="24"/>
          <w:highlight w:val="none"/>
          <w:lang w:val="en-US" w:eastAsia="zh-CN"/>
        </w:rPr>
        <w:t>16</w:t>
      </w:r>
      <w:r>
        <w:rPr>
          <w:rFonts w:hint="eastAsia"/>
          <w:color w:val="auto"/>
          <w:sz w:val="24"/>
          <w:highlight w:val="none"/>
        </w:rPr>
        <w:t>.2磋商小组要求供应商澄清、说明或者更正响应文件应当以书面形式（询标）作出。供应商的澄清、说明或者更正应当由法定代表人或其授权代表签字或者加盖公章。</w:t>
      </w:r>
    </w:p>
    <w:p w14:paraId="37833647">
      <w:pPr>
        <w:spacing w:line="360" w:lineRule="auto"/>
        <w:ind w:firstLine="435"/>
        <w:rPr>
          <w:color w:val="auto"/>
          <w:sz w:val="24"/>
          <w:highlight w:val="none"/>
        </w:rPr>
      </w:pPr>
      <w:r>
        <w:rPr>
          <w:rFonts w:hint="eastAsia"/>
          <w:b/>
          <w:color w:val="auto"/>
          <w:sz w:val="24"/>
          <w:highlight w:val="none"/>
        </w:rPr>
        <w:t>如有询标，授权代表（或法定代表人）可通过</w:t>
      </w:r>
      <w:r>
        <w:rPr>
          <w:rFonts w:hint="eastAsia"/>
          <w:b/>
          <w:color w:val="auto"/>
          <w:sz w:val="24"/>
          <w:highlight w:val="none"/>
          <w:lang w:val="en-US" w:eastAsia="zh-CN"/>
        </w:rPr>
        <w:t>现场的</w:t>
      </w:r>
      <w:r>
        <w:rPr>
          <w:rFonts w:hint="eastAsia"/>
          <w:b/>
          <w:color w:val="auto"/>
          <w:sz w:val="24"/>
          <w:highlight w:val="none"/>
        </w:rPr>
        <w:t>方式询标，也可凭本人有效身份证明参加询标。因授权代表联系不上</w:t>
      </w:r>
      <w:r>
        <w:rPr>
          <w:rFonts w:hint="eastAsia"/>
          <w:b/>
          <w:bCs/>
          <w:color w:val="auto"/>
          <w:sz w:val="24"/>
          <w:highlight w:val="none"/>
        </w:rPr>
        <w:t>等情形</w:t>
      </w:r>
      <w:r>
        <w:rPr>
          <w:rFonts w:hint="eastAsia"/>
          <w:b/>
          <w:color w:val="auto"/>
          <w:sz w:val="24"/>
          <w:highlight w:val="none"/>
        </w:rPr>
        <w:t>而无法接受磋商小组询标的，供应商自行承担相关风险。</w:t>
      </w:r>
    </w:p>
    <w:p w14:paraId="59800EA6">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17</w:t>
      </w:r>
      <w:r>
        <w:rPr>
          <w:rFonts w:asciiTheme="minorEastAsia" w:hAnsiTheme="minorEastAsia" w:eastAsiaTheme="minorEastAsia"/>
          <w:b/>
          <w:color w:val="auto"/>
          <w:sz w:val="24"/>
          <w:highlight w:val="none"/>
        </w:rPr>
        <w:t>.最后报价</w:t>
      </w:r>
    </w:p>
    <w:p w14:paraId="33070930">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17</w:t>
      </w:r>
      <w:r>
        <w:rPr>
          <w:rFonts w:hint="eastAsia" w:asciiTheme="minorEastAsia" w:hAnsiTheme="minorEastAsia" w:eastAsiaTheme="minorEastAsia"/>
          <w:color w:val="auto"/>
          <w:sz w:val="24"/>
          <w:highlight w:val="none"/>
        </w:rPr>
        <w:t>.1</w:t>
      </w:r>
      <w:r>
        <w:rPr>
          <w:rFonts w:asciiTheme="minorEastAsia" w:hAnsiTheme="minorEastAsia" w:eastAsiaTheme="minorEastAsia"/>
          <w:color w:val="auto"/>
          <w:sz w:val="24"/>
          <w:highlight w:val="none"/>
        </w:rPr>
        <w:t>磋商并不限定只进行二轮报价，如果磋商小组认为有必要，可以要求供应商进行多轮报价。</w:t>
      </w:r>
    </w:p>
    <w:p w14:paraId="1C9A525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17</w:t>
      </w: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在磋商内容不做实质性变更或重大调整的前提下，供应商下轮报价不得高于上一轮报价</w:t>
      </w:r>
      <w:r>
        <w:rPr>
          <w:rFonts w:hint="eastAsia" w:asciiTheme="minorEastAsia" w:hAnsiTheme="minorEastAsia" w:eastAsiaTheme="minorEastAsia"/>
          <w:color w:val="auto"/>
          <w:sz w:val="24"/>
          <w:highlight w:val="none"/>
        </w:rPr>
        <w:t>。</w:t>
      </w:r>
    </w:p>
    <w:p w14:paraId="2DF1F20D">
      <w:pPr>
        <w:spacing w:line="360" w:lineRule="auto"/>
        <w:ind w:firstLine="435"/>
        <w:rPr>
          <w:rFonts w:asciiTheme="majorEastAsia" w:hAnsiTheme="majorEastAsia" w:eastAsiaTheme="majorEastAsia"/>
          <w:color w:val="auto"/>
          <w:sz w:val="24"/>
          <w:highlight w:val="none"/>
        </w:rPr>
      </w:pPr>
      <w:r>
        <w:rPr>
          <w:rFonts w:hint="eastAsia" w:asciiTheme="minorEastAsia" w:hAnsiTheme="minorEastAsia" w:eastAsiaTheme="minorEastAsia"/>
          <w:color w:val="auto"/>
          <w:sz w:val="24"/>
          <w:highlight w:val="none"/>
          <w:lang w:val="en-US" w:eastAsia="zh-CN"/>
        </w:rPr>
        <w:t>17</w:t>
      </w:r>
      <w:r>
        <w:rPr>
          <w:rFonts w:hint="eastAsia" w:asciiTheme="minorEastAsia" w:hAnsiTheme="minorEastAsia" w:eastAsiaTheme="minorEastAsia"/>
          <w:color w:val="auto"/>
          <w:sz w:val="24"/>
          <w:highlight w:val="none"/>
        </w:rPr>
        <w:t>.3</w:t>
      </w:r>
      <w:r>
        <w:rPr>
          <w:rFonts w:asciiTheme="minorEastAsia" w:hAnsiTheme="minorEastAsia" w:eastAsiaTheme="minorEastAsia"/>
          <w:color w:val="auto"/>
          <w:sz w:val="24"/>
          <w:highlight w:val="none"/>
        </w:rPr>
        <w:t>最后报价是供应商响应文件的有效组成部分，最后报价也是签订合同的依据。</w:t>
      </w:r>
    </w:p>
    <w:p w14:paraId="139DC088">
      <w:pPr>
        <w:spacing w:line="360" w:lineRule="auto"/>
        <w:ind w:firstLine="435"/>
        <w:rPr>
          <w:rFonts w:cs="@仿宋_GB2312"/>
          <w:color w:val="auto"/>
          <w:kern w:val="2"/>
          <w:sz w:val="24"/>
          <w:szCs w:val="22"/>
          <w:highlight w:val="none"/>
        </w:rPr>
      </w:pPr>
      <w:r>
        <w:rPr>
          <w:rFonts w:hint="eastAsia" w:cs="@仿宋_GB2312"/>
          <w:color w:val="auto"/>
          <w:kern w:val="2"/>
          <w:sz w:val="24"/>
          <w:szCs w:val="22"/>
          <w:highlight w:val="none"/>
          <w:lang w:val="en-US" w:eastAsia="zh-CN"/>
        </w:rPr>
        <w:t>17</w:t>
      </w:r>
      <w:r>
        <w:rPr>
          <w:rFonts w:hint="eastAsia" w:cs="@仿宋_GB2312"/>
          <w:color w:val="auto"/>
          <w:kern w:val="2"/>
          <w:sz w:val="24"/>
          <w:szCs w:val="22"/>
          <w:highlight w:val="none"/>
        </w:rPr>
        <w:t>.</w:t>
      </w:r>
      <w:r>
        <w:rPr>
          <w:rFonts w:hint="eastAsia" w:cs="@仿宋_GB2312"/>
          <w:color w:val="auto"/>
          <w:kern w:val="2"/>
          <w:sz w:val="24"/>
          <w:szCs w:val="22"/>
          <w:highlight w:val="none"/>
          <w:lang w:val="en-US" w:eastAsia="zh-CN"/>
        </w:rPr>
        <w:t>4</w:t>
      </w:r>
      <w:r>
        <w:rPr>
          <w:rFonts w:hint="eastAsia" w:cs="@仿宋_GB2312"/>
          <w:color w:val="auto"/>
          <w:kern w:val="2"/>
          <w:sz w:val="24"/>
          <w:szCs w:val="22"/>
          <w:highlight w:val="none"/>
        </w:rPr>
        <w:t>供应商应当按照企业定额或项目所在地最新建设工程计价依据以及材料市场价格信息等，结合自身实力、施工经验、现场环境以及磋商文件的要求自主报价。</w:t>
      </w:r>
    </w:p>
    <w:p w14:paraId="4E2E2257">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w:t>
      </w:r>
      <w:r>
        <w:rPr>
          <w:rFonts w:hint="eastAsia"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lang w:val="en-US" w:eastAsia="zh-CN"/>
        </w:rPr>
        <w:t>5</w:t>
      </w:r>
      <w:r>
        <w:rPr>
          <w:rFonts w:hint="eastAsia" w:cs="@仿宋_GB2312" w:asciiTheme="minorEastAsia" w:hAnsiTheme="minorEastAsia" w:eastAsiaTheme="minorEastAsia"/>
          <w:color w:val="auto"/>
          <w:kern w:val="2"/>
          <w:sz w:val="24"/>
          <w:highlight w:val="none"/>
        </w:rPr>
        <w:t>除非采购人对磋商文件予以澄清、修改，否则供应商应按采购人提供的工程量清单中列出的工程项目和工程量逐项填报综合单价和合价。供应商不得在工程量清单中任意增删、修改清单项目与工程量及项目排列顺序。</w:t>
      </w:r>
    </w:p>
    <w:p w14:paraId="435F81F3">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w:t>
      </w:r>
      <w:r>
        <w:rPr>
          <w:rFonts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lang w:val="en-US" w:eastAsia="zh-CN"/>
        </w:rPr>
        <w:t>6</w:t>
      </w:r>
      <w:r>
        <w:rPr>
          <w:rFonts w:hint="eastAsia" w:cs="@仿宋_GB2312" w:asciiTheme="minorEastAsia" w:hAnsiTheme="minorEastAsia" w:eastAsiaTheme="minorEastAsia"/>
          <w:color w:val="auto"/>
          <w:kern w:val="2"/>
          <w:sz w:val="24"/>
          <w:highlight w:val="none"/>
        </w:rPr>
        <w:t>除非合同中另有规定，供应商在工程量清单报价书中所报的价格包括完成磋商文件规定的全部工程内容及为达到质量和工期目标、安全文明、环境保护等要求的分部分项工程费，措施项目费，不可竞争费，其他项目费，税金等所有费用。为满足工程建设标准和技术规范要求所发生的费用应包括在报价中。报价为供应商在响应文件中提出的各项支付金额的总和。每一清单项目只允许有一个报价，任何有选择的报价将不予接受。供应商未填综合单价或合价的清单项目，将被视为该项费用已包括在其他有价款的综合单价或合价以及总价内，供应商必须按合同要求完成工程量清单中未填综合单价或合价的工程项目，任何与未填综合单价或合价的工程项目有关的工程价款，采购人将不再另行支付。</w:t>
      </w:r>
    </w:p>
    <w:p w14:paraId="39899B1E">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w:t>
      </w:r>
      <w:r>
        <w:rPr>
          <w:rFonts w:hint="eastAsia"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lang w:val="en-US" w:eastAsia="zh-CN"/>
        </w:rPr>
        <w:t>7</w:t>
      </w:r>
      <w:r>
        <w:rPr>
          <w:rFonts w:hint="eastAsia" w:cs="@仿宋_GB2312" w:asciiTheme="minorEastAsia" w:hAnsiTheme="minorEastAsia" w:eastAsiaTheme="minorEastAsia"/>
          <w:color w:val="auto"/>
          <w:kern w:val="2"/>
          <w:sz w:val="24"/>
          <w:highlight w:val="none"/>
        </w:rPr>
        <w:t>本项目的施工地点为本须知前附表所述，供应商可到施工现场踏勘以充分了解工地位置、情况、道路、储存空间、装卸限制及任何其它足以影响磋商报价的情况，任何因忽视或误解施工场地情况而导致的索赔或工期延长申请将不被批准。对于受施工现场场地限制，如需要另外寻找场地解决临时住宿、材料及设备堆放，由此所产生的费用应包含在磋商报价范围内，采购人不再承担该费用。</w:t>
      </w:r>
    </w:p>
    <w:p w14:paraId="344B4493">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17.8</w:t>
      </w:r>
      <w:r>
        <w:rPr>
          <w:rFonts w:hint="eastAsia" w:cs="@仿宋_GB2312" w:asciiTheme="minorEastAsia" w:hAnsiTheme="minorEastAsia" w:eastAsiaTheme="minorEastAsia"/>
          <w:color w:val="auto"/>
          <w:kern w:val="2"/>
          <w:sz w:val="24"/>
          <w:highlight w:val="none"/>
        </w:rPr>
        <w:t>工程造价的确定与控制</w:t>
      </w:r>
    </w:p>
    <w:p w14:paraId="57A7E5CE">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hint="eastAsia" w:cs="@仿宋_GB2312" w:asciiTheme="minorEastAsia" w:hAnsiTheme="minorEastAsia" w:eastAsiaTheme="minorEastAsia"/>
          <w:color w:val="auto"/>
          <w:kern w:val="2"/>
          <w:sz w:val="24"/>
          <w:highlight w:val="none"/>
        </w:rPr>
        <w:t>本工程确定成交供应商后，工程总造价在磋商范围内包定，除经批准的设计变更、经济签证外，其它工程造价增减均不予签证计价。</w:t>
      </w:r>
    </w:p>
    <w:p w14:paraId="1FA74BEF">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hint="eastAsia"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lang w:val="en-US" w:eastAsia="zh-CN"/>
        </w:rPr>
        <w:t>1</w:t>
      </w:r>
      <w:r>
        <w:rPr>
          <w:rFonts w:hint="eastAsia" w:cs="@仿宋_GB2312" w:asciiTheme="minorEastAsia" w:hAnsiTheme="minorEastAsia" w:eastAsiaTheme="minorEastAsia"/>
          <w:color w:val="auto"/>
          <w:kern w:val="2"/>
          <w:sz w:val="24"/>
          <w:highlight w:val="none"/>
        </w:rPr>
        <w:t>磋商前，供应商应认真对照施工设计图纸等文件核对采购人提供的工程量清单，发现工程量存在项目划分误差、计量单位误差、数量误差、遗漏项目的，必须在网上询问截止时间前向采购人提出疑问，否则采购人可不予答复。</w:t>
      </w:r>
    </w:p>
    <w:p w14:paraId="23F21DF7">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lang w:val="en-US" w:eastAsia="zh-CN"/>
        </w:rPr>
        <w:t>2</w:t>
      </w:r>
      <w:r>
        <w:rPr>
          <w:rFonts w:hint="eastAsia" w:ascii="宋体" w:hAnsi="宋体" w:eastAsia="宋体" w:cs="宋体"/>
          <w:b w:val="0"/>
          <w:bCs w:val="0"/>
          <w:color w:val="auto"/>
          <w:kern w:val="2"/>
          <w:sz w:val="24"/>
          <w:szCs w:val="24"/>
          <w:highlight w:val="none"/>
        </w:rPr>
        <w:t>采购人对疑问应进行核实，确认工程量单项子目误差在±3%（含±3%）以内的，采购人可不予调整工程量，供应商应将其误差考虑在综合单价内；若有遗漏项目或单项子目工程量误差超过±3%的，采购人应进行修正并重新公布准确的工程量清单。</w:t>
      </w:r>
    </w:p>
    <w:p w14:paraId="34BF14FF">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lang w:val="en-US" w:eastAsia="zh-CN"/>
        </w:rPr>
        <w:t>3</w:t>
      </w:r>
      <w:r>
        <w:rPr>
          <w:rFonts w:hint="eastAsia" w:cs="@仿宋_GB2312" w:asciiTheme="minorEastAsia" w:hAnsiTheme="minorEastAsia" w:eastAsiaTheme="minorEastAsia"/>
          <w:color w:val="auto"/>
          <w:kern w:val="2"/>
          <w:sz w:val="24"/>
          <w:highlight w:val="none"/>
        </w:rPr>
        <w:t>供应商在规定时间内未对工程量清单提出疑问的，成交后，采购人不再对工程量清单的项目和数量进行校对调整。供应商必须按其报价完成竞争性磋商文件规定范围内的设计图纸规定的所有工程项目。</w:t>
      </w:r>
    </w:p>
    <w:p w14:paraId="65EA61DE">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17.10</w:t>
      </w:r>
      <w:r>
        <w:rPr>
          <w:rFonts w:hint="eastAsia" w:cs="@仿宋_GB2312" w:asciiTheme="minorEastAsia" w:hAnsiTheme="minorEastAsia" w:eastAsiaTheme="minorEastAsia"/>
          <w:color w:val="auto"/>
          <w:kern w:val="2"/>
          <w:sz w:val="24"/>
          <w:highlight w:val="none"/>
        </w:rPr>
        <w:t>成交供应商在工程量清单报价书中所报的综合单价一律不予调整。</w:t>
      </w:r>
    </w:p>
    <w:p w14:paraId="74E4B522">
      <w:pPr>
        <w:spacing w:line="360" w:lineRule="auto"/>
        <w:ind w:firstLine="435"/>
        <w:rPr>
          <w:rFonts w:asciiTheme="minorEastAsia" w:hAnsiTheme="minorEastAsia" w:eastAsiaTheme="minorEastAsia"/>
          <w:color w:val="auto"/>
          <w:sz w:val="24"/>
          <w:highlight w:val="none"/>
        </w:rPr>
      </w:pPr>
      <w:r>
        <w:rPr>
          <w:rFonts w:hint="eastAsia" w:cs="@仿宋_GB2312" w:asciiTheme="minorEastAsia" w:hAnsiTheme="minorEastAsia" w:eastAsiaTheme="minorEastAsia"/>
          <w:color w:val="auto"/>
          <w:kern w:val="2"/>
          <w:sz w:val="24"/>
          <w:highlight w:val="none"/>
          <w:lang w:val="en-US" w:eastAsia="zh-CN"/>
        </w:rPr>
        <w:t>17.11</w:t>
      </w:r>
      <w:r>
        <w:rPr>
          <w:rFonts w:hint="eastAsia" w:cs="@仿宋_GB2312" w:asciiTheme="minorEastAsia" w:hAnsiTheme="minorEastAsia" w:eastAsiaTheme="minorEastAsia"/>
          <w:color w:val="auto"/>
          <w:kern w:val="2"/>
          <w:sz w:val="24"/>
          <w:highlight w:val="none"/>
        </w:rPr>
        <w:t>本工程不接受恶意不平衡报价，不保证最低价成交。</w:t>
      </w:r>
    </w:p>
    <w:p w14:paraId="46022D26">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18</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成交候选供应商的推荐原则及标准</w:t>
      </w:r>
    </w:p>
    <w:p w14:paraId="0AD0348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18</w:t>
      </w: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磋商小组</w:t>
      </w:r>
      <w:r>
        <w:rPr>
          <w:rFonts w:asciiTheme="minorEastAsia" w:hAnsiTheme="minorEastAsia" w:eastAsiaTheme="minorEastAsia"/>
          <w:color w:val="auto"/>
          <w:sz w:val="24"/>
          <w:highlight w:val="none"/>
        </w:rPr>
        <w:t>依据本项目</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文件所约定的</w:t>
      </w:r>
      <w:r>
        <w:rPr>
          <w:rFonts w:hint="eastAsia" w:asciiTheme="minorEastAsia" w:hAnsiTheme="minorEastAsia" w:eastAsiaTheme="minorEastAsia"/>
          <w:color w:val="auto"/>
          <w:sz w:val="24"/>
          <w:highlight w:val="none"/>
        </w:rPr>
        <w:t>评审</w:t>
      </w:r>
      <w:r>
        <w:rPr>
          <w:rFonts w:asciiTheme="minorEastAsia" w:hAnsiTheme="minorEastAsia" w:eastAsiaTheme="minorEastAsia"/>
          <w:color w:val="auto"/>
          <w:sz w:val="24"/>
          <w:highlight w:val="none"/>
        </w:rPr>
        <w:t>方法</w:t>
      </w:r>
      <w:r>
        <w:rPr>
          <w:rFonts w:hint="eastAsia" w:asciiTheme="minorEastAsia" w:hAnsiTheme="minorEastAsia" w:eastAsiaTheme="minorEastAsia"/>
          <w:color w:val="auto"/>
          <w:sz w:val="24"/>
          <w:highlight w:val="none"/>
        </w:rPr>
        <w:t>和标准</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按照有效供应商综合总得分由高到低依次推荐成交候选供应商。综合总得分出现两家或两家以上相同者，按最后报价由低到高排序推荐成交候选供应商；综合总得分且最后报价均相同的，由磋商小组按照技术指标优劣顺序推荐成交候选供应商。</w:t>
      </w:r>
    </w:p>
    <w:p w14:paraId="66F5D4CD">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19</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确定成交候选供应商和成交供应商</w:t>
      </w:r>
    </w:p>
    <w:p w14:paraId="22229649">
      <w:pPr>
        <w:spacing w:line="360" w:lineRule="auto"/>
        <w:ind w:firstLine="470" w:firstLineChars="196"/>
        <w:rPr>
          <w:color w:val="auto"/>
          <w:sz w:val="24"/>
          <w:highlight w:val="none"/>
        </w:rPr>
      </w:pPr>
      <w:r>
        <w:rPr>
          <w:rFonts w:hint="eastAsia"/>
          <w:color w:val="auto"/>
          <w:sz w:val="24"/>
          <w:highlight w:val="none"/>
          <w:lang w:val="en-US" w:eastAsia="zh-CN"/>
        </w:rPr>
        <w:t>19</w:t>
      </w:r>
      <w:r>
        <w:rPr>
          <w:rFonts w:hint="eastAsia"/>
          <w:color w:val="auto"/>
          <w:sz w:val="24"/>
          <w:highlight w:val="none"/>
        </w:rPr>
        <w:t>.1磋商小组根据综合评分的结果和</w:t>
      </w:r>
      <w:r>
        <w:rPr>
          <w:rFonts w:hint="eastAsia" w:asciiTheme="minorEastAsia" w:hAnsiTheme="minorEastAsia" w:eastAsiaTheme="minorEastAsia"/>
          <w:color w:val="auto"/>
          <w:sz w:val="24"/>
          <w:highlight w:val="none"/>
          <w:u w:val="single"/>
        </w:rPr>
        <w:t>供应商</w:t>
      </w:r>
      <w:r>
        <w:rPr>
          <w:rFonts w:asciiTheme="minorEastAsia" w:hAnsiTheme="minorEastAsia" w:eastAsiaTheme="minorEastAsia"/>
          <w:color w:val="auto"/>
          <w:sz w:val="24"/>
          <w:highlight w:val="none"/>
          <w:u w:val="single"/>
        </w:rPr>
        <w:t>须知前附表</w:t>
      </w:r>
      <w:r>
        <w:rPr>
          <w:rFonts w:asciiTheme="minorEastAsia" w:hAnsiTheme="minorEastAsia" w:eastAsiaTheme="minorEastAsia"/>
          <w:color w:val="auto"/>
          <w:sz w:val="24"/>
          <w:highlight w:val="none"/>
        </w:rPr>
        <w:t>中规定</w:t>
      </w:r>
      <w:r>
        <w:rPr>
          <w:rFonts w:hint="eastAsia"/>
          <w:color w:val="auto"/>
          <w:sz w:val="24"/>
          <w:highlight w:val="none"/>
        </w:rPr>
        <w:t>确定成交候选供应商，并标明排列顺序。</w:t>
      </w:r>
      <w:r>
        <w:rPr>
          <w:rFonts w:hint="eastAsia" w:asciiTheme="minorEastAsia" w:hAnsiTheme="minorEastAsia" w:eastAsiaTheme="minorEastAsia"/>
          <w:color w:val="auto"/>
          <w:sz w:val="24"/>
          <w:highlight w:val="none"/>
        </w:rPr>
        <w:t>按</w:t>
      </w:r>
      <w:r>
        <w:rPr>
          <w:rFonts w:hint="eastAsia" w:asciiTheme="minorEastAsia" w:hAnsiTheme="minorEastAsia" w:eastAsiaTheme="minorEastAsia"/>
          <w:color w:val="auto"/>
          <w:sz w:val="24"/>
          <w:highlight w:val="none"/>
          <w:u w:val="single"/>
          <w:lang w:val="en-US" w:eastAsia="zh-CN"/>
        </w:rPr>
        <w:t>供应商</w:t>
      </w:r>
      <w:r>
        <w:rPr>
          <w:rFonts w:asciiTheme="minorEastAsia" w:hAnsiTheme="minorEastAsia" w:eastAsiaTheme="minorEastAsia"/>
          <w:color w:val="auto"/>
          <w:sz w:val="24"/>
          <w:highlight w:val="none"/>
          <w:u w:val="single"/>
        </w:rPr>
        <w:t>须知前附表</w:t>
      </w:r>
      <w:r>
        <w:rPr>
          <w:rFonts w:hint="eastAsia" w:asciiTheme="minorEastAsia" w:hAnsiTheme="minorEastAsia" w:eastAsiaTheme="minorEastAsia"/>
          <w:color w:val="auto"/>
          <w:sz w:val="24"/>
          <w:highlight w:val="none"/>
        </w:rPr>
        <w:t>中规定，</w:t>
      </w:r>
      <w:r>
        <w:rPr>
          <w:rFonts w:asciiTheme="minorEastAsia" w:hAnsiTheme="minorEastAsia" w:eastAsiaTheme="minorEastAsia"/>
          <w:color w:val="auto"/>
          <w:sz w:val="24"/>
          <w:highlight w:val="none"/>
        </w:rPr>
        <w:t>由</w:t>
      </w:r>
      <w:r>
        <w:rPr>
          <w:rFonts w:hint="eastAsia" w:asciiTheme="minorEastAsia" w:hAnsiTheme="minorEastAsia" w:eastAsiaTheme="minorEastAsia"/>
          <w:color w:val="auto"/>
          <w:sz w:val="24"/>
          <w:highlight w:val="none"/>
          <w:lang w:val="en-US" w:eastAsia="zh-CN"/>
        </w:rPr>
        <w:t>磋商小组</w:t>
      </w:r>
      <w:r>
        <w:rPr>
          <w:rFonts w:asciiTheme="minorEastAsia" w:hAnsiTheme="minorEastAsia" w:eastAsiaTheme="minorEastAsia"/>
          <w:color w:val="auto"/>
          <w:sz w:val="24"/>
          <w:highlight w:val="none"/>
        </w:rPr>
        <w:t>或采购人确定</w:t>
      </w:r>
      <w:r>
        <w:rPr>
          <w:rFonts w:hint="eastAsia" w:asciiTheme="minorEastAsia" w:hAnsiTheme="minorEastAsia" w:eastAsiaTheme="minorEastAsia"/>
          <w:color w:val="auto"/>
          <w:sz w:val="24"/>
          <w:highlight w:val="none"/>
          <w:lang w:val="en-US" w:eastAsia="zh-CN"/>
        </w:rPr>
        <w:t>成交供应商</w:t>
      </w:r>
      <w:r>
        <w:rPr>
          <w:rFonts w:asciiTheme="minorEastAsia" w:hAnsiTheme="minorEastAsia" w:eastAsiaTheme="minorEastAsia"/>
          <w:color w:val="auto"/>
          <w:sz w:val="24"/>
          <w:highlight w:val="none"/>
        </w:rPr>
        <w:t>。</w:t>
      </w:r>
    </w:p>
    <w:p w14:paraId="65860603">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20</w:t>
      </w:r>
      <w:r>
        <w:rPr>
          <w:rFonts w:asciiTheme="minorEastAsia" w:hAnsiTheme="minorEastAsia" w:eastAsiaTheme="minorEastAsia"/>
          <w:b/>
          <w:color w:val="auto"/>
          <w:sz w:val="24"/>
          <w:highlight w:val="none"/>
        </w:rPr>
        <w:t>.编写评审报告</w:t>
      </w:r>
    </w:p>
    <w:p w14:paraId="14D6F3A3">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20</w:t>
      </w:r>
      <w:r>
        <w:rPr>
          <w:rFonts w:hint="eastAsia" w:asciiTheme="minorEastAsia" w:hAnsiTheme="minorEastAsia" w:eastAsiaTheme="minorEastAsia"/>
          <w:color w:val="auto"/>
          <w:sz w:val="24"/>
          <w:highlight w:val="none"/>
        </w:rPr>
        <w:t>.1评审报告是根据全体磋商小组成员签字的原始评审记录和评审结果编写的报告，评审报告由磋商小组全体成员签字。对评审结论持有异议的磋商小组成员可以书面方式阐述其不同意见和理由。磋商小组成员拒绝在评审报告上签字且不陈述其不同意见和理由的，视为同意评审结论。</w:t>
      </w:r>
    </w:p>
    <w:p w14:paraId="0F0CFBDF">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2</w:t>
      </w:r>
      <w:r>
        <w:rPr>
          <w:rFonts w:hint="eastAsia" w:asciiTheme="minorEastAsia" w:hAnsiTheme="minorEastAsia" w:eastAsiaTheme="minorEastAsia"/>
          <w:b/>
          <w:color w:val="auto"/>
          <w:sz w:val="24"/>
          <w:highlight w:val="none"/>
          <w:lang w:val="en-US" w:eastAsia="zh-CN"/>
        </w:rPr>
        <w:t>1</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保密要求</w:t>
      </w:r>
    </w:p>
    <w:p w14:paraId="25AB892D">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1</w:t>
      </w:r>
      <w:r>
        <w:rPr>
          <w:rFonts w:hint="eastAsia"/>
          <w:color w:val="auto"/>
          <w:sz w:val="24"/>
          <w:highlight w:val="none"/>
        </w:rPr>
        <w:t>.1评审将在严格保密的情况下进行。</w:t>
      </w:r>
    </w:p>
    <w:p w14:paraId="20314663">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1</w:t>
      </w:r>
      <w:r>
        <w:rPr>
          <w:rFonts w:hint="eastAsia"/>
          <w:color w:val="auto"/>
          <w:sz w:val="24"/>
          <w:highlight w:val="none"/>
        </w:rPr>
        <w:t>.2有关人员</w:t>
      </w:r>
      <w:r>
        <w:rPr>
          <w:color w:val="auto"/>
          <w:sz w:val="24"/>
          <w:highlight w:val="none"/>
        </w:rPr>
        <w:t>应当</w:t>
      </w:r>
      <w:r>
        <w:rPr>
          <w:rFonts w:hint="eastAsia"/>
          <w:color w:val="auto"/>
          <w:sz w:val="24"/>
          <w:highlight w:val="none"/>
        </w:rPr>
        <w:t>遵</w:t>
      </w:r>
      <w:r>
        <w:rPr>
          <w:color w:val="auto"/>
          <w:sz w:val="24"/>
          <w:highlight w:val="none"/>
        </w:rPr>
        <w:t>守</w:t>
      </w:r>
      <w:r>
        <w:rPr>
          <w:rFonts w:hint="eastAsia"/>
          <w:color w:val="auto"/>
          <w:sz w:val="24"/>
          <w:highlight w:val="none"/>
        </w:rPr>
        <w:t>评审</w:t>
      </w:r>
      <w:r>
        <w:rPr>
          <w:color w:val="auto"/>
          <w:sz w:val="24"/>
          <w:highlight w:val="none"/>
        </w:rPr>
        <w:t>工作纪律，不得</w:t>
      </w:r>
      <w:r>
        <w:rPr>
          <w:rFonts w:hint="eastAsia"/>
          <w:color w:val="auto"/>
          <w:sz w:val="24"/>
          <w:highlight w:val="none"/>
        </w:rPr>
        <w:t>泄露评审文件</w:t>
      </w:r>
      <w:r>
        <w:rPr>
          <w:color w:val="auto"/>
          <w:sz w:val="24"/>
          <w:highlight w:val="none"/>
        </w:rPr>
        <w:t>、</w:t>
      </w:r>
      <w:r>
        <w:rPr>
          <w:rFonts w:hint="eastAsia"/>
          <w:color w:val="auto"/>
          <w:sz w:val="24"/>
          <w:highlight w:val="none"/>
        </w:rPr>
        <w:t>评审</w:t>
      </w:r>
      <w:r>
        <w:rPr>
          <w:color w:val="auto"/>
          <w:sz w:val="24"/>
          <w:highlight w:val="none"/>
        </w:rPr>
        <w:t>情况和</w:t>
      </w:r>
      <w:r>
        <w:rPr>
          <w:rFonts w:hint="eastAsia"/>
          <w:color w:val="auto"/>
          <w:sz w:val="24"/>
          <w:highlight w:val="none"/>
        </w:rPr>
        <w:t>评审</w:t>
      </w:r>
      <w:r>
        <w:rPr>
          <w:color w:val="auto"/>
          <w:sz w:val="24"/>
          <w:highlight w:val="none"/>
        </w:rPr>
        <w:t>中获悉的</w:t>
      </w:r>
      <w:r>
        <w:rPr>
          <w:rFonts w:hint="eastAsia"/>
          <w:color w:val="auto"/>
          <w:sz w:val="24"/>
          <w:highlight w:val="none"/>
        </w:rPr>
        <w:t>国家秘密、</w:t>
      </w:r>
      <w:r>
        <w:rPr>
          <w:color w:val="auto"/>
          <w:sz w:val="24"/>
          <w:highlight w:val="none"/>
        </w:rPr>
        <w:t>商业秘密。</w:t>
      </w:r>
    </w:p>
    <w:p w14:paraId="314B5B9A">
      <w:pPr>
        <w:spacing w:line="360" w:lineRule="auto"/>
        <w:ind w:firstLine="437"/>
        <w:outlineLvl w:val="2"/>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t>2</w:t>
      </w:r>
      <w:r>
        <w:rPr>
          <w:rFonts w:hint="eastAsia" w:asciiTheme="minorEastAsia" w:hAnsiTheme="minorEastAsia" w:eastAsiaTheme="minorEastAsia"/>
          <w:b/>
          <w:color w:val="auto"/>
          <w:sz w:val="24"/>
          <w:highlight w:val="none"/>
          <w:lang w:val="en-US" w:eastAsia="zh-CN"/>
        </w:rPr>
        <w:t>2</w:t>
      </w:r>
      <w:r>
        <w:rPr>
          <w:rFonts w:asciiTheme="minorEastAsia" w:hAnsiTheme="minorEastAsia" w:eastAsiaTheme="minorEastAsia"/>
          <w:b/>
          <w:color w:val="auto"/>
          <w:sz w:val="24"/>
          <w:highlight w:val="none"/>
        </w:rPr>
        <w:t>.成交结果公告</w:t>
      </w:r>
    </w:p>
    <w:p w14:paraId="472766B2">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2</w:t>
      </w: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.1为体现“公开、公平、公正”的原则，</w:t>
      </w:r>
      <w:r>
        <w:rPr>
          <w:rFonts w:hint="eastAsia" w:asciiTheme="minorEastAsia" w:hAnsiTheme="minorEastAsia" w:eastAsiaTheme="minorEastAsia"/>
          <w:color w:val="auto"/>
          <w:sz w:val="24"/>
          <w:highlight w:val="none"/>
          <w:lang w:val="en-US" w:eastAsia="zh-CN"/>
        </w:rPr>
        <w:t>磋商</w:t>
      </w:r>
      <w:r>
        <w:rPr>
          <w:rFonts w:asciiTheme="minorEastAsia" w:hAnsiTheme="minorEastAsia" w:eastAsiaTheme="minorEastAsia"/>
          <w:color w:val="auto"/>
          <w:sz w:val="24"/>
          <w:highlight w:val="none"/>
        </w:rPr>
        <w:t>结束后，采购代理机构将在</w:t>
      </w:r>
      <w:r>
        <w:rPr>
          <w:rFonts w:hint="eastAsia" w:hAnsi="宋体"/>
          <w:b/>
          <w:bCs/>
          <w:kern w:val="0"/>
          <w:sz w:val="24"/>
          <w:szCs w:val="24"/>
          <w:lang w:eastAsia="zh-CN"/>
        </w:rPr>
        <w:t>安徽融城高新技术产业发展集团有限公司</w:t>
      </w:r>
      <w:r>
        <w:rPr>
          <w:rFonts w:hint="eastAsia" w:hAnsi="宋体"/>
          <w:b/>
          <w:bCs/>
          <w:kern w:val="0"/>
          <w:sz w:val="24"/>
          <w:szCs w:val="24"/>
          <w:lang w:val="en-US" w:eastAsia="zh-CN"/>
        </w:rPr>
        <w:t>网</w:t>
      </w:r>
      <w:r>
        <w:rPr>
          <w:rFonts w:asciiTheme="minorEastAsia" w:hAnsiTheme="minorEastAsia" w:eastAsiaTheme="minorEastAsia"/>
          <w:b/>
          <w:bCs/>
          <w:color w:val="auto"/>
          <w:sz w:val="24"/>
          <w:highlight w:val="none"/>
        </w:rPr>
        <w:t>（</w:t>
      </w:r>
      <w:r>
        <w:rPr>
          <w:rFonts w:hint="eastAsia" w:ascii="宋体" w:hAnsi="宋体" w:eastAsia="宋体" w:cs="Times New Roman"/>
          <w:b/>
          <w:bCs/>
          <w:kern w:val="0"/>
          <w:sz w:val="24"/>
          <w:szCs w:val="24"/>
          <w:lang w:eastAsia="zh-CN"/>
        </w:rPr>
        <w:t>https://www.ahrcgxjt.com/</w:t>
      </w:r>
      <w:r>
        <w:rPr>
          <w:rFonts w:asciiTheme="minorEastAsia" w:hAnsiTheme="minorEastAsia" w:eastAsiaTheme="minorEastAsia"/>
          <w:b/>
          <w:bCs/>
          <w:color w:val="auto"/>
          <w:sz w:val="24"/>
          <w:highlight w:val="none"/>
        </w:rPr>
        <w:t>）</w:t>
      </w:r>
      <w:r>
        <w:rPr>
          <w:rFonts w:asciiTheme="minorEastAsia" w:hAnsiTheme="minorEastAsia" w:eastAsiaTheme="minorEastAsia"/>
          <w:color w:val="auto"/>
          <w:sz w:val="24"/>
          <w:highlight w:val="none"/>
        </w:rPr>
        <w:t>上发布成交结果公告。</w:t>
      </w:r>
    </w:p>
    <w:p w14:paraId="6E728D45">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2</w:t>
      </w: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2成交结果公告内容应当包括采购人及其委托的采购代理机构的名称、地址、联系方式，项目名称和项目编号，成交供应商名称、地址和成交金额，主要成交标的的名称、规格型号、数量、单价、服务要求，成交结果公告期限、评审专家名单以及</w:t>
      </w:r>
      <w:r>
        <w:rPr>
          <w:rFonts w:hint="eastAsia"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中约定进行公告的内容。</w:t>
      </w:r>
    </w:p>
    <w:p w14:paraId="124702B5">
      <w:pPr>
        <w:spacing w:line="360" w:lineRule="auto"/>
        <w:ind w:firstLine="437"/>
        <w:outlineLvl w:val="2"/>
        <w:rPr>
          <w:b/>
          <w:color w:val="auto"/>
          <w:sz w:val="24"/>
          <w:highlight w:val="none"/>
        </w:rPr>
      </w:pPr>
      <w:r>
        <w:rPr>
          <w:rFonts w:hint="eastAsia"/>
          <w:b/>
          <w:color w:val="auto"/>
          <w:sz w:val="24"/>
          <w:highlight w:val="none"/>
          <w:lang w:val="en-US" w:eastAsia="zh-CN"/>
        </w:rPr>
        <w:t>23</w:t>
      </w:r>
      <w:r>
        <w:rPr>
          <w:b/>
          <w:color w:val="auto"/>
          <w:sz w:val="24"/>
          <w:highlight w:val="none"/>
        </w:rPr>
        <w:t>.成交通知书</w:t>
      </w:r>
    </w:p>
    <w:p w14:paraId="2740F79E">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3</w:t>
      </w:r>
      <w:r>
        <w:rPr>
          <w:color w:val="auto"/>
          <w:sz w:val="24"/>
          <w:highlight w:val="none"/>
        </w:rPr>
        <w:t>.1采购代理机构发布成交结果公告的同时</w:t>
      </w:r>
      <w:r>
        <w:rPr>
          <w:rFonts w:asciiTheme="minorEastAsia" w:hAnsiTheme="minorEastAsia" w:eastAsiaTheme="minorEastAsia"/>
          <w:color w:val="auto"/>
          <w:sz w:val="24"/>
          <w:highlight w:val="none"/>
        </w:rPr>
        <w:t>以</w:t>
      </w:r>
      <w:r>
        <w:rPr>
          <w:rFonts w:hint="eastAsia" w:asciiTheme="minorEastAsia" w:hAnsiTheme="minorEastAsia" w:eastAsiaTheme="minorEastAsia"/>
          <w:color w:val="auto"/>
          <w:sz w:val="24"/>
          <w:highlight w:val="none"/>
          <w:u w:val="single"/>
        </w:rPr>
        <w:t>供应商须知前附表</w:t>
      </w:r>
      <w:r>
        <w:rPr>
          <w:rFonts w:hint="eastAsia" w:asciiTheme="minorEastAsia" w:hAnsiTheme="minorEastAsia" w:eastAsiaTheme="minorEastAsia"/>
          <w:color w:val="auto"/>
          <w:sz w:val="24"/>
          <w:highlight w:val="none"/>
        </w:rPr>
        <w:t>规定的</w:t>
      </w:r>
      <w:r>
        <w:rPr>
          <w:rFonts w:asciiTheme="minorEastAsia" w:hAnsiTheme="minorEastAsia" w:eastAsiaTheme="minorEastAsia"/>
          <w:color w:val="auto"/>
          <w:sz w:val="24"/>
          <w:highlight w:val="none"/>
        </w:rPr>
        <w:t>形式</w:t>
      </w:r>
      <w:r>
        <w:rPr>
          <w:color w:val="auto"/>
          <w:sz w:val="24"/>
          <w:highlight w:val="none"/>
        </w:rPr>
        <w:t>向成交供应商发出成交通知书。</w:t>
      </w:r>
    </w:p>
    <w:p w14:paraId="681A1EA4">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3</w:t>
      </w:r>
      <w:r>
        <w:rPr>
          <w:color w:val="auto"/>
          <w:sz w:val="24"/>
          <w:highlight w:val="none"/>
        </w:rPr>
        <w:t>.2成交通知书对采购人和成交供应商具有同等法律效力。成交通知书发出以后，采购人改变成交结果或者成交供应商放弃成交资格，应当承担相应的法律责任。</w:t>
      </w:r>
    </w:p>
    <w:p w14:paraId="13C3352A">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3</w:t>
      </w:r>
      <w:r>
        <w:rPr>
          <w:color w:val="auto"/>
          <w:sz w:val="24"/>
          <w:highlight w:val="none"/>
        </w:rPr>
        <w:t>.3成交通知书是合同的组成部分。</w:t>
      </w:r>
    </w:p>
    <w:p w14:paraId="749A5951">
      <w:pPr>
        <w:spacing w:line="360" w:lineRule="auto"/>
        <w:ind w:firstLine="437"/>
        <w:outlineLvl w:val="2"/>
        <w:rPr>
          <w:b/>
          <w:color w:val="auto"/>
          <w:sz w:val="24"/>
          <w:highlight w:val="none"/>
        </w:rPr>
      </w:pPr>
      <w:r>
        <w:rPr>
          <w:rFonts w:hint="eastAsia"/>
          <w:b/>
          <w:color w:val="auto"/>
          <w:sz w:val="24"/>
          <w:highlight w:val="none"/>
        </w:rPr>
        <w:t>2</w:t>
      </w:r>
      <w:r>
        <w:rPr>
          <w:rFonts w:hint="eastAsia"/>
          <w:b/>
          <w:color w:val="auto"/>
          <w:sz w:val="24"/>
          <w:highlight w:val="none"/>
          <w:lang w:val="en-US" w:eastAsia="zh-CN"/>
        </w:rPr>
        <w:t>4</w:t>
      </w:r>
      <w:r>
        <w:rPr>
          <w:b/>
          <w:color w:val="auto"/>
          <w:sz w:val="24"/>
          <w:highlight w:val="none"/>
        </w:rPr>
        <w:t>.告知</w:t>
      </w:r>
      <w:r>
        <w:rPr>
          <w:rFonts w:hint="eastAsia" w:asciiTheme="minorEastAsia" w:hAnsiTheme="minorEastAsia" w:eastAsiaTheme="minorEastAsia"/>
          <w:b/>
          <w:color w:val="auto"/>
          <w:sz w:val="24"/>
          <w:highlight w:val="none"/>
        </w:rPr>
        <w:t>磋商</w:t>
      </w:r>
      <w:r>
        <w:rPr>
          <w:b/>
          <w:color w:val="auto"/>
          <w:sz w:val="24"/>
          <w:highlight w:val="none"/>
        </w:rPr>
        <w:t>结果</w:t>
      </w:r>
    </w:p>
    <w:p w14:paraId="7D8D279A">
      <w:pPr>
        <w:spacing w:line="360" w:lineRule="auto"/>
        <w:ind w:firstLine="435"/>
        <w:rPr>
          <w:color w:val="auto"/>
          <w:sz w:val="24"/>
          <w:highlight w:val="none"/>
        </w:rPr>
      </w:pPr>
      <w:r>
        <w:rPr>
          <w:rFonts w:hint="eastAsia"/>
          <w:color w:val="auto"/>
          <w:sz w:val="24"/>
          <w:highlight w:val="none"/>
        </w:rPr>
        <w:t>2</w:t>
      </w:r>
      <w:r>
        <w:rPr>
          <w:rFonts w:hint="eastAsia"/>
          <w:color w:val="auto"/>
          <w:sz w:val="24"/>
          <w:highlight w:val="none"/>
          <w:lang w:val="en-US" w:eastAsia="zh-CN"/>
        </w:rPr>
        <w:t>4</w:t>
      </w:r>
      <w:r>
        <w:rPr>
          <w:color w:val="auto"/>
          <w:sz w:val="24"/>
          <w:highlight w:val="none"/>
        </w:rPr>
        <w:t>.1在公告</w:t>
      </w:r>
      <w:r>
        <w:rPr>
          <w:rFonts w:hint="eastAsia"/>
          <w:color w:val="auto"/>
          <w:sz w:val="24"/>
          <w:highlight w:val="none"/>
        </w:rPr>
        <w:t>成交</w:t>
      </w:r>
      <w:r>
        <w:rPr>
          <w:color w:val="auto"/>
          <w:sz w:val="24"/>
          <w:highlight w:val="none"/>
        </w:rPr>
        <w:t>结果的同时，采购代理机构同时以</w:t>
      </w:r>
      <w:r>
        <w:rPr>
          <w:rFonts w:hint="eastAsia"/>
          <w:color w:val="auto"/>
          <w:sz w:val="24"/>
          <w:highlight w:val="none"/>
          <w:u w:val="single"/>
        </w:rPr>
        <w:t>供应商</w:t>
      </w:r>
      <w:r>
        <w:rPr>
          <w:color w:val="auto"/>
          <w:sz w:val="24"/>
          <w:highlight w:val="none"/>
          <w:u w:val="single"/>
        </w:rPr>
        <w:t>须知前附表</w:t>
      </w:r>
      <w:r>
        <w:rPr>
          <w:color w:val="auto"/>
          <w:sz w:val="24"/>
          <w:highlight w:val="none"/>
        </w:rPr>
        <w:t>规定的形式告知未</w:t>
      </w:r>
      <w:r>
        <w:rPr>
          <w:rFonts w:hint="eastAsia"/>
          <w:color w:val="auto"/>
          <w:sz w:val="24"/>
          <w:highlight w:val="none"/>
        </w:rPr>
        <w:t>成交供应商</w:t>
      </w:r>
      <w:r>
        <w:rPr>
          <w:color w:val="auto"/>
          <w:sz w:val="24"/>
          <w:highlight w:val="none"/>
        </w:rPr>
        <w:t>本人的评审得分和排序。</w:t>
      </w:r>
    </w:p>
    <w:p w14:paraId="5388BC69">
      <w:pPr>
        <w:spacing w:line="360" w:lineRule="auto"/>
        <w:ind w:firstLine="480" w:firstLineChars="200"/>
        <w:rPr>
          <w:color w:val="auto"/>
          <w:sz w:val="24"/>
          <w:highlight w:val="none"/>
        </w:rPr>
      </w:pPr>
      <w:r>
        <w:rPr>
          <w:color w:val="auto"/>
          <w:sz w:val="24"/>
          <w:highlight w:val="none"/>
        </w:rPr>
        <w:t>2</w:t>
      </w:r>
      <w:r>
        <w:rPr>
          <w:rFonts w:hint="eastAsia"/>
          <w:color w:val="auto"/>
          <w:sz w:val="24"/>
          <w:highlight w:val="none"/>
          <w:lang w:val="en-US" w:eastAsia="zh-CN"/>
        </w:rPr>
        <w:t>4</w:t>
      </w:r>
      <w:r>
        <w:rPr>
          <w:color w:val="auto"/>
          <w:sz w:val="24"/>
          <w:highlight w:val="none"/>
        </w:rPr>
        <w:t>.</w:t>
      </w:r>
      <w:r>
        <w:rPr>
          <w:rFonts w:hint="eastAsia"/>
          <w:color w:val="auto"/>
          <w:sz w:val="24"/>
          <w:highlight w:val="none"/>
        </w:rPr>
        <w:t>2</w:t>
      </w:r>
      <w:r>
        <w:rPr>
          <w:color w:val="auto"/>
          <w:sz w:val="24"/>
          <w:highlight w:val="none"/>
        </w:rPr>
        <w:t>采购代理机构对未成交的供应商不做未成交原因的解释。</w:t>
      </w:r>
    </w:p>
    <w:p w14:paraId="30466EFD">
      <w:pPr>
        <w:spacing w:line="360" w:lineRule="auto"/>
        <w:ind w:firstLine="437"/>
        <w:outlineLvl w:val="2"/>
        <w:rPr>
          <w:b/>
          <w:color w:val="auto"/>
          <w:sz w:val="24"/>
          <w:highlight w:val="none"/>
        </w:rPr>
      </w:pPr>
      <w:r>
        <w:rPr>
          <w:rFonts w:hint="eastAsia"/>
          <w:b/>
          <w:color w:val="auto"/>
          <w:sz w:val="24"/>
          <w:highlight w:val="none"/>
          <w:lang w:val="en-US" w:eastAsia="zh-CN"/>
        </w:rPr>
        <w:t>25</w:t>
      </w:r>
      <w:r>
        <w:rPr>
          <w:b/>
          <w:color w:val="auto"/>
          <w:sz w:val="24"/>
          <w:highlight w:val="none"/>
        </w:rPr>
        <w:t>.履约</w:t>
      </w:r>
      <w:r>
        <w:rPr>
          <w:rFonts w:asciiTheme="minorEastAsia" w:hAnsiTheme="minorEastAsia" w:eastAsiaTheme="minorEastAsia"/>
          <w:b/>
          <w:color w:val="auto"/>
          <w:sz w:val="24"/>
          <w:highlight w:val="none"/>
        </w:rPr>
        <w:t>保证金</w:t>
      </w:r>
    </w:p>
    <w:p w14:paraId="77F905C9">
      <w:pPr>
        <w:spacing w:line="360" w:lineRule="auto"/>
        <w:ind w:firstLine="435"/>
        <w:rPr>
          <w:color w:val="auto"/>
          <w:sz w:val="24"/>
          <w:highlight w:val="none"/>
        </w:rPr>
      </w:pPr>
      <w:r>
        <w:rPr>
          <w:rFonts w:hint="eastAsia"/>
          <w:color w:val="auto"/>
          <w:sz w:val="24"/>
          <w:highlight w:val="none"/>
          <w:lang w:val="en-US" w:eastAsia="zh-CN"/>
        </w:rPr>
        <w:t>25</w:t>
      </w:r>
      <w:r>
        <w:rPr>
          <w:color w:val="auto"/>
          <w:sz w:val="24"/>
          <w:highlight w:val="none"/>
        </w:rPr>
        <w:t>.1成交供应商应按照</w:t>
      </w:r>
      <w:r>
        <w:rPr>
          <w:color w:val="auto"/>
          <w:sz w:val="24"/>
          <w:highlight w:val="none"/>
          <w:u w:val="single"/>
        </w:rPr>
        <w:t>供应商须知前附表</w:t>
      </w:r>
      <w:r>
        <w:rPr>
          <w:color w:val="auto"/>
          <w:sz w:val="24"/>
          <w:highlight w:val="none"/>
        </w:rPr>
        <w:t>规定</w:t>
      </w:r>
      <w:r>
        <w:rPr>
          <w:rFonts w:hint="eastAsia"/>
          <w:color w:val="auto"/>
          <w:sz w:val="24"/>
          <w:highlight w:val="none"/>
        </w:rPr>
        <w:t>缴纳</w:t>
      </w:r>
      <w:r>
        <w:rPr>
          <w:color w:val="auto"/>
          <w:sz w:val="24"/>
          <w:highlight w:val="none"/>
        </w:rPr>
        <w:t>履约保证金。</w:t>
      </w:r>
    </w:p>
    <w:p w14:paraId="428D94C1">
      <w:pPr>
        <w:spacing w:line="360" w:lineRule="auto"/>
        <w:ind w:firstLine="435"/>
        <w:rPr>
          <w:color w:val="auto"/>
          <w:sz w:val="24"/>
          <w:highlight w:val="none"/>
        </w:rPr>
      </w:pPr>
      <w:r>
        <w:rPr>
          <w:rFonts w:hint="eastAsia"/>
          <w:color w:val="auto"/>
          <w:sz w:val="24"/>
          <w:highlight w:val="none"/>
          <w:lang w:val="en-US" w:eastAsia="zh-CN"/>
        </w:rPr>
        <w:t>25</w:t>
      </w:r>
      <w:r>
        <w:rPr>
          <w:color w:val="auto"/>
          <w:sz w:val="24"/>
          <w:highlight w:val="none"/>
        </w:rPr>
        <w:t>.2如果成交供应商没有按照上述履约保证金的规定执行，将视为放弃成交资格。在此情况下，采购人可确定下一成交候选供应商为成交供应商，也可以重新开展采购活动。</w:t>
      </w:r>
    </w:p>
    <w:p w14:paraId="57790B9E">
      <w:pPr>
        <w:spacing w:line="360" w:lineRule="auto"/>
        <w:ind w:firstLine="437"/>
        <w:outlineLvl w:val="2"/>
        <w:rPr>
          <w:rFonts w:hint="default" w:eastAsia="宋体"/>
          <w:b/>
          <w:color w:val="auto"/>
          <w:sz w:val="24"/>
          <w:highlight w:val="none"/>
          <w:lang w:val="en-US" w:eastAsia="zh-CN"/>
        </w:rPr>
      </w:pPr>
      <w:r>
        <w:rPr>
          <w:rFonts w:hint="eastAsia"/>
          <w:b/>
          <w:color w:val="auto"/>
          <w:sz w:val="24"/>
          <w:highlight w:val="none"/>
          <w:lang w:val="en-US" w:eastAsia="zh-CN"/>
        </w:rPr>
        <w:t>26</w:t>
      </w:r>
      <w:r>
        <w:rPr>
          <w:b/>
          <w:color w:val="auto"/>
          <w:sz w:val="24"/>
          <w:highlight w:val="none"/>
        </w:rPr>
        <w:t>.</w:t>
      </w:r>
      <w:r>
        <w:rPr>
          <w:rFonts w:hint="eastAsia"/>
          <w:b/>
          <w:color w:val="auto"/>
          <w:sz w:val="24"/>
          <w:highlight w:val="none"/>
          <w:lang w:val="en-US" w:eastAsia="zh-CN"/>
        </w:rPr>
        <w:t>代理费用</w:t>
      </w:r>
    </w:p>
    <w:p w14:paraId="283FFC59">
      <w:pPr>
        <w:spacing w:line="360" w:lineRule="auto"/>
        <w:ind w:firstLine="435"/>
        <w:rPr>
          <w:color w:val="auto"/>
          <w:sz w:val="24"/>
          <w:highlight w:val="none"/>
        </w:rPr>
      </w:pPr>
      <w:r>
        <w:rPr>
          <w:rFonts w:hint="eastAsia"/>
          <w:color w:val="auto"/>
          <w:sz w:val="24"/>
          <w:highlight w:val="none"/>
          <w:lang w:val="en-US" w:eastAsia="zh-CN"/>
        </w:rPr>
        <w:t>26</w:t>
      </w:r>
      <w:r>
        <w:rPr>
          <w:color w:val="auto"/>
          <w:sz w:val="24"/>
          <w:highlight w:val="none"/>
        </w:rPr>
        <w:t>.1本项目</w:t>
      </w:r>
      <w:r>
        <w:rPr>
          <w:rFonts w:hint="eastAsia"/>
          <w:color w:val="auto"/>
          <w:sz w:val="24"/>
          <w:highlight w:val="none"/>
          <w:lang w:val="en-US" w:eastAsia="zh-CN"/>
        </w:rPr>
        <w:t>代理费用</w:t>
      </w:r>
      <w:r>
        <w:rPr>
          <w:color w:val="auto"/>
          <w:sz w:val="24"/>
          <w:highlight w:val="none"/>
        </w:rPr>
        <w:t>的收取按</w:t>
      </w:r>
      <w:r>
        <w:rPr>
          <w:rFonts w:hint="eastAsia"/>
          <w:color w:val="auto"/>
          <w:sz w:val="24"/>
          <w:highlight w:val="none"/>
          <w:u w:val="single"/>
        </w:rPr>
        <w:t>供应商</w:t>
      </w:r>
      <w:r>
        <w:rPr>
          <w:color w:val="auto"/>
          <w:sz w:val="24"/>
          <w:highlight w:val="none"/>
          <w:u w:val="single"/>
        </w:rPr>
        <w:t>须知前附表</w:t>
      </w:r>
      <w:r>
        <w:rPr>
          <w:color w:val="auto"/>
          <w:sz w:val="24"/>
          <w:highlight w:val="none"/>
        </w:rPr>
        <w:t>的规定执行。</w:t>
      </w:r>
    </w:p>
    <w:p w14:paraId="6911F243">
      <w:pPr>
        <w:spacing w:line="360" w:lineRule="auto"/>
        <w:ind w:firstLine="437"/>
        <w:outlineLvl w:val="2"/>
        <w:rPr>
          <w:b/>
          <w:color w:val="auto"/>
          <w:sz w:val="24"/>
          <w:highlight w:val="none"/>
        </w:rPr>
      </w:pPr>
      <w:r>
        <w:rPr>
          <w:rFonts w:hint="eastAsia"/>
          <w:b/>
          <w:color w:val="auto"/>
          <w:sz w:val="24"/>
          <w:highlight w:val="none"/>
          <w:lang w:val="en-US" w:eastAsia="zh-CN"/>
        </w:rPr>
        <w:t>27</w:t>
      </w:r>
      <w:r>
        <w:rPr>
          <w:b/>
          <w:color w:val="auto"/>
          <w:sz w:val="24"/>
          <w:highlight w:val="none"/>
        </w:rPr>
        <w:t>.签订</w:t>
      </w:r>
      <w:r>
        <w:rPr>
          <w:rFonts w:asciiTheme="minorEastAsia" w:hAnsiTheme="minorEastAsia" w:eastAsiaTheme="minorEastAsia"/>
          <w:b/>
          <w:color w:val="auto"/>
          <w:sz w:val="24"/>
          <w:highlight w:val="none"/>
        </w:rPr>
        <w:t>合同</w:t>
      </w:r>
    </w:p>
    <w:p w14:paraId="25780583">
      <w:pPr>
        <w:spacing w:line="360" w:lineRule="auto"/>
        <w:ind w:firstLine="435"/>
        <w:rPr>
          <w:color w:val="auto"/>
          <w:sz w:val="24"/>
          <w:highlight w:val="none"/>
        </w:rPr>
      </w:pPr>
      <w:r>
        <w:rPr>
          <w:rFonts w:hint="eastAsia"/>
          <w:color w:val="auto"/>
          <w:sz w:val="24"/>
          <w:highlight w:val="none"/>
          <w:lang w:val="en-US" w:eastAsia="zh-CN"/>
        </w:rPr>
        <w:t>27</w:t>
      </w:r>
      <w:r>
        <w:rPr>
          <w:color w:val="auto"/>
          <w:sz w:val="24"/>
          <w:highlight w:val="none"/>
        </w:rPr>
        <w:t>.1</w:t>
      </w:r>
      <w:r>
        <w:rPr>
          <w:rFonts w:hint="eastAsia" w:ascii="宋体" w:hAnsi="宋体" w:eastAsia="宋体" w:cs="宋体"/>
          <w:color w:val="auto"/>
          <w:sz w:val="24"/>
          <w:szCs w:val="24"/>
          <w:highlight w:val="none"/>
          <w:u w:val="none"/>
          <w:lang w:val="en-US" w:eastAsia="zh-CN"/>
        </w:rPr>
        <w:t>采购人与成交供应商应当按照</w:t>
      </w:r>
      <w:r>
        <w:rPr>
          <w:rFonts w:hint="eastAsia" w:ascii="宋体" w:hAnsi="宋体" w:eastAsia="宋体" w:cs="宋体"/>
          <w:color w:val="auto"/>
          <w:sz w:val="24"/>
          <w:szCs w:val="24"/>
          <w:highlight w:val="none"/>
          <w:u w:val="single"/>
          <w:lang w:val="en-US" w:eastAsia="zh-CN"/>
        </w:rPr>
        <w:t>供应商</w:t>
      </w:r>
      <w:r>
        <w:rPr>
          <w:rFonts w:hint="eastAsia" w:ascii="宋体" w:hAnsi="宋体" w:eastAsia="宋体" w:cs="宋体"/>
          <w:color w:val="auto"/>
          <w:sz w:val="24"/>
          <w:szCs w:val="24"/>
          <w:highlight w:val="none"/>
          <w:u w:val="single"/>
        </w:rPr>
        <w:t>须知前附表</w:t>
      </w:r>
      <w:r>
        <w:rPr>
          <w:rFonts w:hint="eastAsia" w:ascii="宋体" w:hAnsi="宋体" w:eastAsia="宋体" w:cs="宋体"/>
          <w:color w:val="auto"/>
          <w:sz w:val="24"/>
          <w:szCs w:val="24"/>
          <w:highlight w:val="none"/>
          <w:u w:val="none"/>
        </w:rPr>
        <w:t>规定</w:t>
      </w:r>
      <w:r>
        <w:rPr>
          <w:rFonts w:hint="eastAsia" w:ascii="宋体" w:hAnsi="宋体" w:eastAsia="宋体" w:cs="宋体"/>
          <w:color w:val="auto"/>
          <w:sz w:val="24"/>
          <w:szCs w:val="24"/>
          <w:highlight w:val="none"/>
          <w:lang w:val="en-US" w:eastAsia="zh-CN"/>
        </w:rPr>
        <w:t>的时间内完成政府采购合同签订及合同公告。</w:t>
      </w:r>
    </w:p>
    <w:p w14:paraId="6E2F7EAE">
      <w:pPr>
        <w:spacing w:line="360" w:lineRule="auto"/>
        <w:ind w:firstLine="435"/>
        <w:rPr>
          <w:color w:val="auto"/>
          <w:sz w:val="24"/>
          <w:highlight w:val="none"/>
        </w:rPr>
      </w:pPr>
      <w:r>
        <w:rPr>
          <w:rFonts w:hint="eastAsia"/>
          <w:color w:val="auto"/>
          <w:sz w:val="24"/>
          <w:highlight w:val="none"/>
          <w:lang w:val="en-US" w:eastAsia="zh-CN"/>
        </w:rPr>
        <w:t>27</w:t>
      </w:r>
      <w:r>
        <w:rPr>
          <w:color w:val="auto"/>
          <w:sz w:val="24"/>
          <w:highlight w:val="none"/>
        </w:rPr>
        <w:t>.2磋商文件、成交供应商的响应文件及其澄清文件等，均为签订合同的依据。</w:t>
      </w:r>
    </w:p>
    <w:p w14:paraId="55C97056">
      <w:pPr>
        <w:spacing w:line="360" w:lineRule="auto"/>
        <w:ind w:firstLine="470" w:firstLineChars="196"/>
        <w:rPr>
          <w:color w:val="auto"/>
          <w:sz w:val="24"/>
          <w:highlight w:val="none"/>
        </w:rPr>
      </w:pPr>
      <w:r>
        <w:rPr>
          <w:rFonts w:hint="eastAsia"/>
          <w:color w:val="auto"/>
          <w:sz w:val="24"/>
          <w:highlight w:val="none"/>
          <w:lang w:val="en-US" w:eastAsia="zh-CN"/>
        </w:rPr>
        <w:t>27</w:t>
      </w:r>
      <w:r>
        <w:rPr>
          <w:color w:val="auto"/>
          <w:sz w:val="24"/>
          <w:highlight w:val="none"/>
        </w:rPr>
        <w:t>.3成交供应商拒绝与采购人签订合同的，采购人可以按照评审报告推荐的成交候选供应商名单排序，确定下一成交候选供应商为成交供应商，也可以重新开展采购活动。</w:t>
      </w:r>
      <w:r>
        <w:rPr>
          <w:rFonts w:hint="eastAsia"/>
          <w:color w:val="auto"/>
          <w:sz w:val="24"/>
          <w:highlight w:val="none"/>
        </w:rPr>
        <w:t>成交供应商拒绝签订政府采购合同的不得参加对该项目重新开展的采购活动。</w:t>
      </w:r>
    </w:p>
    <w:p w14:paraId="0E448BE8">
      <w:pPr>
        <w:spacing w:line="360" w:lineRule="auto"/>
        <w:ind w:firstLine="470" w:firstLineChars="196"/>
        <w:rPr>
          <w:color w:val="auto"/>
          <w:sz w:val="24"/>
          <w:highlight w:val="none"/>
        </w:rPr>
      </w:pPr>
      <w:bookmarkStart w:id="42" w:name="_Hlk60264926"/>
      <w:r>
        <w:rPr>
          <w:rFonts w:hint="eastAsia"/>
          <w:color w:val="auto"/>
          <w:sz w:val="24"/>
          <w:highlight w:val="none"/>
          <w:lang w:val="en-US" w:eastAsia="zh-CN"/>
        </w:rPr>
        <w:t>27.4</w:t>
      </w:r>
      <w:r>
        <w:rPr>
          <w:rFonts w:hint="eastAsia"/>
          <w:color w:val="auto"/>
          <w:sz w:val="24"/>
          <w:highlight w:val="none"/>
        </w:rPr>
        <w:t>依据《政府采购促进中小企业发展管理办法》（财库〔</w:t>
      </w:r>
      <w:r>
        <w:rPr>
          <w:color w:val="auto"/>
          <w:sz w:val="24"/>
          <w:highlight w:val="none"/>
        </w:rPr>
        <w:t>2020〕46号</w:t>
      </w:r>
      <w:r>
        <w:rPr>
          <w:rFonts w:hint="eastAsia"/>
          <w:color w:val="auto"/>
          <w:sz w:val="24"/>
          <w:highlight w:val="none"/>
        </w:rPr>
        <w:t>）规定享受扶持政策获得政府采购合同的，小微企业不得将合同分包给大中型企业，中型企业不得将合同分包给大型企业。</w:t>
      </w:r>
      <w:bookmarkEnd w:id="42"/>
    </w:p>
    <w:p w14:paraId="30E5E281">
      <w:pPr>
        <w:spacing w:line="360" w:lineRule="auto"/>
        <w:ind w:firstLine="437"/>
        <w:outlineLvl w:val="2"/>
        <w:rPr>
          <w:b/>
          <w:color w:val="auto"/>
          <w:sz w:val="24"/>
          <w:highlight w:val="none"/>
        </w:rPr>
      </w:pPr>
      <w:r>
        <w:rPr>
          <w:rFonts w:hint="eastAsia"/>
          <w:b/>
          <w:color w:val="auto"/>
          <w:sz w:val="24"/>
          <w:highlight w:val="none"/>
          <w:lang w:val="en-US" w:eastAsia="zh-CN"/>
        </w:rPr>
        <w:t>28</w:t>
      </w:r>
      <w:r>
        <w:rPr>
          <w:b/>
          <w:color w:val="auto"/>
          <w:sz w:val="24"/>
          <w:highlight w:val="none"/>
        </w:rPr>
        <w:t>.廉洁</w:t>
      </w:r>
      <w:r>
        <w:rPr>
          <w:rFonts w:asciiTheme="minorEastAsia" w:hAnsiTheme="minorEastAsia" w:eastAsiaTheme="minorEastAsia"/>
          <w:b/>
          <w:color w:val="auto"/>
          <w:sz w:val="24"/>
          <w:highlight w:val="none"/>
        </w:rPr>
        <w:t>自律</w:t>
      </w:r>
      <w:r>
        <w:rPr>
          <w:b/>
          <w:color w:val="auto"/>
          <w:sz w:val="24"/>
          <w:highlight w:val="none"/>
        </w:rPr>
        <w:t>规定</w:t>
      </w:r>
    </w:p>
    <w:p w14:paraId="47AAFC89">
      <w:pPr>
        <w:spacing w:line="360" w:lineRule="auto"/>
        <w:ind w:firstLine="435"/>
        <w:rPr>
          <w:color w:val="auto"/>
          <w:sz w:val="24"/>
          <w:highlight w:val="none"/>
        </w:rPr>
      </w:pPr>
      <w:r>
        <w:rPr>
          <w:rFonts w:hint="eastAsia"/>
          <w:color w:val="auto"/>
          <w:sz w:val="24"/>
          <w:highlight w:val="none"/>
          <w:lang w:val="en-US" w:eastAsia="zh-CN"/>
        </w:rPr>
        <w:t>28</w:t>
      </w:r>
      <w:r>
        <w:rPr>
          <w:color w:val="auto"/>
          <w:sz w:val="24"/>
          <w:highlight w:val="none"/>
        </w:rPr>
        <w:t>.1采购代理机构工作人员不得以不正当手段获取政府采购代理业务，不得与采购人、供应商恶意串通。</w:t>
      </w:r>
    </w:p>
    <w:p w14:paraId="7FEF6A5C">
      <w:pPr>
        <w:spacing w:line="360" w:lineRule="auto"/>
        <w:ind w:firstLine="435"/>
        <w:rPr>
          <w:color w:val="auto"/>
          <w:sz w:val="24"/>
          <w:highlight w:val="none"/>
        </w:rPr>
      </w:pPr>
      <w:r>
        <w:rPr>
          <w:rFonts w:hint="eastAsia"/>
          <w:color w:val="auto"/>
          <w:sz w:val="24"/>
          <w:highlight w:val="none"/>
          <w:lang w:val="en-US" w:eastAsia="zh-CN"/>
        </w:rPr>
        <w:t>28</w:t>
      </w:r>
      <w:r>
        <w:rPr>
          <w:color w:val="auto"/>
          <w:sz w:val="24"/>
          <w:highlight w:val="none"/>
        </w:rPr>
        <w:t>.2采购代理机构工作人员不得接受采购人或者供应商组织的宴请、旅游、娱乐，不得收受礼品、现金、有价证券等，不得向采购人或者供应商报销应当由个人承担的费用。</w:t>
      </w:r>
    </w:p>
    <w:p w14:paraId="39B5368C">
      <w:pPr>
        <w:spacing w:line="360" w:lineRule="auto"/>
        <w:ind w:firstLine="437"/>
        <w:outlineLvl w:val="2"/>
        <w:rPr>
          <w:b/>
          <w:color w:val="auto"/>
          <w:sz w:val="24"/>
          <w:highlight w:val="none"/>
        </w:rPr>
      </w:pPr>
      <w:r>
        <w:rPr>
          <w:rFonts w:hint="eastAsia"/>
          <w:b/>
          <w:color w:val="auto"/>
          <w:sz w:val="24"/>
          <w:highlight w:val="none"/>
          <w:lang w:val="en-US" w:eastAsia="zh-CN"/>
        </w:rPr>
        <w:t>29</w:t>
      </w:r>
      <w:r>
        <w:rPr>
          <w:b/>
          <w:color w:val="auto"/>
          <w:sz w:val="24"/>
          <w:highlight w:val="none"/>
        </w:rPr>
        <w:t>.质疑的提出与接收</w:t>
      </w:r>
    </w:p>
    <w:p w14:paraId="756493D3">
      <w:pPr>
        <w:spacing w:line="360" w:lineRule="auto"/>
        <w:ind w:firstLine="435"/>
        <w:rPr>
          <w:color w:val="auto"/>
          <w:sz w:val="24"/>
          <w:highlight w:val="none"/>
        </w:rPr>
      </w:pPr>
      <w:r>
        <w:rPr>
          <w:rFonts w:hint="eastAsia"/>
          <w:color w:val="auto"/>
          <w:sz w:val="24"/>
          <w:highlight w:val="none"/>
          <w:lang w:val="en-US" w:eastAsia="zh-CN"/>
        </w:rPr>
        <w:t>29</w:t>
      </w:r>
      <w:r>
        <w:rPr>
          <w:rFonts w:hint="eastAsia"/>
          <w:color w:val="auto"/>
          <w:sz w:val="24"/>
          <w:highlight w:val="none"/>
        </w:rPr>
        <w:t>.1供应商认为磋商文件、采购过程和成交结果使自己的权益受到损害的，可以在知道或者应知其权益受到损害之日起七个工作日内，以书面形式向采购人或其委托的采购代理机构提出质疑。</w:t>
      </w:r>
    </w:p>
    <w:p w14:paraId="52BCAE55">
      <w:pPr>
        <w:spacing w:line="360" w:lineRule="auto"/>
        <w:ind w:firstLine="435"/>
        <w:rPr>
          <w:color w:val="auto"/>
          <w:sz w:val="24"/>
          <w:highlight w:val="none"/>
        </w:rPr>
      </w:pPr>
      <w:r>
        <w:rPr>
          <w:rFonts w:hint="eastAsia"/>
          <w:color w:val="auto"/>
          <w:sz w:val="24"/>
          <w:highlight w:val="none"/>
          <w:lang w:val="en-US" w:eastAsia="zh-CN"/>
        </w:rPr>
        <w:t>29</w:t>
      </w:r>
      <w:r>
        <w:rPr>
          <w:rFonts w:hint="eastAsia"/>
          <w:color w:val="auto"/>
          <w:sz w:val="24"/>
          <w:highlight w:val="none"/>
        </w:rPr>
        <w:t>.</w:t>
      </w:r>
      <w:r>
        <w:rPr>
          <w:rFonts w:hint="eastAsia"/>
          <w:color w:val="auto"/>
          <w:sz w:val="24"/>
          <w:highlight w:val="none"/>
          <w:lang w:val="en-US" w:eastAsia="zh-CN"/>
        </w:rPr>
        <w:t>2</w:t>
      </w:r>
      <w:r>
        <w:rPr>
          <w:rFonts w:hint="eastAsia"/>
          <w:color w:val="auto"/>
          <w:sz w:val="24"/>
          <w:highlight w:val="none"/>
        </w:rPr>
        <w:t>质疑供应商应按照财政部制定的《政府采购质疑函范本》格式（详见磋商文件第八章）和《政府采购质疑和投诉办法》的要求，在法定质疑期内以书面形式提出质疑，超出法定质疑期提交的质疑将被拒绝。针对同一采购程序环节的质疑应一次性提出。</w:t>
      </w:r>
    </w:p>
    <w:p w14:paraId="4C130B1B">
      <w:pPr>
        <w:spacing w:line="360" w:lineRule="auto"/>
        <w:ind w:firstLine="435"/>
        <w:rPr>
          <w:rFonts w:hint="eastAsia"/>
          <w:color w:val="auto"/>
          <w:sz w:val="24"/>
          <w:highlight w:val="none"/>
        </w:rPr>
      </w:pPr>
      <w:r>
        <w:rPr>
          <w:rFonts w:hint="eastAsia"/>
          <w:color w:val="auto"/>
          <w:sz w:val="24"/>
          <w:highlight w:val="none"/>
          <w:lang w:val="en-US" w:eastAsia="zh-CN"/>
        </w:rPr>
        <w:t>29</w:t>
      </w:r>
      <w:r>
        <w:rPr>
          <w:rFonts w:hint="eastAsia"/>
          <w:color w:val="auto"/>
          <w:sz w:val="24"/>
          <w:highlight w:val="none"/>
        </w:rPr>
        <w:t>.</w:t>
      </w:r>
      <w:r>
        <w:rPr>
          <w:rFonts w:hint="eastAsia"/>
          <w:color w:val="auto"/>
          <w:sz w:val="24"/>
          <w:highlight w:val="none"/>
          <w:lang w:val="en-US" w:eastAsia="zh-CN"/>
        </w:rPr>
        <w:t>3</w:t>
      </w:r>
      <w:r>
        <w:rPr>
          <w:rFonts w:hint="eastAsia"/>
          <w:color w:val="auto"/>
          <w:sz w:val="24"/>
          <w:highlight w:val="none"/>
        </w:rPr>
        <w:t>采购代理机构质疑函接收部门、联系电话和通讯地址，见</w:t>
      </w:r>
      <w:r>
        <w:rPr>
          <w:rFonts w:hint="eastAsia"/>
          <w:color w:val="auto"/>
          <w:sz w:val="24"/>
          <w:highlight w:val="none"/>
          <w:u w:val="single"/>
        </w:rPr>
        <w:t>供应商须知前附表</w:t>
      </w:r>
      <w:r>
        <w:rPr>
          <w:rFonts w:hint="eastAsia"/>
          <w:color w:val="auto"/>
          <w:sz w:val="24"/>
          <w:highlight w:val="none"/>
        </w:rPr>
        <w:t>。</w:t>
      </w:r>
    </w:p>
    <w:p w14:paraId="194F7EE8">
      <w:pPr>
        <w:spacing w:line="360" w:lineRule="auto"/>
        <w:ind w:firstLine="435"/>
        <w:rPr>
          <w:color w:val="auto"/>
          <w:sz w:val="24"/>
          <w:highlight w:val="none"/>
        </w:rPr>
      </w:pPr>
      <w:r>
        <w:rPr>
          <w:rFonts w:hint="eastAsia" w:ascii="宋体" w:hAnsi="宋体" w:eastAsia="宋体"/>
          <w:color w:val="auto"/>
          <w:sz w:val="24"/>
          <w:highlight w:val="none"/>
          <w:lang w:val="en-US" w:eastAsia="zh-CN"/>
        </w:rPr>
        <w:t>注：上述条款中所要求的书面形式递交。</w:t>
      </w:r>
    </w:p>
    <w:p w14:paraId="64833083">
      <w:pPr>
        <w:spacing w:line="360" w:lineRule="auto"/>
        <w:ind w:firstLine="437"/>
        <w:outlineLvl w:val="2"/>
        <w:rPr>
          <w:b/>
          <w:color w:val="auto"/>
          <w:sz w:val="24"/>
          <w:highlight w:val="none"/>
        </w:rPr>
      </w:pPr>
      <w:r>
        <w:rPr>
          <w:b/>
          <w:color w:val="auto"/>
          <w:sz w:val="24"/>
          <w:highlight w:val="none"/>
        </w:rPr>
        <w:t>3</w:t>
      </w:r>
      <w:r>
        <w:rPr>
          <w:rFonts w:hint="eastAsia"/>
          <w:b/>
          <w:color w:val="auto"/>
          <w:sz w:val="24"/>
          <w:highlight w:val="none"/>
          <w:lang w:val="en-US" w:eastAsia="zh-CN"/>
        </w:rPr>
        <w:t>0</w:t>
      </w:r>
      <w:r>
        <w:rPr>
          <w:b/>
          <w:color w:val="auto"/>
          <w:sz w:val="24"/>
          <w:highlight w:val="none"/>
        </w:rPr>
        <w:t>.需要补充的其他内容</w:t>
      </w:r>
    </w:p>
    <w:p w14:paraId="107CB4BB">
      <w:pPr>
        <w:spacing w:line="360" w:lineRule="auto"/>
        <w:ind w:firstLine="435"/>
        <w:rPr>
          <w:color w:val="auto"/>
          <w:sz w:val="24"/>
          <w:highlight w:val="none"/>
        </w:rPr>
      </w:pPr>
      <w:r>
        <w:rPr>
          <w:rFonts w:hint="eastAsia"/>
          <w:color w:val="auto"/>
          <w:sz w:val="24"/>
          <w:highlight w:val="none"/>
        </w:rPr>
        <w:t>需要补充的其他内容，见</w:t>
      </w:r>
      <w:r>
        <w:rPr>
          <w:rFonts w:hint="eastAsia"/>
          <w:color w:val="auto"/>
          <w:sz w:val="24"/>
          <w:highlight w:val="none"/>
          <w:u w:val="single"/>
        </w:rPr>
        <w:t>供应商须知前附表</w:t>
      </w:r>
      <w:r>
        <w:rPr>
          <w:rFonts w:hint="eastAsia"/>
          <w:color w:val="auto"/>
          <w:sz w:val="24"/>
          <w:highlight w:val="none"/>
        </w:rPr>
        <w:t>。</w:t>
      </w:r>
    </w:p>
    <w:p w14:paraId="0AC993D0">
      <w:pPr>
        <w:widowControl/>
        <w:jc w:val="left"/>
        <w:rPr>
          <w:rFonts w:asciiTheme="minorEastAsia" w:hAnsiTheme="minorEastAsia" w:eastAsiaTheme="minorEastAsia"/>
          <w:b/>
          <w:color w:val="auto"/>
          <w:sz w:val="28"/>
          <w:highlight w:val="none"/>
        </w:rPr>
      </w:pPr>
      <w:r>
        <w:rPr>
          <w:rFonts w:asciiTheme="minorEastAsia" w:hAnsiTheme="minorEastAsia" w:eastAsiaTheme="minorEastAsia"/>
          <w:color w:val="auto"/>
          <w:sz w:val="24"/>
          <w:highlight w:val="none"/>
        </w:rPr>
        <w:br w:type="page"/>
      </w:r>
    </w:p>
    <w:p w14:paraId="3DAFEBFA">
      <w:pPr>
        <w:spacing w:line="360" w:lineRule="auto"/>
        <w:jc w:val="center"/>
        <w:outlineLvl w:val="0"/>
        <w:rPr>
          <w:rFonts w:asciiTheme="minorEastAsia" w:hAnsiTheme="minorEastAsia" w:eastAsiaTheme="minorEastAsia"/>
          <w:b/>
          <w:color w:val="auto"/>
          <w:sz w:val="28"/>
          <w:highlight w:val="none"/>
        </w:rPr>
      </w:pPr>
      <w:bookmarkStart w:id="43" w:name="_Toc7085"/>
      <w:r>
        <w:rPr>
          <w:rFonts w:hint="eastAsia" w:asciiTheme="minorEastAsia" w:hAnsiTheme="minorEastAsia" w:eastAsiaTheme="minorEastAsia"/>
          <w:b/>
          <w:color w:val="auto"/>
          <w:sz w:val="28"/>
          <w:highlight w:val="none"/>
        </w:rPr>
        <w:t>第三章  采购需求</w:t>
      </w:r>
      <w:bookmarkEnd w:id="43"/>
    </w:p>
    <w:tbl>
      <w:tblPr>
        <w:tblStyle w:val="10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8"/>
        <w:gridCol w:w="1277"/>
        <w:gridCol w:w="6287"/>
      </w:tblGrid>
      <w:tr w14:paraId="797DF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392F1A97">
            <w:pPr>
              <w:spacing w:line="360" w:lineRule="auto"/>
              <w:jc w:val="center"/>
              <w:rPr>
                <w:rFonts w:cs="@仿宋_GB2312" w:asciiTheme="minorEastAsia" w:hAnsiTheme="minorEastAsia" w:eastAsiaTheme="minorEastAsia"/>
                <w:b/>
                <w:color w:val="auto"/>
                <w:kern w:val="2"/>
                <w:sz w:val="24"/>
                <w:szCs w:val="22"/>
                <w:highlight w:val="none"/>
              </w:rPr>
            </w:pPr>
            <w:r>
              <w:rPr>
                <w:rFonts w:hint="eastAsia" w:cs="@仿宋_GB2312" w:asciiTheme="minorEastAsia" w:hAnsiTheme="minorEastAsia" w:eastAsiaTheme="minorEastAsia"/>
                <w:b/>
                <w:color w:val="auto"/>
                <w:kern w:val="2"/>
                <w:sz w:val="24"/>
                <w:szCs w:val="22"/>
                <w:highlight w:val="none"/>
              </w:rPr>
              <w:t>序号</w:t>
            </w:r>
          </w:p>
        </w:tc>
        <w:tc>
          <w:tcPr>
            <w:tcW w:w="749" w:type="pct"/>
            <w:vAlign w:val="center"/>
          </w:tcPr>
          <w:p w14:paraId="44875132">
            <w:pPr>
              <w:spacing w:line="360" w:lineRule="auto"/>
              <w:ind w:firstLine="435"/>
              <w:jc w:val="center"/>
              <w:rPr>
                <w:rFonts w:cs="@仿宋_GB2312" w:asciiTheme="minorEastAsia" w:hAnsiTheme="minorEastAsia" w:eastAsiaTheme="minorEastAsia"/>
                <w:b/>
                <w:color w:val="auto"/>
                <w:kern w:val="2"/>
                <w:sz w:val="24"/>
                <w:szCs w:val="22"/>
                <w:highlight w:val="none"/>
              </w:rPr>
            </w:pPr>
            <w:r>
              <w:rPr>
                <w:rFonts w:hint="eastAsia" w:cs="@仿宋_GB2312" w:asciiTheme="minorEastAsia" w:hAnsiTheme="minorEastAsia" w:eastAsiaTheme="minorEastAsia"/>
                <w:b/>
                <w:color w:val="auto"/>
                <w:kern w:val="2"/>
                <w:sz w:val="24"/>
                <w:szCs w:val="22"/>
                <w:highlight w:val="none"/>
              </w:rPr>
              <w:t>内容</w:t>
            </w:r>
          </w:p>
        </w:tc>
        <w:tc>
          <w:tcPr>
            <w:tcW w:w="3688" w:type="pct"/>
            <w:vAlign w:val="center"/>
          </w:tcPr>
          <w:p w14:paraId="0A42120D">
            <w:pPr>
              <w:spacing w:line="360" w:lineRule="auto"/>
              <w:ind w:firstLine="435"/>
              <w:jc w:val="center"/>
              <w:rPr>
                <w:rFonts w:cs="@仿宋_GB2312" w:asciiTheme="minorEastAsia" w:hAnsiTheme="minorEastAsia" w:eastAsiaTheme="minorEastAsia"/>
                <w:b/>
                <w:color w:val="auto"/>
                <w:kern w:val="2"/>
                <w:sz w:val="24"/>
                <w:szCs w:val="22"/>
                <w:highlight w:val="none"/>
              </w:rPr>
            </w:pPr>
            <w:r>
              <w:rPr>
                <w:rFonts w:hint="eastAsia" w:cs="@仿宋_GB2312" w:asciiTheme="minorEastAsia" w:hAnsiTheme="minorEastAsia" w:eastAsiaTheme="minorEastAsia"/>
                <w:b/>
                <w:color w:val="auto"/>
                <w:kern w:val="2"/>
                <w:sz w:val="24"/>
                <w:szCs w:val="22"/>
                <w:highlight w:val="none"/>
              </w:rPr>
              <w:t>说明和要求</w:t>
            </w:r>
          </w:p>
        </w:tc>
      </w:tr>
      <w:tr w14:paraId="7ACBE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304234C6">
            <w:pPr>
              <w:spacing w:line="360" w:lineRule="auto"/>
              <w:jc w:val="center"/>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1</w:t>
            </w:r>
          </w:p>
        </w:tc>
        <w:tc>
          <w:tcPr>
            <w:tcW w:w="749" w:type="pct"/>
            <w:vAlign w:val="center"/>
          </w:tcPr>
          <w:p w14:paraId="0D55A20B">
            <w:pPr>
              <w:spacing w:line="360" w:lineRule="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人员到岗及履约要求</w:t>
            </w:r>
          </w:p>
        </w:tc>
        <w:tc>
          <w:tcPr>
            <w:tcW w:w="3688" w:type="pct"/>
            <w:vAlign w:val="center"/>
          </w:tcPr>
          <w:p w14:paraId="74086366">
            <w:pPr>
              <w:spacing w:line="360" w:lineRule="auto"/>
              <w:rPr>
                <w:rFonts w:hint="default" w:cs="@仿宋_GB2312" w:asciiTheme="minorEastAsia" w:hAnsiTheme="minorEastAsia" w:eastAsiaTheme="minorEastAsia"/>
                <w:color w:val="auto"/>
                <w:kern w:val="2"/>
                <w:sz w:val="24"/>
                <w:szCs w:val="22"/>
                <w:highlight w:val="none"/>
                <w:lang w:val="en-US" w:eastAsia="zh-CN"/>
              </w:rPr>
            </w:pPr>
            <w:r>
              <w:rPr>
                <w:rFonts w:hint="eastAsia" w:cs="@仿宋_GB2312" w:asciiTheme="minorEastAsia" w:hAnsiTheme="minorEastAsia" w:eastAsiaTheme="minorEastAsia"/>
                <w:color w:val="auto"/>
                <w:kern w:val="2"/>
                <w:sz w:val="24"/>
                <w:szCs w:val="22"/>
                <w:highlight w:val="none"/>
                <w:lang w:val="en-US" w:eastAsia="zh-CN"/>
              </w:rPr>
              <w:t>详见采购合同</w:t>
            </w:r>
          </w:p>
        </w:tc>
      </w:tr>
      <w:tr w14:paraId="2E264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1B88A7EE">
            <w:pPr>
              <w:spacing w:line="360" w:lineRule="auto"/>
              <w:jc w:val="center"/>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2</w:t>
            </w:r>
          </w:p>
        </w:tc>
        <w:tc>
          <w:tcPr>
            <w:tcW w:w="749" w:type="pct"/>
            <w:vAlign w:val="center"/>
          </w:tcPr>
          <w:p w14:paraId="5B02FDFD">
            <w:pPr>
              <w:spacing w:line="360" w:lineRule="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材料要求</w:t>
            </w:r>
          </w:p>
        </w:tc>
        <w:tc>
          <w:tcPr>
            <w:tcW w:w="3688" w:type="pct"/>
            <w:vAlign w:val="center"/>
          </w:tcPr>
          <w:p w14:paraId="2CA73CD1">
            <w:pPr>
              <w:spacing w:line="360" w:lineRule="auto"/>
              <w:rPr>
                <w:rFonts w:hint="eastAsia" w:cs="@仿宋_GB2312" w:asciiTheme="minorEastAsia" w:hAnsiTheme="minorEastAsia" w:eastAsiaTheme="minorEastAsia"/>
                <w:color w:val="auto"/>
                <w:kern w:val="2"/>
                <w:sz w:val="24"/>
                <w:szCs w:val="22"/>
                <w:highlight w:val="none"/>
                <w:lang w:eastAsia="zh-CN"/>
              </w:rPr>
            </w:pPr>
            <w:r>
              <w:rPr>
                <w:rFonts w:hint="eastAsia" w:cs="@仿宋_GB2312" w:asciiTheme="minorEastAsia" w:hAnsiTheme="minorEastAsia" w:eastAsiaTheme="minorEastAsia"/>
                <w:color w:val="auto"/>
                <w:kern w:val="2"/>
                <w:sz w:val="24"/>
                <w:szCs w:val="22"/>
                <w:highlight w:val="none"/>
                <w:lang w:val="en-US" w:eastAsia="zh-CN"/>
              </w:rPr>
              <w:t>/</w:t>
            </w:r>
          </w:p>
        </w:tc>
      </w:tr>
      <w:tr w14:paraId="26413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2940986A">
            <w:pPr>
              <w:spacing w:line="360" w:lineRule="auto"/>
              <w:jc w:val="center"/>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3</w:t>
            </w:r>
          </w:p>
        </w:tc>
        <w:tc>
          <w:tcPr>
            <w:tcW w:w="749" w:type="pct"/>
            <w:vAlign w:val="center"/>
          </w:tcPr>
          <w:p w14:paraId="4A64F6C2">
            <w:pPr>
              <w:spacing w:line="360" w:lineRule="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工程施工重点难点</w:t>
            </w:r>
          </w:p>
        </w:tc>
        <w:tc>
          <w:tcPr>
            <w:tcW w:w="3688" w:type="pct"/>
            <w:vAlign w:val="center"/>
          </w:tcPr>
          <w:p w14:paraId="0F67C974">
            <w:pPr>
              <w:spacing w:line="360" w:lineRule="auto"/>
              <w:rPr>
                <w:rFonts w:hint="eastAsia" w:cs="@仿宋_GB2312" w:asciiTheme="minorEastAsia" w:hAnsiTheme="minorEastAsia" w:eastAsiaTheme="minorEastAsia"/>
                <w:color w:val="auto"/>
                <w:kern w:val="2"/>
                <w:sz w:val="24"/>
                <w:szCs w:val="22"/>
                <w:highlight w:val="none"/>
                <w:lang w:eastAsia="zh-CN"/>
              </w:rPr>
            </w:pPr>
            <w:r>
              <w:rPr>
                <w:rFonts w:hint="eastAsia" w:cs="@仿宋_GB2312" w:asciiTheme="minorEastAsia" w:hAnsiTheme="minorEastAsia" w:eastAsiaTheme="minorEastAsia"/>
                <w:color w:val="auto"/>
                <w:kern w:val="2"/>
                <w:sz w:val="24"/>
                <w:szCs w:val="22"/>
                <w:highlight w:val="none"/>
                <w:lang w:val="en-US" w:eastAsia="zh-CN"/>
              </w:rPr>
              <w:t>/</w:t>
            </w:r>
          </w:p>
        </w:tc>
      </w:tr>
      <w:tr w14:paraId="10340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141CA939">
            <w:pPr>
              <w:spacing w:line="360" w:lineRule="auto"/>
              <w:jc w:val="center"/>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4</w:t>
            </w:r>
          </w:p>
        </w:tc>
        <w:tc>
          <w:tcPr>
            <w:tcW w:w="749" w:type="pct"/>
            <w:vAlign w:val="center"/>
          </w:tcPr>
          <w:p w14:paraId="661EC1C4">
            <w:pPr>
              <w:spacing w:line="360" w:lineRule="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报价须知</w:t>
            </w:r>
          </w:p>
        </w:tc>
        <w:tc>
          <w:tcPr>
            <w:tcW w:w="3688" w:type="pct"/>
            <w:vAlign w:val="center"/>
          </w:tcPr>
          <w:p w14:paraId="50DD6582">
            <w:pPr>
              <w:numPr>
                <w:ilvl w:val="0"/>
                <w:numId w:val="0"/>
              </w:numPr>
              <w:spacing w:line="360" w:lineRule="auto"/>
              <w:rPr>
                <w:rFonts w:hint="eastAsia"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lang w:val="en-US" w:eastAsia="zh-CN"/>
              </w:rPr>
              <w:t>1、</w:t>
            </w:r>
            <w:r>
              <w:rPr>
                <w:rFonts w:hint="eastAsia" w:cs="@仿宋_GB2312" w:asciiTheme="minorEastAsia" w:hAnsiTheme="minorEastAsia" w:eastAsiaTheme="minorEastAsia"/>
                <w:color w:val="auto"/>
                <w:kern w:val="2"/>
                <w:sz w:val="24"/>
                <w:szCs w:val="22"/>
                <w:highlight w:val="none"/>
              </w:rPr>
              <w:t>供应商最后报价均不得高于磋商文件（公告）列明的项目预算、最高投标限价，否则其响应文件将被认定为响应无效。</w:t>
            </w:r>
          </w:p>
          <w:p w14:paraId="73478233">
            <w:pPr>
              <w:numPr>
                <w:ilvl w:val="0"/>
                <w:numId w:val="0"/>
              </w:numPr>
              <w:spacing w:line="360" w:lineRule="auto"/>
              <w:rPr>
                <w:rFonts w:hint="eastAsia" w:asciiTheme="minorEastAsia" w:hAnsiTheme="minorEastAsia" w:eastAsiaTheme="minorEastAsia"/>
                <w:b w:val="0"/>
                <w:color w:val="auto"/>
                <w:kern w:val="2"/>
                <w:sz w:val="24"/>
                <w:szCs w:val="24"/>
                <w:highlight w:val="none"/>
                <w:lang w:val="en-US" w:eastAsia="zh-CN"/>
              </w:rPr>
            </w:pPr>
            <w:r>
              <w:rPr>
                <w:rFonts w:hint="eastAsia" w:cs="@仿宋_GB2312" w:asciiTheme="minorEastAsia" w:hAnsiTheme="minorEastAsia" w:eastAsiaTheme="minorEastAsia"/>
                <w:color w:val="auto"/>
                <w:kern w:val="2"/>
                <w:sz w:val="24"/>
                <w:szCs w:val="22"/>
                <w:highlight w:val="none"/>
                <w:lang w:val="en-US" w:eastAsia="zh-CN"/>
              </w:rPr>
              <w:t>2、固定总价报价：</w:t>
            </w:r>
            <w:r>
              <w:rPr>
                <w:rFonts w:hint="eastAsia" w:cs="@仿宋_GB2312" w:asciiTheme="minorEastAsia" w:hAnsiTheme="minorEastAsia" w:eastAsiaTheme="minorEastAsia"/>
                <w:color w:val="auto"/>
                <w:kern w:val="2"/>
                <w:sz w:val="24"/>
                <w:szCs w:val="22"/>
                <w:highlight w:val="none"/>
                <w:u w:val="none"/>
                <w:lang w:val="en-US" w:eastAsia="zh-CN"/>
              </w:rPr>
              <w:t>本项目报价采用固定总价报价，供应商所报价格包含的所有风险、责任等各项全部费用及完成本项目的所有费用；</w:t>
            </w:r>
          </w:p>
          <w:p w14:paraId="57589579">
            <w:pPr>
              <w:pStyle w:val="73"/>
              <w:widowControl w:val="0"/>
              <w:numPr>
                <w:ilvl w:val="0"/>
                <w:numId w:val="0"/>
              </w:numPr>
              <w:spacing w:before="0" w:beforeAutospacing="0" w:after="0" w:afterAutospacing="0" w:line="360" w:lineRule="auto"/>
              <w:ind w:leftChars="0"/>
              <w:jc w:val="both"/>
              <w:rPr>
                <w:rFonts w:hint="eastAsia" w:asciiTheme="minorEastAsia" w:hAnsiTheme="minorEastAsia" w:eastAsiaTheme="minorEastAsia"/>
                <w:b w:val="0"/>
                <w:color w:val="auto"/>
                <w:kern w:val="2"/>
                <w:sz w:val="24"/>
                <w:szCs w:val="24"/>
                <w:highlight w:val="none"/>
                <w:lang w:val="en-US" w:eastAsia="zh-CN"/>
              </w:rPr>
            </w:pPr>
            <w:r>
              <w:rPr>
                <w:rFonts w:hint="eastAsia" w:asciiTheme="minorEastAsia" w:hAnsiTheme="minorEastAsia" w:eastAsiaTheme="minorEastAsia"/>
                <w:b w:val="0"/>
                <w:color w:val="auto"/>
                <w:kern w:val="2"/>
                <w:sz w:val="24"/>
                <w:szCs w:val="24"/>
                <w:highlight w:val="none"/>
                <w:lang w:val="en-US" w:eastAsia="zh-CN"/>
              </w:rPr>
              <w:t>2.1具体排查检测、清淤疏通范围以采购人要求为准，风险由供应商自行考虑；</w:t>
            </w:r>
          </w:p>
          <w:p w14:paraId="39D4EB56">
            <w:pPr>
              <w:pStyle w:val="73"/>
              <w:widowControl w:val="0"/>
              <w:numPr>
                <w:ilvl w:val="0"/>
                <w:numId w:val="0"/>
              </w:numPr>
              <w:spacing w:before="0" w:beforeAutospacing="0" w:after="0" w:afterAutospacing="0" w:line="360" w:lineRule="auto"/>
              <w:ind w:leftChars="0"/>
              <w:jc w:val="both"/>
              <w:rPr>
                <w:rFonts w:hint="eastAsia" w:asciiTheme="minorEastAsia" w:hAnsiTheme="minorEastAsia" w:eastAsiaTheme="minorEastAsia"/>
                <w:b w:val="0"/>
                <w:color w:val="auto"/>
                <w:kern w:val="2"/>
                <w:sz w:val="24"/>
                <w:szCs w:val="24"/>
                <w:highlight w:val="none"/>
                <w:lang w:val="en-US" w:eastAsia="zh-CN"/>
              </w:rPr>
            </w:pPr>
            <w:r>
              <w:rPr>
                <w:rFonts w:hint="eastAsia" w:asciiTheme="minorEastAsia" w:hAnsiTheme="minorEastAsia" w:eastAsiaTheme="minorEastAsia"/>
                <w:b w:val="0"/>
                <w:color w:val="auto"/>
                <w:kern w:val="2"/>
                <w:sz w:val="24"/>
                <w:szCs w:val="24"/>
                <w:highlight w:val="none"/>
                <w:lang w:val="en-US" w:eastAsia="zh-CN"/>
              </w:rPr>
              <w:t>2.2本项目响应报价包含管道封堵、抽排水、导流、清淤、疏通、淤泥运输处置、CCTV检测评估、CAD地形图绘制和检测视频录制、地下管网数据库建立、测绘等以及可能发生的与本项目相关的其他费用均包含在响应报价中，由供应商承担，供应商自行考虑；</w:t>
            </w:r>
          </w:p>
          <w:p w14:paraId="518BAA03">
            <w:pPr>
              <w:pStyle w:val="73"/>
              <w:widowControl w:val="0"/>
              <w:numPr>
                <w:ilvl w:val="0"/>
                <w:numId w:val="0"/>
              </w:numPr>
              <w:spacing w:before="0" w:beforeAutospacing="0" w:after="0" w:afterAutospacing="0" w:line="360" w:lineRule="auto"/>
              <w:ind w:leftChars="0"/>
              <w:jc w:val="both"/>
              <w:rPr>
                <w:rFonts w:hint="eastAsia" w:cs="@仿宋_GB2312" w:asciiTheme="minorEastAsia" w:hAnsiTheme="minorEastAsia" w:eastAsiaTheme="minorEastAsia"/>
                <w:color w:val="auto"/>
                <w:kern w:val="2"/>
                <w:sz w:val="24"/>
                <w:szCs w:val="22"/>
                <w:highlight w:val="none"/>
                <w:lang w:val="en-US" w:eastAsia="zh-CN"/>
              </w:rPr>
            </w:pPr>
            <w:r>
              <w:rPr>
                <w:rFonts w:hint="eastAsia" w:asciiTheme="minorEastAsia" w:hAnsiTheme="minorEastAsia" w:eastAsiaTheme="minorEastAsia"/>
                <w:b w:val="0"/>
                <w:color w:val="auto"/>
                <w:kern w:val="2"/>
                <w:sz w:val="24"/>
                <w:szCs w:val="24"/>
                <w:highlight w:val="none"/>
                <w:lang w:val="en-US" w:eastAsia="zh-CN"/>
              </w:rPr>
              <w:t>2.3本项目管道淤泥沉积量已综合考虑在清淤检测费中，不论沉积量多少，有无障碍物需要清除 ，不再另行计价。支管检测已包含在响应报价中 ，也不另行计价。淤泥清掏运输、处置由供应商</w:t>
            </w:r>
            <w:r>
              <w:rPr>
                <w:rFonts w:hint="eastAsia" w:asciiTheme="minorEastAsia" w:hAnsiTheme="minorEastAsia" w:eastAsiaTheme="minorEastAsia"/>
                <w:b w:val="0"/>
                <w:color w:val="auto"/>
                <w:kern w:val="2"/>
                <w:sz w:val="24"/>
                <w:szCs w:val="24"/>
                <w:highlight w:val="none"/>
              </w:rPr>
              <w:t>自行解决，不再另行计取淤泥运输处置费。淤泥处置要符合环保要求，如不符合环保要求，责任由</w:t>
            </w:r>
            <w:r>
              <w:rPr>
                <w:rFonts w:hint="eastAsia" w:asciiTheme="minorEastAsia" w:hAnsiTheme="minorEastAsia" w:eastAsiaTheme="minorEastAsia"/>
                <w:b w:val="0"/>
                <w:color w:val="auto"/>
                <w:kern w:val="2"/>
                <w:sz w:val="24"/>
                <w:szCs w:val="24"/>
                <w:highlight w:val="none"/>
                <w:lang w:val="en-US" w:eastAsia="zh-CN"/>
              </w:rPr>
              <w:t>供应商</w:t>
            </w:r>
            <w:r>
              <w:rPr>
                <w:rFonts w:hint="eastAsia" w:asciiTheme="minorEastAsia" w:hAnsiTheme="minorEastAsia" w:eastAsiaTheme="minorEastAsia"/>
                <w:b w:val="0"/>
                <w:color w:val="auto"/>
                <w:kern w:val="2"/>
                <w:sz w:val="24"/>
                <w:szCs w:val="24"/>
                <w:highlight w:val="none"/>
              </w:rPr>
              <w:t>全权承担。作业过程中，如需对地上、地下管线进行保护，</w:t>
            </w:r>
            <w:r>
              <w:rPr>
                <w:rFonts w:hint="eastAsia" w:asciiTheme="minorEastAsia" w:hAnsiTheme="minorEastAsia" w:eastAsiaTheme="minorEastAsia"/>
                <w:b w:val="0"/>
                <w:color w:val="auto"/>
                <w:kern w:val="2"/>
                <w:sz w:val="24"/>
                <w:szCs w:val="24"/>
                <w:highlight w:val="none"/>
                <w:lang w:val="en-US" w:eastAsia="zh-CN"/>
              </w:rPr>
              <w:t>供应商</w:t>
            </w:r>
            <w:r>
              <w:rPr>
                <w:rFonts w:hint="eastAsia" w:asciiTheme="minorEastAsia" w:hAnsiTheme="minorEastAsia" w:eastAsiaTheme="minorEastAsia"/>
                <w:b w:val="0"/>
                <w:color w:val="auto"/>
                <w:kern w:val="2"/>
                <w:sz w:val="24"/>
                <w:szCs w:val="24"/>
                <w:highlight w:val="none"/>
              </w:rPr>
              <w:t>必须做好保护措施，费用由</w:t>
            </w:r>
            <w:r>
              <w:rPr>
                <w:rFonts w:hint="eastAsia" w:asciiTheme="minorEastAsia" w:hAnsiTheme="minorEastAsia" w:eastAsiaTheme="minorEastAsia"/>
                <w:b w:val="0"/>
                <w:color w:val="auto"/>
                <w:kern w:val="2"/>
                <w:sz w:val="24"/>
                <w:szCs w:val="24"/>
                <w:highlight w:val="none"/>
                <w:lang w:val="en-US" w:eastAsia="zh-CN"/>
              </w:rPr>
              <w:t>供应商</w:t>
            </w:r>
            <w:r>
              <w:rPr>
                <w:rFonts w:hint="eastAsia" w:asciiTheme="minorEastAsia" w:hAnsiTheme="minorEastAsia" w:eastAsiaTheme="minorEastAsia"/>
                <w:b w:val="0"/>
                <w:color w:val="auto"/>
                <w:kern w:val="2"/>
                <w:sz w:val="24"/>
                <w:szCs w:val="24"/>
                <w:highlight w:val="none"/>
              </w:rPr>
              <w:t>自行承担。</w:t>
            </w:r>
          </w:p>
        </w:tc>
      </w:tr>
      <w:tr w14:paraId="5587C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01939BB6">
            <w:pPr>
              <w:spacing w:line="360" w:lineRule="auto"/>
              <w:jc w:val="center"/>
              <w:rPr>
                <w:rFonts w:hint="eastAsia" w:cs="@仿宋_GB2312" w:asciiTheme="minorEastAsia" w:hAnsiTheme="minorEastAsia" w:eastAsiaTheme="minorEastAsia"/>
                <w:color w:val="auto"/>
                <w:kern w:val="2"/>
                <w:sz w:val="24"/>
                <w:szCs w:val="22"/>
                <w:highlight w:val="none"/>
                <w:lang w:eastAsia="zh-CN"/>
              </w:rPr>
            </w:pPr>
            <w:r>
              <w:rPr>
                <w:rFonts w:hint="eastAsia" w:cs="@仿宋_GB2312" w:asciiTheme="minorEastAsia" w:hAnsiTheme="minorEastAsia" w:eastAsiaTheme="minorEastAsia"/>
                <w:color w:val="auto"/>
                <w:kern w:val="2"/>
                <w:sz w:val="24"/>
                <w:szCs w:val="22"/>
                <w:highlight w:val="none"/>
                <w:lang w:val="en-US" w:eastAsia="zh-CN"/>
              </w:rPr>
              <w:t>5</w:t>
            </w:r>
          </w:p>
        </w:tc>
        <w:tc>
          <w:tcPr>
            <w:tcW w:w="749" w:type="pct"/>
            <w:vAlign w:val="center"/>
          </w:tcPr>
          <w:p w14:paraId="114265FA">
            <w:pPr>
              <w:spacing w:line="360" w:lineRule="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项目经理</w:t>
            </w:r>
          </w:p>
        </w:tc>
        <w:tc>
          <w:tcPr>
            <w:tcW w:w="3688" w:type="pct"/>
            <w:vAlign w:val="center"/>
          </w:tcPr>
          <w:p w14:paraId="5DCBFF13">
            <w:pPr>
              <w:pStyle w:val="51"/>
              <w:keepNext w:val="0"/>
              <w:keepLines w:val="0"/>
              <w:widowControl/>
              <w:suppressLineNumbers w:val="0"/>
              <w:spacing w:before="0" w:beforeAutospacing="0" w:after="0" w:afterAutospacing="0" w:line="240" w:lineRule="auto"/>
              <w:ind w:left="0" w:firstLine="466"/>
              <w:contextualSpacing/>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 xml:space="preserve">项目经理的其他要求：（1）：具有市政公用工程专业贰级及以上注册建造师执业资格、有效的安全生产考核合格证书（建安 B 证）。 </w:t>
            </w:r>
          </w:p>
          <w:p w14:paraId="192172EE">
            <w:pPr>
              <w:spacing w:line="360" w:lineRule="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 xml:space="preserve">（2）项目经理不得同时担任两个及以上建设工程施工项目 </w:t>
            </w:r>
          </w:p>
          <w:p w14:paraId="2F91A000">
            <w:pPr>
              <w:spacing w:line="360" w:lineRule="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 xml:space="preserve">负责人，以下情形除外： </w:t>
            </w:r>
          </w:p>
          <w:p w14:paraId="75186666">
            <w:pPr>
              <w:spacing w:line="360" w:lineRule="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 xml:space="preserve">①法定情形； </w:t>
            </w:r>
          </w:p>
          <w:p w14:paraId="460483B3">
            <w:pPr>
              <w:spacing w:line="360" w:lineRule="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 xml:space="preserve">②虽在其他项目上担任项目经理岗位，但本项目成交后能 </w:t>
            </w:r>
          </w:p>
          <w:p w14:paraId="75B7E2E8">
            <w:pPr>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 xml:space="preserve">够从该项目撤离，全面履约。 </w:t>
            </w:r>
          </w:p>
          <w:p w14:paraId="49B12CC1">
            <w:pPr>
              <w:spacing w:line="360" w:lineRule="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 xml:space="preserve">（3）成交后若项目经理在其他项目上担任项目经理岗位， </w:t>
            </w:r>
          </w:p>
          <w:p w14:paraId="27718C1A">
            <w:pPr>
              <w:spacing w:line="360" w:lineRule="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 xml:space="preserve">导致该项目经理无法进场履约的，采购人可取消其成交资 </w:t>
            </w:r>
          </w:p>
          <w:p w14:paraId="5D281605">
            <w:pPr>
              <w:spacing w:line="360" w:lineRule="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 xml:space="preserve">格。供应商因此原因被取消成交资格的，视为无正当理由 </w:t>
            </w:r>
          </w:p>
          <w:p w14:paraId="26918B2D">
            <w:pPr>
              <w:spacing w:line="360" w:lineRule="auto"/>
              <w:rPr>
                <w:rFonts w:cs="@仿宋_GB2312" w:asciiTheme="minorEastAsia" w:hAnsiTheme="minorEastAsia" w:eastAsiaTheme="minorEastAsia"/>
                <w:color w:val="auto"/>
                <w:kern w:val="2"/>
                <w:sz w:val="24"/>
                <w:szCs w:val="22"/>
                <w:highlight w:val="none"/>
              </w:rPr>
            </w:pPr>
            <w:r>
              <w:rPr>
                <w:rFonts w:hint="eastAsia" w:ascii="宋体" w:hAnsi="宋体" w:eastAsia="宋体" w:cs="宋体"/>
                <w:color w:val="auto"/>
                <w:kern w:val="2"/>
                <w:sz w:val="24"/>
                <w:szCs w:val="24"/>
                <w:highlight w:val="none"/>
                <w:lang w:val="en-US" w:eastAsia="zh-CN"/>
              </w:rPr>
              <w:t xml:space="preserve">放弃成交资格。 </w:t>
            </w:r>
          </w:p>
        </w:tc>
      </w:tr>
      <w:tr w14:paraId="68C25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408C15A0">
            <w:pPr>
              <w:spacing w:line="360" w:lineRule="auto"/>
              <w:jc w:val="center"/>
              <w:rPr>
                <w:rFonts w:hint="default" w:cs="@仿宋_GB2312" w:asciiTheme="minorEastAsia" w:hAnsiTheme="minorEastAsia" w:eastAsiaTheme="minorEastAsia"/>
                <w:color w:val="auto"/>
                <w:kern w:val="2"/>
                <w:sz w:val="24"/>
                <w:szCs w:val="22"/>
                <w:highlight w:val="none"/>
                <w:lang w:val="en-US" w:eastAsia="zh-CN"/>
              </w:rPr>
            </w:pPr>
            <w:r>
              <w:rPr>
                <w:rFonts w:hint="eastAsia" w:cs="@仿宋_GB2312" w:asciiTheme="minorEastAsia" w:hAnsiTheme="minorEastAsia" w:eastAsiaTheme="minorEastAsia"/>
                <w:color w:val="auto"/>
                <w:kern w:val="2"/>
                <w:sz w:val="24"/>
                <w:szCs w:val="22"/>
                <w:highlight w:val="none"/>
                <w:lang w:val="en-US" w:eastAsia="zh-CN"/>
              </w:rPr>
              <w:t>6</w:t>
            </w:r>
          </w:p>
        </w:tc>
        <w:tc>
          <w:tcPr>
            <w:tcW w:w="749" w:type="pct"/>
            <w:vAlign w:val="center"/>
          </w:tcPr>
          <w:p w14:paraId="2EEF2775">
            <w:pPr>
              <w:keepNext w:val="0"/>
              <w:keepLines w:val="0"/>
              <w:widowControl/>
              <w:suppressLineNumbers w:val="0"/>
              <w:jc w:val="left"/>
              <w:rPr>
                <w:rFonts w:cs="@仿宋_GB2312" w:asciiTheme="minorEastAsia" w:hAnsiTheme="minorEastAsia" w:eastAsiaTheme="minorEastAsia"/>
                <w:color w:val="auto"/>
                <w:kern w:val="2"/>
                <w:sz w:val="24"/>
                <w:szCs w:val="22"/>
                <w:highlight w:val="none"/>
              </w:rPr>
            </w:pPr>
            <w:r>
              <w:rPr>
                <w:rFonts w:hint="eastAsia" w:ascii="宋体" w:hAnsi="宋体" w:eastAsia="宋体" w:cs="宋体"/>
                <w:color w:val="000000"/>
                <w:kern w:val="0"/>
                <w:sz w:val="24"/>
                <w:szCs w:val="24"/>
                <w:lang w:val="en-US" w:eastAsia="zh-CN" w:bidi="ar"/>
              </w:rPr>
              <w:t>工程概况</w:t>
            </w:r>
          </w:p>
        </w:tc>
        <w:tc>
          <w:tcPr>
            <w:tcW w:w="3688" w:type="pct"/>
            <w:vAlign w:val="center"/>
          </w:tcPr>
          <w:p w14:paraId="69CBC0DF">
            <w:pPr>
              <w:rPr>
                <w:rFonts w:cs="@仿宋_GB2312" w:asciiTheme="minorEastAsia" w:hAnsiTheme="minorEastAsia" w:eastAsiaTheme="minorEastAsia"/>
                <w:color w:val="auto"/>
                <w:kern w:val="2"/>
                <w:sz w:val="24"/>
                <w:szCs w:val="22"/>
                <w:highlight w:val="none"/>
              </w:rPr>
            </w:pPr>
            <w:r>
              <w:rPr>
                <w:rFonts w:hint="eastAsia" w:asciiTheme="minorEastAsia" w:hAnsiTheme="minorEastAsia" w:eastAsiaTheme="minorEastAsia"/>
                <w:color w:val="auto"/>
                <w:kern w:val="2"/>
                <w:sz w:val="24"/>
                <w:szCs w:val="22"/>
                <w:highlight w:val="none"/>
                <w:lang w:eastAsia="zh-CN"/>
              </w:rPr>
              <w:t>界首市顺河路、经二路、胜利路清淤及检测工程</w:t>
            </w:r>
            <w:r>
              <w:rPr>
                <w:rFonts w:hint="eastAsia" w:asciiTheme="minorEastAsia" w:hAnsiTheme="minorEastAsia" w:eastAsiaTheme="minorEastAsia"/>
                <w:color w:val="auto"/>
                <w:kern w:val="2"/>
                <w:sz w:val="24"/>
                <w:szCs w:val="22"/>
                <w:highlight w:val="none"/>
                <w:lang w:val="en-US" w:eastAsia="zh-CN"/>
              </w:rPr>
              <w:t>；本次实施项目为顺河路（融城大道-战训中心门口）、经二路（顺河路-人民路）、胜利路（融城大道-中心沟桥）段，全线雨污水管网长约3500米，具体内容详见工程量清单</w:t>
            </w:r>
            <w:r>
              <w:rPr>
                <w:rFonts w:hint="eastAsia" w:asciiTheme="minorEastAsia" w:hAnsiTheme="minorEastAsia" w:eastAsiaTheme="minorEastAsia"/>
                <w:color w:val="auto"/>
                <w:kern w:val="2"/>
                <w:sz w:val="24"/>
                <w:szCs w:val="22"/>
                <w:highlight w:val="none"/>
                <w:lang w:eastAsia="zh-CN"/>
              </w:rPr>
              <w:t>。</w:t>
            </w:r>
          </w:p>
        </w:tc>
      </w:tr>
      <w:tr w14:paraId="14C1B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52E1D8C5">
            <w:pPr>
              <w:spacing w:line="360" w:lineRule="auto"/>
              <w:jc w:val="center"/>
              <w:rPr>
                <w:rFonts w:hint="default" w:cs="@仿宋_GB2312" w:asciiTheme="minorEastAsia" w:hAnsiTheme="minorEastAsia" w:eastAsiaTheme="minorEastAsia"/>
                <w:color w:val="auto"/>
                <w:kern w:val="2"/>
                <w:sz w:val="24"/>
                <w:szCs w:val="22"/>
                <w:highlight w:val="none"/>
                <w:lang w:val="en-US" w:eastAsia="zh-CN"/>
              </w:rPr>
            </w:pPr>
            <w:r>
              <w:rPr>
                <w:rFonts w:hint="eastAsia" w:cs="@仿宋_GB2312" w:asciiTheme="minorEastAsia" w:hAnsiTheme="minorEastAsia" w:eastAsiaTheme="minorEastAsia"/>
                <w:color w:val="auto"/>
                <w:kern w:val="2"/>
                <w:sz w:val="24"/>
                <w:szCs w:val="22"/>
                <w:highlight w:val="none"/>
                <w:lang w:val="en-US" w:eastAsia="zh-CN"/>
              </w:rPr>
              <w:t>7</w:t>
            </w:r>
          </w:p>
        </w:tc>
        <w:tc>
          <w:tcPr>
            <w:tcW w:w="749" w:type="pct"/>
            <w:vAlign w:val="center"/>
          </w:tcPr>
          <w:p w14:paraId="1F32C53E">
            <w:pPr>
              <w:keepNext w:val="0"/>
              <w:keepLines w:val="0"/>
              <w:widowControl/>
              <w:suppressLineNumbers w:val="0"/>
              <w:jc w:val="left"/>
              <w:rPr>
                <w:rFonts w:hint="eastAsia" w:cs="@仿宋_GB2312" w:asciiTheme="minorEastAsia" w:hAnsiTheme="minorEastAsia" w:eastAsiaTheme="minorEastAsia"/>
                <w:color w:val="auto"/>
                <w:kern w:val="2"/>
                <w:sz w:val="24"/>
                <w:szCs w:val="22"/>
                <w:highlight w:val="none"/>
                <w:lang w:val="en-US" w:eastAsia="zh-CN"/>
              </w:rPr>
            </w:pPr>
            <w:r>
              <w:rPr>
                <w:rFonts w:hint="eastAsia" w:ascii="宋体" w:hAnsi="宋体" w:eastAsia="宋体" w:cs="宋体"/>
                <w:color w:val="000000"/>
                <w:kern w:val="0"/>
                <w:sz w:val="24"/>
                <w:szCs w:val="24"/>
                <w:lang w:val="en-US" w:eastAsia="zh-CN" w:bidi="ar"/>
              </w:rPr>
              <w:t xml:space="preserve">工程地点 </w:t>
            </w:r>
          </w:p>
        </w:tc>
        <w:tc>
          <w:tcPr>
            <w:tcW w:w="3688" w:type="pct"/>
            <w:vAlign w:val="center"/>
          </w:tcPr>
          <w:p w14:paraId="01D54E75">
            <w:pPr>
              <w:spacing w:line="360" w:lineRule="auto"/>
              <w:jc w:val="left"/>
              <w:rPr>
                <w:rFonts w:hint="default" w:cs="@仿宋_GB2312" w:asciiTheme="minorEastAsia" w:hAnsiTheme="minorEastAsia" w:eastAsiaTheme="minorEastAsia"/>
                <w:color w:val="auto"/>
                <w:kern w:val="2"/>
                <w:sz w:val="24"/>
                <w:szCs w:val="22"/>
                <w:highlight w:val="none"/>
                <w:lang w:val="en-US" w:eastAsia="zh-CN"/>
              </w:rPr>
            </w:pPr>
            <w:r>
              <w:rPr>
                <w:rFonts w:hint="eastAsia" w:cs="@仿宋_GB2312" w:asciiTheme="minorEastAsia" w:hAnsiTheme="minorEastAsia" w:eastAsiaTheme="minorEastAsia"/>
                <w:color w:val="auto"/>
                <w:kern w:val="2"/>
                <w:sz w:val="24"/>
                <w:szCs w:val="22"/>
                <w:highlight w:val="none"/>
                <w:lang w:val="en-US" w:eastAsia="zh-CN"/>
              </w:rPr>
              <w:t xml:space="preserve">界首市 </w:t>
            </w:r>
          </w:p>
        </w:tc>
      </w:tr>
      <w:tr w14:paraId="7A188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3A77C92A">
            <w:pPr>
              <w:spacing w:line="360" w:lineRule="auto"/>
              <w:jc w:val="center"/>
              <w:rPr>
                <w:rFonts w:hint="default" w:cs="@仿宋_GB2312" w:asciiTheme="minorEastAsia" w:hAnsiTheme="minorEastAsia" w:eastAsiaTheme="minorEastAsia"/>
                <w:color w:val="auto"/>
                <w:kern w:val="2"/>
                <w:sz w:val="24"/>
                <w:szCs w:val="22"/>
                <w:highlight w:val="none"/>
                <w:lang w:val="en-US" w:eastAsia="zh-CN"/>
              </w:rPr>
            </w:pPr>
            <w:r>
              <w:rPr>
                <w:rFonts w:hint="eastAsia" w:cs="@仿宋_GB2312" w:asciiTheme="minorEastAsia" w:hAnsiTheme="minorEastAsia" w:eastAsiaTheme="minorEastAsia"/>
                <w:color w:val="auto"/>
                <w:kern w:val="2"/>
                <w:sz w:val="24"/>
                <w:szCs w:val="22"/>
                <w:highlight w:val="none"/>
                <w:lang w:val="en-US" w:eastAsia="zh-CN"/>
              </w:rPr>
              <w:t>8</w:t>
            </w:r>
          </w:p>
        </w:tc>
        <w:tc>
          <w:tcPr>
            <w:tcW w:w="749" w:type="pct"/>
            <w:vAlign w:val="center"/>
          </w:tcPr>
          <w:p w14:paraId="4847448E">
            <w:pPr>
              <w:keepNext w:val="0"/>
              <w:keepLines w:val="0"/>
              <w:widowControl/>
              <w:suppressLineNumbers w:val="0"/>
              <w:jc w:val="left"/>
              <w:rPr>
                <w:rFonts w:hint="eastAsia" w:cs="@仿宋_GB2312" w:asciiTheme="minorEastAsia" w:hAnsiTheme="minorEastAsia" w:eastAsiaTheme="minorEastAsia"/>
                <w:color w:val="auto"/>
                <w:kern w:val="2"/>
                <w:sz w:val="24"/>
                <w:szCs w:val="22"/>
                <w:highlight w:val="none"/>
                <w:lang w:val="en-US" w:eastAsia="zh-CN"/>
              </w:rPr>
            </w:pPr>
            <w:r>
              <w:rPr>
                <w:rFonts w:hint="eastAsia" w:ascii="宋体" w:hAnsi="宋体" w:eastAsia="宋体" w:cs="宋体"/>
                <w:color w:val="000000"/>
                <w:kern w:val="0"/>
                <w:sz w:val="24"/>
                <w:szCs w:val="24"/>
                <w:lang w:val="en-US" w:eastAsia="zh-CN" w:bidi="ar"/>
              </w:rPr>
              <w:t>工期</w:t>
            </w:r>
          </w:p>
        </w:tc>
        <w:tc>
          <w:tcPr>
            <w:tcW w:w="3688" w:type="pct"/>
            <w:vAlign w:val="center"/>
          </w:tcPr>
          <w:p w14:paraId="1919AD27">
            <w:pPr>
              <w:spacing w:line="360" w:lineRule="auto"/>
              <w:jc w:val="left"/>
              <w:rPr>
                <w:rFonts w:hint="default" w:cs="@仿宋_GB2312" w:asciiTheme="minorEastAsia" w:hAnsiTheme="minorEastAsia" w:eastAsiaTheme="minorEastAsia"/>
                <w:color w:val="auto"/>
                <w:kern w:val="2"/>
                <w:sz w:val="24"/>
                <w:szCs w:val="22"/>
                <w:highlight w:val="none"/>
                <w:lang w:val="en-US" w:eastAsia="zh-CN"/>
              </w:rPr>
            </w:pPr>
            <w:r>
              <w:rPr>
                <w:rFonts w:hint="eastAsia" w:cs="@仿宋_GB2312" w:asciiTheme="minorEastAsia" w:hAnsiTheme="minorEastAsia" w:eastAsiaTheme="minorEastAsia"/>
                <w:color w:val="auto"/>
                <w:kern w:val="2"/>
                <w:sz w:val="24"/>
                <w:szCs w:val="22"/>
                <w:highlight w:val="none"/>
                <w:lang w:val="en-US" w:eastAsia="zh-CN"/>
              </w:rPr>
              <w:t>30日历天</w:t>
            </w:r>
          </w:p>
        </w:tc>
      </w:tr>
      <w:tr w14:paraId="2135B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76A59E5E">
            <w:pPr>
              <w:spacing w:line="360" w:lineRule="auto"/>
              <w:jc w:val="center"/>
              <w:rPr>
                <w:rFonts w:hint="default" w:cs="@仿宋_GB2312" w:asciiTheme="minorEastAsia" w:hAnsiTheme="minorEastAsia" w:eastAsiaTheme="minorEastAsia"/>
                <w:color w:val="auto"/>
                <w:kern w:val="2"/>
                <w:sz w:val="24"/>
                <w:szCs w:val="22"/>
                <w:highlight w:val="none"/>
                <w:lang w:val="en-US" w:eastAsia="zh-CN"/>
              </w:rPr>
            </w:pPr>
            <w:r>
              <w:rPr>
                <w:rFonts w:hint="eastAsia" w:cs="@仿宋_GB2312" w:asciiTheme="minorEastAsia" w:hAnsiTheme="minorEastAsia" w:eastAsiaTheme="minorEastAsia"/>
                <w:color w:val="auto"/>
                <w:kern w:val="2"/>
                <w:sz w:val="24"/>
                <w:szCs w:val="22"/>
                <w:highlight w:val="none"/>
                <w:lang w:val="en-US" w:eastAsia="zh-CN"/>
              </w:rPr>
              <w:t>9</w:t>
            </w:r>
          </w:p>
        </w:tc>
        <w:tc>
          <w:tcPr>
            <w:tcW w:w="749" w:type="pct"/>
            <w:vAlign w:val="center"/>
          </w:tcPr>
          <w:p w14:paraId="46A9534C">
            <w:pPr>
              <w:keepNext w:val="0"/>
              <w:keepLines w:val="0"/>
              <w:widowControl/>
              <w:suppressLineNumbers w:val="0"/>
              <w:jc w:val="left"/>
              <w:rPr>
                <w:rFonts w:hint="default" w:cs="@仿宋_GB2312" w:asciiTheme="minorEastAsia" w:hAnsiTheme="minorEastAsia" w:eastAsiaTheme="minorEastAsia"/>
                <w:color w:val="auto"/>
                <w:kern w:val="2"/>
                <w:sz w:val="24"/>
                <w:szCs w:val="22"/>
                <w:highlight w:val="none"/>
                <w:lang w:val="en-US" w:eastAsia="zh-CN"/>
              </w:rPr>
            </w:pPr>
            <w:r>
              <w:rPr>
                <w:rFonts w:hint="eastAsia" w:cs="@仿宋_GB2312" w:asciiTheme="minorEastAsia" w:hAnsiTheme="minorEastAsia" w:eastAsiaTheme="minorEastAsia"/>
                <w:color w:val="auto"/>
                <w:kern w:val="2"/>
                <w:sz w:val="24"/>
                <w:szCs w:val="22"/>
                <w:highlight w:val="none"/>
                <w:lang w:val="en-US" w:eastAsia="zh-CN"/>
              </w:rPr>
              <w:t>付款方式</w:t>
            </w:r>
          </w:p>
        </w:tc>
        <w:tc>
          <w:tcPr>
            <w:tcW w:w="3688" w:type="pct"/>
            <w:vAlign w:val="center"/>
          </w:tcPr>
          <w:p w14:paraId="5B7934DF">
            <w:pPr>
              <w:keepNext w:val="0"/>
              <w:keepLines w:val="0"/>
              <w:widowControl/>
              <w:suppressLineNumbers w:val="0"/>
              <w:jc w:val="left"/>
              <w:rPr>
                <w:rFonts w:hint="default" w:cs="@仿宋_GB2312" w:asciiTheme="minorEastAsia" w:hAnsiTheme="minorEastAsia" w:eastAsiaTheme="minorEastAsia"/>
                <w:color w:val="auto"/>
                <w:kern w:val="2"/>
                <w:sz w:val="24"/>
                <w:szCs w:val="22"/>
                <w:highlight w:val="none"/>
                <w:lang w:val="en-US" w:eastAsia="zh-CN"/>
              </w:rPr>
            </w:pPr>
            <w:r>
              <w:rPr>
                <w:rFonts w:hint="eastAsia" w:ascii="宋体" w:hAnsi="宋体" w:eastAsia="宋体" w:cs="宋体"/>
                <w:color w:val="000000"/>
                <w:kern w:val="0"/>
                <w:sz w:val="24"/>
                <w:szCs w:val="24"/>
                <w:lang w:val="en-US" w:eastAsia="zh-CN" w:bidi="ar"/>
              </w:rPr>
              <w:t>工程全部完工且竣工验收合格后付至合同价款80%，工程经结算审核后付至</w:t>
            </w:r>
            <w:r>
              <w:rPr>
                <w:rFonts w:hint="eastAsia" w:cs="宋体"/>
                <w:color w:val="000000"/>
                <w:kern w:val="0"/>
                <w:sz w:val="24"/>
                <w:szCs w:val="24"/>
                <w:lang w:val="en-US" w:eastAsia="zh-CN" w:bidi="ar"/>
              </w:rPr>
              <w:t>审核</w:t>
            </w:r>
            <w:r>
              <w:rPr>
                <w:rFonts w:hint="eastAsia" w:ascii="宋体" w:hAnsi="宋体" w:eastAsia="宋体" w:cs="宋体"/>
                <w:color w:val="000000"/>
                <w:kern w:val="0"/>
                <w:sz w:val="24"/>
                <w:szCs w:val="24"/>
                <w:lang w:val="en-US" w:eastAsia="zh-CN" w:bidi="ar"/>
              </w:rPr>
              <w:t>价的</w:t>
            </w:r>
            <w:r>
              <w:rPr>
                <w:rFonts w:hint="default" w:ascii="宋体" w:hAnsi="宋体" w:eastAsia="宋体" w:cs="宋体"/>
                <w:color w:val="000000"/>
                <w:kern w:val="0"/>
                <w:sz w:val="24"/>
                <w:szCs w:val="24"/>
                <w:lang w:val="en-US" w:eastAsia="zh-CN" w:bidi="ar"/>
              </w:rPr>
              <w:t>97%</w:t>
            </w:r>
            <w:r>
              <w:rPr>
                <w:rFonts w:hint="eastAsia" w:ascii="宋体" w:hAnsi="宋体" w:eastAsia="宋体" w:cs="宋体"/>
                <w:color w:val="000000"/>
                <w:kern w:val="0"/>
                <w:sz w:val="24"/>
                <w:szCs w:val="24"/>
                <w:lang w:val="en-US" w:eastAsia="zh-CN" w:bidi="ar"/>
              </w:rPr>
              <w:t>，余款</w:t>
            </w:r>
            <w:r>
              <w:rPr>
                <w:rFonts w:hint="default" w:ascii="宋体" w:hAnsi="宋体" w:eastAsia="宋体" w:cs="宋体"/>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作为质保金（如成交人选择以支票、汇票、本票、保险、保函、银行转账等非现金形式缴纳质保金的，采购人付至审核价款的</w:t>
            </w:r>
            <w:r>
              <w:rPr>
                <w:rFonts w:hint="default" w:ascii="宋体" w:hAnsi="宋体" w:eastAsia="宋体" w:cs="宋体"/>
                <w:color w:val="000000"/>
                <w:kern w:val="0"/>
                <w:sz w:val="24"/>
                <w:szCs w:val="24"/>
                <w:lang w:val="en-US" w:eastAsia="zh-CN" w:bidi="ar"/>
              </w:rPr>
              <w:t>100%</w:t>
            </w:r>
            <w:r>
              <w:rPr>
                <w:rFonts w:hint="eastAsia" w:ascii="宋体" w:hAnsi="宋体" w:eastAsia="宋体" w:cs="宋体"/>
                <w:color w:val="000000"/>
                <w:kern w:val="0"/>
                <w:sz w:val="24"/>
                <w:szCs w:val="24"/>
                <w:lang w:val="en-US" w:eastAsia="zh-CN" w:bidi="ar"/>
              </w:rPr>
              <w:t xml:space="preserve">）；缺陷责任期满后付清工程余款。采用现金方式缴纳质量保证金的，退还保证金本金和银行同期存款利息。 </w:t>
            </w:r>
          </w:p>
        </w:tc>
      </w:tr>
      <w:tr w14:paraId="33AD5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326987E1">
            <w:pPr>
              <w:spacing w:line="360" w:lineRule="auto"/>
              <w:jc w:val="center"/>
              <w:rPr>
                <w:rFonts w:hint="default" w:cs="@仿宋_GB2312" w:asciiTheme="minorEastAsia" w:hAnsiTheme="minorEastAsia" w:eastAsiaTheme="minorEastAsia"/>
                <w:color w:val="auto"/>
                <w:kern w:val="2"/>
                <w:sz w:val="24"/>
                <w:szCs w:val="22"/>
                <w:highlight w:val="none"/>
                <w:lang w:val="en-US" w:eastAsia="zh-CN"/>
              </w:rPr>
            </w:pPr>
            <w:r>
              <w:rPr>
                <w:rFonts w:hint="eastAsia" w:cs="@仿宋_GB2312" w:asciiTheme="minorEastAsia" w:hAnsiTheme="minorEastAsia" w:eastAsiaTheme="minorEastAsia"/>
                <w:color w:val="auto"/>
                <w:kern w:val="2"/>
                <w:sz w:val="24"/>
                <w:szCs w:val="22"/>
                <w:highlight w:val="none"/>
                <w:lang w:val="en-US" w:eastAsia="zh-CN"/>
              </w:rPr>
              <w:t>12</w:t>
            </w:r>
          </w:p>
        </w:tc>
        <w:tc>
          <w:tcPr>
            <w:tcW w:w="749" w:type="pct"/>
            <w:shd w:val="clear" w:color="auto" w:fill="auto"/>
            <w:vAlign w:val="center"/>
          </w:tcPr>
          <w:p w14:paraId="5D1EFE7F">
            <w:pPr>
              <w:keepNext w:val="0"/>
              <w:keepLines w:val="0"/>
              <w:widowControl/>
              <w:suppressLineNumbers w:val="0"/>
              <w:jc w:val="left"/>
              <w:rPr>
                <w:rFonts w:hint="eastAsia" w:cs="@仿宋_GB2312" w:asciiTheme="minorEastAsia" w:hAnsiTheme="minorEastAsia" w:eastAsiaTheme="minorEastAsia"/>
                <w:color w:val="auto"/>
                <w:kern w:val="2"/>
                <w:sz w:val="24"/>
                <w:szCs w:val="22"/>
                <w:highlight w:val="none"/>
                <w:lang w:val="en-US" w:eastAsia="zh-CN"/>
              </w:rPr>
            </w:pPr>
            <w:r>
              <w:rPr>
                <w:rFonts w:hint="eastAsia" w:cs="@仿宋_GB2312" w:asciiTheme="minorEastAsia" w:hAnsiTheme="minorEastAsia" w:eastAsiaTheme="minorEastAsia"/>
                <w:color w:val="auto"/>
                <w:kern w:val="2"/>
                <w:sz w:val="24"/>
                <w:szCs w:val="22"/>
                <w:highlight w:val="none"/>
                <w:lang w:val="en-US" w:eastAsia="zh-CN"/>
              </w:rPr>
              <w:t>技术标准和要求</w:t>
            </w:r>
          </w:p>
          <w:p w14:paraId="6142CF30">
            <w:pPr>
              <w:keepNext w:val="0"/>
              <w:keepLines w:val="0"/>
              <w:widowControl/>
              <w:suppressLineNumbers w:val="0"/>
              <w:jc w:val="left"/>
              <w:rPr>
                <w:rFonts w:hint="default" w:cs="@仿宋_GB2312" w:asciiTheme="minorEastAsia" w:hAnsiTheme="minorEastAsia" w:eastAsiaTheme="minorEastAsia"/>
                <w:color w:val="auto"/>
                <w:kern w:val="2"/>
                <w:sz w:val="24"/>
                <w:szCs w:val="22"/>
                <w:highlight w:val="none"/>
                <w:lang w:val="en-US" w:eastAsia="zh-CN" w:bidi="ar-SA"/>
              </w:rPr>
            </w:pPr>
          </w:p>
        </w:tc>
        <w:tc>
          <w:tcPr>
            <w:tcW w:w="3688" w:type="pct"/>
            <w:vAlign w:val="center"/>
          </w:tcPr>
          <w:p w14:paraId="795BECF8">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 一般要求</w:t>
            </w:r>
          </w:p>
          <w:p w14:paraId="7D9DBF42">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 特殊技术标准和要求</w:t>
            </w:r>
          </w:p>
          <w:p w14:paraId="08784538">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2.1项目概况</w:t>
            </w:r>
          </w:p>
          <w:p w14:paraId="65DB8303">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2.1.1建设规模</w:t>
            </w:r>
          </w:p>
          <w:p w14:paraId="0EE186E1">
            <w:pPr>
              <w:keepNext w:val="0"/>
              <w:keepLines w:val="0"/>
              <w:widowControl/>
              <w:suppressLineNumbers w:val="0"/>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本次实施项目为顺河路（融城大道-战训中心门口）、经二路（顺河路-人民路）、胜利路（融城大道-中心沟桥）段，全线雨污水管网长约3500m。主次干道污水管网及附属检查井、过路连接支管进行清淤疏通、排查检测；</w:t>
            </w:r>
          </w:p>
          <w:p w14:paraId="3B30AAD8">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2.1.2招标内容</w:t>
            </w:r>
          </w:p>
          <w:p w14:paraId="43AEF7A3">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对上述范围内主次干道污水管网（含检查井）进行管道清淤疏通（清淤疏通完成后，除树根外不得有其他功能性缺陷）、排查检测评估工作，检测评估功能性和结构性缺陷、过流能力，重点评估河水、地下水、雨水、初期雨水等外水入侵情况；</w:t>
            </w:r>
          </w:p>
          <w:p w14:paraId="72D531B3">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（2）污水收集输送系统是否健全，是否存在污水管网空白区，排查是否存在错接、混接点；</w:t>
            </w:r>
          </w:p>
          <w:p w14:paraId="4A2C638D">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（3）提供CCTV影像资料，分路段提供质量缺陷及混接点分布图、检测评估报告、混接点报告、检查井评估报告；</w:t>
            </w:r>
          </w:p>
          <w:p w14:paraId="77225222">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（4）按2000国家大地坐标系、1985国家高程基准提供1:500地形图及排查底图影像图，成果文件具备导入城市地下管网地理信息系统条件。</w:t>
            </w:r>
          </w:p>
          <w:p w14:paraId="73013977">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5）道路红线5-10米范围内污水支管及过路污水管道纳入本次范围内，相关费用已包含在主干管清淤疏通、排查检测费用中，工程量不单独计量，价款不单独计价。带状地形图需包含：地面建筑物、地下污水管网分布，涉及混接点部分还需标注相邻雨水管道平面位置、竖向高程；以满足后期施工图编制需要。</w:t>
            </w:r>
          </w:p>
          <w:p w14:paraId="73015C92">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（6）管网排查需明确管线及检查井编号、坐标、属性、管径、埋深、长度、管材、管底高程、流向等信息；</w:t>
            </w:r>
          </w:p>
          <w:p w14:paraId="19AE7C8D">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（7）对接驳市政污水管网排水户的名称、接驳管网属性及水流状况进行标识。</w:t>
            </w:r>
          </w:p>
          <w:p w14:paraId="24714013">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（8）服务期限至施工图完成</w:t>
            </w:r>
          </w:p>
          <w:p w14:paraId="1E0F0E00">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2.1.3不同管径的管道长度估算如下表。</w:t>
            </w:r>
          </w:p>
          <w:p w14:paraId="0E676552">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项目主要内容为顺河路（融城大道-战训中心门口）、经二路（顺河路-人民路）、胜利路（融城大道-中心沟桥）段，全线雨污水管网长约3500m排水管网开展排查检测等工作，为勘察设计提供依据，提升排水管网污水收集输送效能。</w:t>
            </w:r>
          </w:p>
          <w:p w14:paraId="2CA2C2AF">
            <w:pPr>
              <w:keepNext w:val="0"/>
              <w:keepLines w:val="0"/>
              <w:widowControl/>
              <w:suppressLineNumbers w:val="0"/>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因排查检测前，无法精确计量各道路工程量，磋商文件中提供的工程量可能存在偏差，依据投标报价和各道路实际工程量进行结算。（不论编排顺序如何，本项目招标文件中关于价款结算的条款或约定与本条不一致的，均已本条约定为准。）</w:t>
            </w:r>
          </w:p>
          <w:p w14:paraId="589267D3">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2.1.4管道清淤疏通、排查检测内容</w:t>
            </w:r>
          </w:p>
          <w:p w14:paraId="5F54DE5C">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对本次招标范围内的市政道路、支路等污水管网进行管道清淤疏通、排查检测工作（清淤疏通完成后，除树根外不得有其他功能性缺陷）、排查检测评估工作，检测评估功能性和结构性缺陷、过流能力，重点评估河水、地下水、雨水、初期雨水等外水入侵情况（缺陷类型要按照《城镇排水管道检测与评估技术规程》（CJJ181-2012）规范描述，提交的检测与评估报告满足规程要求）；对排水管网现状进行梳理排查及勘探测绘，全面梳理现有地下污水管道、检查井，发现错混接源头连接其他区域，要溯源排查，找到最终混接点；</w:t>
            </w:r>
          </w:p>
          <w:p w14:paraId="063B2E21">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市政污水管道清淤、排查需分段检测、封堵、清淤、冲洗，污泥处置符合环保要求以及提供CCTV影像资料或QV影像资料，检测成果按照要求入库。分路段提供质量缺陷及混接点分布图、检测评估报告、混接点报告、检查井评估报告；</w:t>
            </w:r>
          </w:p>
          <w:p w14:paraId="3FA3C0C9">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（3）排查污水收集输送系统是否健全，是否存在污水管网空白区，排查是否存在错接、混接点；排查结果应能客观、真实地反映城区范围内雨污错混接及污水管道的现状。</w:t>
            </w:r>
          </w:p>
          <w:p w14:paraId="7ADC4C24">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（4）对管道运行过程中存在的结构性、功能性缺陷进行排查检测。</w:t>
            </w:r>
          </w:p>
          <w:p w14:paraId="52641912">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5）本次排查工作应做到不留死角，跨区追溯混接点，谁排查谁负责，谁排查谁追源头，排查主要采用人工开井检查、仪器检查及水质水量检测等方式，全面、系统地对雨污混接及管道状况进行梳理和统计，相关成果录入排水管网信息系统，实行动态管理。</w:t>
            </w:r>
          </w:p>
          <w:p w14:paraId="6211136F">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（6）按2000国家大地坐标系、1985国家高程基准提供1:500地形图及排查底图，具备导入城市地下管网地理信息系统条件；绘制排查区域内污水系统（含管网、污水提升泵站、污水处理厂、初期雨水泵站等） “一张图”。</w:t>
            </w:r>
          </w:p>
          <w:p w14:paraId="43BC6B78">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7）道路红线5-10米范围内污水支管及过路污水管道纳入本次范围内，相关费用已包含在主干管清淤疏通、排查检测费用中，工程量不单独计量，价款不单独计价。带状地形图需包含：地面建筑物、地下污水管网分布，涉及混接点部分还需标注相邻雨水管道平面位置、竖向高程；以满足后期编制施工图需要。</w:t>
            </w:r>
          </w:p>
          <w:p w14:paraId="610F2680">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（8）管网排查需明确管线及检查井编号、坐标、属性、管径、埋深、长度、管材、高程、流向等信息；（9）对接驳市政污水管网排水户的名称、接驳管网属性及水流状况进行标识。</w:t>
            </w:r>
          </w:p>
          <w:p w14:paraId="24DE2302">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（10）截流式合流制区域、分流制区域部分住宅小区（企事业单位）建设的截流设施的位置、类型（槽式、堰式、槽堰结合）、溢流水位、溢流污水去向、上下游管径、水质、水量等要素。</w:t>
            </w:r>
          </w:p>
          <w:p w14:paraId="7C898EAB">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（11）沿河初期雨水截流系统初期雨水泵站位置、出水管道、与市政污水系统接驳检查井、上下游管径、水质、水量等要素。</w:t>
            </w:r>
          </w:p>
          <w:p w14:paraId="4BA94025">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2.2服务内容</w:t>
            </w:r>
          </w:p>
          <w:p w14:paraId="63DBD1F4">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2.2.1管道清淤疏通、排查检测要求</w:t>
            </w:r>
          </w:p>
          <w:p w14:paraId="641C3B6C">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（1）污水管线探测：查明污水管网的连接关系，实地排查污水管道（不包含箱涵）的管线及检查井编号、坐标、属性、管径、埋深、长度、管材、高程、流向等信息；形成排水管线基础属性资料。</w:t>
            </w:r>
          </w:p>
          <w:p w14:paraId="7CAD5E8F">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污水管线测绘：按2000国家大地坐标系、1985国家高程基准提供1:500地形图及排查底图（影像图），成果文件具备导入城市地下管网地理信息系统条件，建立排水单元排水管网数据库，绘制污水管网图，实现信息化管理。</w:t>
            </w:r>
          </w:p>
          <w:p w14:paraId="46B49284">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（3）污水管线错接、混接排查：排查本次招标范围内管道错混接状况，查明错混接点（源）的准确位置信息，成果以汇总表、管线图、数据库的形式体现，为后续整改设计工作提供资料。</w:t>
            </w:r>
          </w:p>
          <w:p w14:paraId="1C9130B8">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（4）污水管道及检查井：查明现状污水管道的结构性和功能性缺陷，检查井缺陷，编制检测评估报告，为污水管道及检查井修复、整治提供依据。</w:t>
            </w:r>
          </w:p>
          <w:p w14:paraId="03C787B8">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（5）排水管网数据建库：</w:t>
            </w:r>
          </w:p>
          <w:p w14:paraId="26079DEE">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根据有关要求，建立排水管线数据库，各标段片区数据电子成果格式要一致，同时具备导入已建的阜阳市地理信息系统内的条件，形成排水管网一张图。</w:t>
            </w:r>
          </w:p>
          <w:p w14:paraId="1553C4C2">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（6）清理出的管网淤泥应由中标实施单位自行进行清运处置，并满足环保部门要求，处理费用已包含在投标报价中，招标人不再支付该项费用。</w:t>
            </w:r>
          </w:p>
          <w:p w14:paraId="06A6FB0E">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（7）排查过程及结果应满足《城镇排水管道检测与修复技术规程》 DB34/T3587-2020、《城镇排水管道检测与评估技术规程》CJJ181-2012、《城镇排水管道混接排查及治理技术规程》T/CECS758-2020、《城市排水防涝设施普查数据采集与管理技术导则（试行）（住建部）》。</w:t>
            </w:r>
          </w:p>
          <w:p w14:paraId="65F72982">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2.2.2混接排查、CCTV检测内容</w:t>
            </w:r>
          </w:p>
          <w:p w14:paraId="3F4C4479">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（1）排水设施管网测绘及数据建库：</w:t>
            </w:r>
          </w:p>
          <w:p w14:paraId="1F29A84D">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包括管网测绘、地形图测绘。投标人自行进行现场勘查，根据现场勘查的污水管网实际长度综合考虑报价。</w:t>
            </w:r>
          </w:p>
          <w:p w14:paraId="55D85736">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管网测绘：包括污水干支管、检查井及外接污水管道；有外接检查井时，外接污水管道测绘自中心检查井至外接检查井；无外接检查井时，外接管测绘自中心检查井至路幅范围外1米；需排查汇总管线及检查井编号、坐标、属性、管径、埋深、长度、管材、高程、流向等信息具体参照住建部《城市排水防涝设施普查数据采集与管理技术导则(试行)》等相关要求）、混接情况、其他管线穿越情况等，需将成果入库；对接驳市政污水管网排水户的名称、接驳管网属性及水流状况进行标识。</w:t>
            </w:r>
          </w:p>
          <w:p w14:paraId="54605ABD">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（2）排水管网数据建库及入库接边：</w:t>
            </w:r>
          </w:p>
          <w:p w14:paraId="1880BE31">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按照阜阳市地理信息系统建设要求，建立污水管线数据库，并安排具体作业人员，做好数据入库接边工作，数据成果及时导入阜阳市地下管网信息系统，并形成排水管网一张图。中标人按照招标人规定要求进行新老管网数据接边处理、图层显示、数据（管网shp格式或者MDB格式、缺陷图片JPG格式、影像AVI格式等）入库等工作，上述工作发生费用纳入投标报价中。具体要求如下：做好新老数据接边处理工作。</w:t>
            </w:r>
          </w:p>
          <w:p w14:paraId="6ABF995F">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1）接边处理。检测管段新老数据接边处理由中标人自行负责；管网 GIS普查数据存储新增同一图层中，确保数据属性关系和拓扑关系准确。</w:t>
            </w:r>
          </w:p>
          <w:p w14:paraId="121947EF">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图层显示。在新图层中可以单独显示本次普查GIS数据；与已有普查数据接边处理后，同时显示本次普查范围数据和本次普查范围外数据，确保新老数据之间拓扑关系准确；能够单独显示本次普查数据以外的已有普查数据。</w:t>
            </w:r>
          </w:p>
          <w:p w14:paraId="2BFFB964">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（3）地形图测绘：</w:t>
            </w:r>
          </w:p>
          <w:p w14:paraId="49879889">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测量范围除满足本次项目实施需要外，还须满足规划、设计、施工需要。</w:t>
            </w:r>
          </w:p>
          <w:p w14:paraId="674BC3BB">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采集要求：必须反映测绘范围内现有道路、居民地、水系、高程、管线标示等基本图素和标注，地形图测绘成果需满足《1:500、1:1000、1:2000地形图图式》（GB/T20257 .1-2017）等文件的要求。</w:t>
            </w:r>
          </w:p>
          <w:p w14:paraId="01F2683F">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（4）其他要求：</w:t>
            </w:r>
          </w:p>
          <w:p w14:paraId="1735D21A">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1）要求提供电子地图矢量图；</w:t>
            </w:r>
          </w:p>
          <w:p w14:paraId="716E9AF3">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2）提供的电子地图具有分层说明和图示说明；</w:t>
            </w:r>
          </w:p>
          <w:p w14:paraId="3B735FAE">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3）提供的电子地图中所使用的文字须为汉字。</w:t>
            </w:r>
          </w:p>
          <w:p w14:paraId="6A9957D7">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本次排查检测数据应满足招标人实际使用需求，保证原有数据的完整性、安全性和唯一性。</w:t>
            </w:r>
          </w:p>
          <w:p w14:paraId="3E65ED2E">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2.2.3污水管线排查成果整理：</w:t>
            </w:r>
          </w:p>
          <w:p w14:paraId="0F2A1615">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包含雨污混接排查、管网缺陷排查、数据建库等，排查成果数据按照主管部门相关要求整理，提交成果符合阜阳市排水管线建设工作的要求。2.2.4其他要求</w:t>
            </w:r>
          </w:p>
          <w:p w14:paraId="2A72B28E">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管网雨污混接排查路段交通导行（包括警示牌、警示灯、反光锥等警示设施围护和人员及车辆疏导）。</w:t>
            </w:r>
          </w:p>
          <w:p w14:paraId="1FA79D10">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2.3雨污混接排查及视频检测要求</w:t>
            </w:r>
          </w:p>
          <w:p w14:paraId="4B73036D">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2.3.1现场踏勘及要求</w:t>
            </w:r>
          </w:p>
          <w:p w14:paraId="4468AE28">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查明实施现场的实际情况，特别是对现场混接排查时存在影响排查施工的因素，主要内容包括：</w:t>
            </w:r>
          </w:p>
          <w:p w14:paraId="19693DEC">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（1）查看排查区域的地物、地貌、交通和排水管道分布情况；</w:t>
            </w:r>
          </w:p>
          <w:p w14:paraId="7E2154F6">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（2）查看排水管道的水位、淤积、水流等情况；</w:t>
            </w:r>
          </w:p>
          <w:p w14:paraId="0A109C75">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（3）核对已有管线资料的走向、规格和管道属性等要素；</w:t>
            </w:r>
          </w:p>
          <w:p w14:paraId="735766AA">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2.3.2仪器检测及要求</w:t>
            </w:r>
          </w:p>
          <w:p w14:paraId="1928CE1F">
            <w:pPr>
              <w:pStyle w:val="51"/>
              <w:keepNext w:val="0"/>
              <w:keepLines w:val="0"/>
              <w:widowControl/>
              <w:suppressLineNumbers w:val="0"/>
              <w:spacing w:line="240" w:lineRule="auto"/>
              <w:ind w:left="0" w:firstLine="0"/>
              <w:jc w:val="left"/>
              <w:textAlignment w:val="center"/>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所有管道均采用CCTV检测，如因客观原因，无法采用CCTV检测的污水管道，经监理单位与招标人同意后，可以采用QV检测；管道无法渡水、降排水时，经招标人与监理单位同意后，可采用声呐检测.</w:t>
            </w:r>
          </w:p>
          <w:p w14:paraId="78B1D5E8">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CCTV检测：检测范围包括污水管道及检查井、阀门井等附属设施；检测内容包括市政污水管道清淤、排查需分段检测、封堵、清淤、冲洗，污泥处置符合环保要求以及提供CCTV影像资料或QV影像资料，检测成果按照要求入库；</w:t>
            </w:r>
          </w:p>
          <w:p w14:paraId="73108D58">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（2）QV检测：检测范围包括检查井及污水干支管道；检测内容包括清洗、潜望镜检测、出具检测报告（含影像资料）；</w:t>
            </w:r>
          </w:p>
          <w:p w14:paraId="30F184A9">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（3）声呐检测：检测范围包括排水干支管道等设施；检测内容包括潜水、声呐检测、出具检测报告（含影像资料）；</w:t>
            </w:r>
          </w:p>
          <w:p w14:paraId="44A7F699">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清淤疏通：清淤范围包括污水干、支管道及检查井清淤项目；清淤内容包括临时封堵、潜水、渡水降排水、通风、清淤、淤泥外运、安全围护等；投标供应商投标时应综合考虑，结算时不予调整；淤泥外运需满足环保要求</w:t>
            </w:r>
          </w:p>
          <w:p w14:paraId="3B7C299C">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（5）CCTV、QV检测要求：</w:t>
            </w:r>
          </w:p>
          <w:p w14:paraId="326C82BA">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外观质量检测（含管道内部视频资料）：对检查井、阀门井等附属设施顶板、内壁、底板及管道管壁、接口、井室、井筒等部位进行外观检查，对各部位的外观质量进行评价；按提供图纸在井室内标注所查管段井号，内部视频资料必须清晰、连续、完整，能准确反映管道内部情况，竣工报告图片必须清晰、多角度地反映病害情况，并把标注的井号拍摄在视频内；按要求填写检查井(雨水口)排查表，并将其作为成果资料之一上交。</w:t>
            </w:r>
          </w:p>
          <w:p w14:paraId="5DC3B69C">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破裂检测：管道及配套的检查井、阀门井等附属设施结构。对有裂缝的部位，检测裂缝的宽度、深度、长度及其分布情况；</w:t>
            </w:r>
          </w:p>
          <w:p w14:paraId="4881945E">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变形检测：管道及配套的检查井、阀门井等附属设施结构。对各部位受外力挤压造成的形状变异进行评价；</w:t>
            </w:r>
          </w:p>
          <w:p w14:paraId="568CBDDA">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腐蚀检测：对管壁腐蚀情况进行测定，对砼结构的侵蚀程度进行评价；</w:t>
            </w:r>
          </w:p>
          <w:p w14:paraId="73D4955B">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错口检测：对管道接口的错位进行检测，错口影响污水的程度进行评价；</w:t>
            </w:r>
          </w:p>
          <w:p w14:paraId="15A65FB7">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起伏检测：对管道接口位置偏移，管道位置竖向位置变化进行测定，并对位置变化造成的影响进行评价；</w:t>
            </w:r>
          </w:p>
          <w:p w14:paraId="731B3012">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脱节检测：对两根管道的端部未充分接合或接口脱离进行测定，并对脱节造成的影响进行评价；</w:t>
            </w:r>
          </w:p>
          <w:p w14:paraId="6F85CF91">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接口材料脱落检测：对管道接口位置橡胶圈、沥青或混凝土脱落进行检测，并对接口可能造成的空洞、漏水等现象进行评价；</w:t>
            </w:r>
          </w:p>
          <w:p w14:paraId="11964152">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支管暗接检测：对支管未通过检查井直接侧向接入管道进行检测；</w:t>
            </w:r>
          </w:p>
          <w:p w14:paraId="1F5B1C86">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异物穿入检测：非污水系统附属设施的物体穿透管壁进入管道进行检测，并对可能造成的影响进行评价；</w:t>
            </w:r>
          </w:p>
          <w:p w14:paraId="4A181215">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渗漏检测：对管道外水流入管道情况进行检测；</w:t>
            </w:r>
          </w:p>
          <w:p w14:paraId="311975CD">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功能性缺陷检测：对管道及检查井内沉积、结垢、障碍物、残墙坝根、树根、浮渣等情况进行检测。</w:t>
            </w:r>
          </w:p>
          <w:p w14:paraId="04A979D9">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截流设施的位置、类型（槽式、堰式、槽堰结合）、上下游管径、水质、水量、溢流水位、溢流污水去向等要素。按要求填写污水(管道)</w:t>
            </w:r>
          </w:p>
          <w:p w14:paraId="771B74A3">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截流设施排查表，并将其作为成果资料之一上交。</w:t>
            </w:r>
          </w:p>
          <w:p w14:paraId="4ECC800C">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沿河初期雨水截流系统初期雨水泵站位置、出水管道、与市政污水系统接驳检查井、上下游管径、水质、水量等要素。按要求填写初期雨水系统接入排查表，并将其作为成果资料之一上交。</w:t>
            </w:r>
          </w:p>
          <w:p w14:paraId="717C6E47">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（7）管网雨污水混接排查；按要求填写（混接点排查表）、 (混接点统计表），并将其作为成果资料之一上交。</w:t>
            </w:r>
          </w:p>
          <w:p w14:paraId="53545E17">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（8）管网雨污混接排查路段交通导行（包括警示牌、警示灯、反光锥等警示设施围护和人员及车辆疏导）。</w:t>
            </w:r>
          </w:p>
          <w:p w14:paraId="177C1AB9">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本次管网检测的管道缺陷图片及检测视频按照规定命名规则编辑，并将图片及视频按规定路径、格式和次序存储于FTP文件夹及对应的入库表格中。同时在数据库中按规定增加路径指向字段，保证待开发的应用程序可通过唯一性索引找到FTP中的图片及视频，且保证数据的唯一性与完整性。</w:t>
            </w:r>
          </w:p>
          <w:p w14:paraId="0A1E0B1D">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缺陷照片命名规则满足招标人实际需求；</w:t>
            </w:r>
          </w:p>
          <w:p w14:paraId="0BE08F95">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视频命名规则满足招标人实际需求，若出现井号间因堵塞、面积受限等原因导致检测视频不完整的情况，则需拍摄起始点、结束点两段视频，汇聚点为阻塞处，并将两段视频合并为一个AVI格式文件。</w:t>
            </w:r>
          </w:p>
          <w:p w14:paraId="0EE2A177">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2.3.3排水管网一张图编制</w:t>
            </w:r>
          </w:p>
          <w:p w14:paraId="203EF8A4">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结合管网测绘、混接点排查、视频检测等数据成果进行绘制，图面能够反映管网（管径、走向、高程等）、污水提升泵站、污水处理厂、</w:t>
            </w:r>
          </w:p>
          <w:p w14:paraId="3F42DF93">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混接点信息、河道排口及截流设施（位置、类型、溢流水位、溢流污水去向等）、初期雨水（初期雨水泵站位置、出水管径、走向、高程、接驳点）等信息，能够相关直观反映城市排水管网分布情况。</w:t>
            </w:r>
          </w:p>
          <w:p w14:paraId="2561C37E">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2.4安全文明要求</w:t>
            </w:r>
          </w:p>
          <w:p w14:paraId="7345CCE8">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本项目排查管道断面大小不一，投标供应商应预先勘查现场，编制可行的专项安全方案及应急预案。</w:t>
            </w:r>
          </w:p>
          <w:p w14:paraId="0221468B">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2.4.1中标人在每条道路施工前，需提前进行现场考察，根据现场实际情况编制技术方案（检测方法、地下封堵及导流措施、管道清洗方法、进度安排、地上交通导行等）和安全方案（安全总体要求、现场安全因素分析、项目安全措施方案及应急预案）并上报监理单位，经监理审核后方可实施。</w:t>
            </w:r>
          </w:p>
          <w:p w14:paraId="6310DE52">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2.4.2中标人必须实行井下安全作业审批制度，履行批准手续。作业班（组）在下井前应做好管道的降水、通风、气体检测、照明以及现场围挡等工作，并制订防护措施填入上述作业申请表。由作业班（组）长填写“下井安全作业申请表”，经项目负责人批准后，方可下井。</w:t>
            </w:r>
          </w:p>
          <w:p w14:paraId="72F61068">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2.4.3下井人员应经过安全技术培训，学会人工急救和防护用具、照明及通讯设备的使用方法。操作人员下井作业时，井上应有两人监护。若进入管涵施工，还应在管涵内增加监护人员做中间联络。监护人员不得擅离职守。井上、井下人员之间的联系宜采用有线或无线通讯设备，以代替喊话或手势。作业现场照明应使用便携式防爆灯，照明设备应符</w:t>
            </w:r>
          </w:p>
          <w:p w14:paraId="2210D2A9">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合现行国家标准《爆炸性气体环境用电气设备第14部分：危险场所分类》 GB3836 .14的相关规定（CJJ6-2009）。</w:t>
            </w:r>
          </w:p>
          <w:p w14:paraId="0A2BB534">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2.4.4下井前必须提前开启工作井井盖及其上下游井盖进行自然通气和机械风，并用竹（木）棒搅动泥水，以散发其中有害气体。经过通风后，若检测结果证明井下气体中仍然缺氧或所含有毒气体浓度超过容许值，应继续进行自然增加机械通风的通风量，使含氧量达到规定值，并使有害气体浓度降至容许值以下，方可进行井下作业。若易爆气体浓度在爆炸范围内，在井下作业期间必须采用机械通风，使管道中易爆气体浓度降至爆炸下限以下。采用机械通风时，一般可按管道内平均风速0.8m/s计算通风机的风量。</w:t>
            </w:r>
          </w:p>
          <w:p w14:paraId="0C26431D">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2.4.5检查井井盖或检查孔开启后，必须进行密闭式围挡，工作人员必须穿黄色反光马甲，工作区域设置警示标志，夜间应设警示红灯。在繁华地区作业时，应指派专人维护现场秩序。</w:t>
            </w:r>
          </w:p>
          <w:p w14:paraId="52211AE8">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2.4.6作业人员上、下井应使用安全可靠的专用爬梯，监护人员应密切观察作业人员情况，随时检查空压机、供气管、通信设施、安全绳等下井设备的安全运行情况，发现问题及时采取措施；从事维护作业时，必须戴安全帽和手套，穿防护服和防护鞋。</w:t>
            </w:r>
          </w:p>
          <w:p w14:paraId="5EB74992">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2.4.7现场每个作业面必须配备所需的通风及毒气检测仪等设备，保证所有设备安全运转、所有仪器必须在标定有效期内。</w:t>
            </w:r>
          </w:p>
          <w:p w14:paraId="518167AA">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2.4.8施工范围内严禁明火，任何人不得在井口附近吸烟；潜水人员作业前严格检查仪器/表、设备工具和安全设施是否处于完好状态，检查下井、潜水人员的防护装备是否齐全可靠，下井作业人员必须佩戴安全保险绳及保险带并带气作业。</w:t>
            </w:r>
          </w:p>
          <w:p w14:paraId="0F08A8BD">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2.4.9其他未尽事宜，参照《GBZ/T205-2007密闭空间作业职业危害防护规范》及《城镇排水管渠与泵站运行、维护及安全技术规程》（ CJJ68-2016）规程执行。</w:t>
            </w:r>
          </w:p>
          <w:p w14:paraId="20B34E1D">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2.5检测成果质量要求</w:t>
            </w:r>
          </w:p>
          <w:p w14:paraId="4BEBF2E3">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（1）检测质量要求：中标人提供的排查成果质量不满足要求，将无偿给予重新排查或采取补救措施，以达到质量要求。</w:t>
            </w:r>
          </w:p>
          <w:p w14:paraId="44F0413F">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（2）对于排查成果出现的质量问题、监理或招标人提出的其他技术要求，中标人负责按时进行无偿修改并接受上述要求的处理。</w:t>
            </w:r>
          </w:p>
          <w:p w14:paraId="124F834F">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检测报告、测绘成果、病害整理等资料不符合招标人要求时，中标人负责按时进行修改。排查工期需满足招标人的要求，完成路段排查2日内提交纸质版2份（彩色打印）及电子版1份（光盘存储）排查成果给监理单位审核归档。</w:t>
            </w:r>
          </w:p>
          <w:p w14:paraId="283C0415">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2.6最终成果要求</w:t>
            </w:r>
          </w:p>
          <w:p w14:paraId="30F7EE04">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中标人应提供以下主要文件（包括但不限于）：</w:t>
            </w:r>
          </w:p>
          <w:p w14:paraId="4F87A918">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2.6.1所有检测视频要求做到：从地面参照物，到标注的井号，至井室内部（QV检测）、管道内部（CCTV检测）的视频需要完整，视频完整、清晰、不间断，爬行速度不超过0 .15m/s，每座检查井一个视频，每个井段一个视频，所有管道接口需要自12点钟方向顺时针方向开始做360度环形检测。</w:t>
            </w:r>
          </w:p>
          <w:p w14:paraId="4EA15AAB">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成果报告需附排查范围内的污水管道及相应检查井、阀门井的测绘图，要求包含的信息有（包括但不限于）：</w:t>
            </w:r>
          </w:p>
          <w:p w14:paraId="6FC4B26B">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（1）检查井、阀门井编号、坐标、位置及高程等（与检测图像对应）。编写检查井井室评估报告。</w:t>
            </w:r>
          </w:p>
          <w:p w14:paraId="38CDB57E">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（2）污水管道及检查井周边地形、参照物等。编写管道评估报告。</w:t>
            </w:r>
          </w:p>
          <w:p w14:paraId="75F774FD">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（3）污水管道位置、长度、管径、管材、高程等。</w:t>
            </w:r>
          </w:p>
          <w:p w14:paraId="0C27A114">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（4）雨污混接点的系统范围、泵站位置、街道线、道路名称、主干管、管径、流向、交叉点、变径点、主要混接点。编写雨污混接排查报告。</w:t>
            </w:r>
          </w:p>
          <w:p w14:paraId="18B55843">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5）最终成果报告。对以上排水管道检测、测绘资料分别进行全面系统的整理，客观科学地评价现状排水管道的安全性，给出检测结论。成果以书面检测报告4份（彩色打印）、电子版本2份（光盘存储1份、移动硬盘存储1份）提供，其中Ⅱ级及以上病害、检查井病害、雨污水混接排查、其他管线穿越排水管道单独成册；并附检测成果及相关视频、图件、照片、管道清单统计、病害统计、测量成果；报告中应提供检测试验方法，检测试验记录、结构安全计算所需的参数，并结合具体工程特点提出治理加固建议等。</w:t>
            </w:r>
          </w:p>
          <w:p w14:paraId="712CAD6F">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2.6.2提供1:500数字化地形图电子版一份，地下管线探测成果电子版一份；</w:t>
            </w:r>
          </w:p>
          <w:p w14:paraId="5DC11942">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2.6.3成果按照要求入库，电子版设计文件应为doc和dwg格式。</w:t>
            </w:r>
          </w:p>
          <w:p w14:paraId="0231C1CB">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 适用的国家、行业以及地方标准、规范和规程</w:t>
            </w:r>
          </w:p>
          <w:p w14:paraId="179F1900">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（1）清淤疏通、排查检测内容及要求技术标准：</w:t>
            </w:r>
          </w:p>
          <w:p w14:paraId="58BC461D">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1）《建设工程监理规范》GB/T50319—2013；</w:t>
            </w:r>
          </w:p>
          <w:p w14:paraId="60147D95">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2）《城市地下管线探测工程监理导则》RISN-TG011-2010；</w:t>
            </w:r>
          </w:p>
          <w:p w14:paraId="0F9B928D">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3.）《城镇排水与污水处理条例》国务院；</w:t>
            </w:r>
          </w:p>
          <w:p w14:paraId="0BD0E506">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4）《城市黑臭水体整治—排水口、管道及检查井治理技术指南（试行）》（建城函〔2016〕198号）；</w:t>
            </w:r>
          </w:p>
          <w:p w14:paraId="18D8DF54">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5）《测绘成果质量检查与验收》GB/T24356-2023；</w:t>
            </w:r>
          </w:p>
          <w:p w14:paraId="0ABD3DB3">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6）《室外排水设计规范》GB50014-2021；</w:t>
            </w:r>
          </w:p>
          <w:p w14:paraId="7ACEB00F">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7）《城乡排水工程项目规范》GB55027-2022；</w:t>
            </w:r>
          </w:p>
          <w:p w14:paraId="708AA94E">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8.）《建筑给水排水设计规范》GB50015-2019；</w:t>
            </w:r>
          </w:p>
          <w:p w14:paraId="02798B74">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9）《给水排水管道工程施工及验收规范》GB50268-2008；</w:t>
            </w:r>
          </w:p>
          <w:p w14:paraId="224F679A">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10）《城镇排水管渠与泵站运行、维护及安全技术规程》CJJ68 -2016；</w:t>
            </w:r>
          </w:p>
          <w:p w14:paraId="0664B229">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11）《城镇排水管道检测与评估技术规程》CJJ181-2012；</w:t>
            </w:r>
          </w:p>
          <w:p w14:paraId="485D42F0">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12）《排水管道维护安全技术规程》CJJ6-2009；</w:t>
            </w:r>
          </w:p>
          <w:p w14:paraId="4CAABB83">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13）《污水排入城镇下水道水质标准》GB/T31962-2015；</w:t>
            </w:r>
          </w:p>
          <w:p w14:paraId="0BD3409A">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14）《城市污水水质标准检验方法》CJ/T51-2018；</w:t>
            </w:r>
          </w:p>
          <w:p w14:paraId="7D86703A">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15）《城镇排水管道混接排查及治理技术规程》T/CECS758-2020</w:t>
            </w:r>
          </w:p>
          <w:p w14:paraId="5FC3470E">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16）《城市地下管线探测技术规程》CJJ61-2017；</w:t>
            </w:r>
          </w:p>
          <w:p w14:paraId="25B7909F">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17）《城市测量规范》CJJ/T8-2011；</w:t>
            </w:r>
          </w:p>
          <w:p w14:paraId="000A32A8">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18）《城市地下管线探测技术导则》DBHJ/T016-2018；</w:t>
            </w:r>
          </w:p>
          <w:p w14:paraId="7DA6566C">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19）《1:500、1:1000、1:2000地形图图式》GB/T20257 .1-2017；</w:t>
            </w:r>
          </w:p>
          <w:p w14:paraId="5FB29D43">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20）《管线信息系统建设技术规范》CH/T1037-2015；</w:t>
            </w:r>
          </w:p>
          <w:p w14:paraId="791CDBE7">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21）《城市基础地理信息系统技术规范》CJJ/T100-2017；</w:t>
            </w:r>
          </w:p>
          <w:p w14:paraId="605744BB">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22）《城市地下管线数据技术导则》DBHJ/T016-2018；</w:t>
            </w:r>
          </w:p>
          <w:p w14:paraId="6859E3DC">
            <w:pPr>
              <w:pStyle w:val="51"/>
              <w:keepNext w:val="0"/>
              <w:keepLines w:val="0"/>
              <w:widowControl/>
              <w:suppressLineNumbers w:val="0"/>
              <w:spacing w:line="240" w:lineRule="auto"/>
              <w:ind w:left="0" w:firstLine="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23）《计算机软件需求规格说明规范》GB/T9385-2008；</w:t>
            </w:r>
          </w:p>
          <w:p w14:paraId="3B7455FA">
            <w:pPr>
              <w:pStyle w:val="51"/>
              <w:keepNext w:val="0"/>
              <w:keepLines w:val="0"/>
              <w:widowControl/>
              <w:suppressLineNumbers w:val="0"/>
              <w:spacing w:line="240" w:lineRule="auto"/>
              <w:ind w:left="0" w:firstLine="0"/>
              <w:jc w:val="left"/>
              <w:textAlignment w:val="center"/>
              <w:rPr>
                <w:rFonts w:hint="eastAsia"/>
                <w:kern w:val="2"/>
                <w:lang w:val="en-US" w:eastAsia="zh-CN"/>
              </w:rPr>
            </w:pPr>
            <w:r>
              <w:rPr>
                <w:rFonts w:hint="eastAsia" w:ascii="宋体" w:hAnsi="宋体" w:eastAsia="宋体" w:cs="宋体"/>
                <w:color w:val="000000"/>
                <w:kern w:val="0"/>
                <w:sz w:val="24"/>
                <w:szCs w:val="24"/>
                <w:lang w:val="en-US" w:eastAsia="zh-CN" w:bidi="ar"/>
              </w:rPr>
              <w:t>24）《密闭空间作业职业危害防护规范》GBZ/T205-2007</w:t>
            </w:r>
          </w:p>
        </w:tc>
      </w:tr>
    </w:tbl>
    <w:p w14:paraId="404E0080">
      <w:pPr>
        <w:spacing w:line="360" w:lineRule="auto"/>
        <w:ind w:firstLine="480" w:firstLineChars="200"/>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br w:type="page"/>
      </w:r>
    </w:p>
    <w:p w14:paraId="34353822">
      <w:pPr>
        <w:spacing w:line="360" w:lineRule="auto"/>
        <w:jc w:val="center"/>
        <w:outlineLvl w:val="0"/>
        <w:rPr>
          <w:rFonts w:asciiTheme="minorEastAsia" w:hAnsiTheme="minorEastAsia" w:eastAsiaTheme="minorEastAsia"/>
          <w:b/>
          <w:color w:val="auto"/>
          <w:sz w:val="28"/>
          <w:highlight w:val="none"/>
        </w:rPr>
      </w:pPr>
      <w:bookmarkStart w:id="44" w:name="_Toc7201"/>
      <w:r>
        <w:rPr>
          <w:rFonts w:hint="eastAsia" w:asciiTheme="minorEastAsia" w:hAnsiTheme="minorEastAsia" w:eastAsiaTheme="minorEastAsia"/>
          <w:b/>
          <w:color w:val="auto"/>
          <w:sz w:val="28"/>
          <w:highlight w:val="none"/>
        </w:rPr>
        <w:t>第四章  评审方法和标准</w:t>
      </w:r>
      <w:bookmarkEnd w:id="44"/>
    </w:p>
    <w:p w14:paraId="796B6DA5">
      <w:pPr>
        <w:spacing w:line="360" w:lineRule="auto"/>
        <w:ind w:firstLine="437"/>
        <w:outlineLvl w:val="1"/>
        <w:rPr>
          <w:rFonts w:asciiTheme="minorEastAsia" w:hAnsiTheme="minorEastAsia" w:eastAsiaTheme="minorEastAsia"/>
          <w:b/>
          <w:color w:val="auto"/>
          <w:sz w:val="24"/>
          <w:highlight w:val="none"/>
        </w:rPr>
      </w:pPr>
      <w:bookmarkStart w:id="45" w:name="_Toc1356"/>
      <w:bookmarkStart w:id="46" w:name="_Toc3679"/>
      <w:bookmarkStart w:id="47" w:name="_Toc31533"/>
      <w:r>
        <w:rPr>
          <w:rFonts w:hint="eastAsia" w:asciiTheme="minorEastAsia" w:hAnsiTheme="minorEastAsia" w:eastAsiaTheme="minorEastAsia"/>
          <w:b/>
          <w:color w:val="auto"/>
          <w:sz w:val="24"/>
          <w:highlight w:val="none"/>
        </w:rPr>
        <w:t>一、总则</w:t>
      </w:r>
      <w:bookmarkEnd w:id="45"/>
      <w:bookmarkEnd w:id="46"/>
      <w:bookmarkEnd w:id="47"/>
    </w:p>
    <w:p w14:paraId="6EDEA6B9">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本项目将按照磋商文件第二章供应商须知的相关要求</w:t>
      </w:r>
      <w:r>
        <w:rPr>
          <w:rFonts w:asciiTheme="minorEastAsia" w:hAnsiTheme="minorEastAsia" w:eastAsiaTheme="minorEastAsia"/>
          <w:color w:val="auto"/>
          <w:sz w:val="24"/>
          <w:highlight w:val="none"/>
        </w:rPr>
        <w:t>及本章的规定</w:t>
      </w:r>
      <w:r>
        <w:rPr>
          <w:rFonts w:hint="eastAsia" w:asciiTheme="minorEastAsia" w:hAnsiTheme="minorEastAsia" w:eastAsiaTheme="minorEastAsia"/>
          <w:color w:val="auto"/>
          <w:sz w:val="24"/>
          <w:highlight w:val="none"/>
        </w:rPr>
        <w:t>评审</w:t>
      </w:r>
      <w:r>
        <w:rPr>
          <w:rFonts w:asciiTheme="minorEastAsia" w:hAnsiTheme="minorEastAsia" w:eastAsiaTheme="minorEastAsia"/>
          <w:color w:val="auto"/>
          <w:sz w:val="24"/>
          <w:highlight w:val="none"/>
        </w:rPr>
        <w:t>。</w:t>
      </w:r>
    </w:p>
    <w:p w14:paraId="259896FD">
      <w:pPr>
        <w:spacing w:line="360" w:lineRule="auto"/>
        <w:ind w:firstLine="437"/>
        <w:outlineLvl w:val="1"/>
        <w:rPr>
          <w:rFonts w:asciiTheme="minorEastAsia" w:hAnsiTheme="minorEastAsia" w:eastAsiaTheme="minorEastAsia"/>
          <w:b/>
          <w:color w:val="auto"/>
          <w:sz w:val="24"/>
          <w:highlight w:val="none"/>
        </w:rPr>
      </w:pPr>
      <w:bookmarkStart w:id="48" w:name="_Toc16232"/>
      <w:bookmarkStart w:id="49" w:name="_Toc21478"/>
      <w:bookmarkStart w:id="50" w:name="_Toc13405"/>
      <w:r>
        <w:rPr>
          <w:rFonts w:hint="eastAsia" w:asciiTheme="minorEastAsia" w:hAnsiTheme="minorEastAsia" w:eastAsiaTheme="minorEastAsia"/>
          <w:b/>
          <w:color w:val="auto"/>
          <w:sz w:val="24"/>
          <w:highlight w:val="none"/>
        </w:rPr>
        <w:t>二、评审方法</w:t>
      </w:r>
      <w:bookmarkEnd w:id="48"/>
      <w:bookmarkEnd w:id="49"/>
      <w:bookmarkEnd w:id="50"/>
    </w:p>
    <w:p w14:paraId="34B65022">
      <w:pPr>
        <w:spacing w:line="360" w:lineRule="auto"/>
        <w:ind w:firstLine="435"/>
        <w:outlineLvl w:val="2"/>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2.1初审</w:t>
      </w:r>
    </w:p>
    <w:p w14:paraId="23BEAE17">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磋商小组对供应商的响应文件进行初审，以确定其是否满足磋商文件的实质性要求。初审表如下：</w:t>
      </w:r>
    </w:p>
    <w:tbl>
      <w:tblPr>
        <w:tblStyle w:val="5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9"/>
        <w:gridCol w:w="1357"/>
        <w:gridCol w:w="3867"/>
        <w:gridCol w:w="2599"/>
      </w:tblGrid>
      <w:tr w14:paraId="0AEBA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5000" w:type="pct"/>
            <w:gridSpan w:val="4"/>
            <w:tcBorders>
              <w:bottom w:val="single" w:color="auto" w:sz="4" w:space="0"/>
            </w:tcBorders>
            <w:vAlign w:val="center"/>
          </w:tcPr>
          <w:p w14:paraId="7ABC2792">
            <w:pPr>
              <w:adjustRightInd w:val="0"/>
              <w:snapToGrid w:val="0"/>
              <w:ind w:right="-10"/>
              <w:jc w:val="center"/>
              <w:rPr>
                <w:rFonts w:hint="eastAsia" w:ascii="Calibri" w:hAnsi="Calibri" w:cs="Times New Roman"/>
                <w:b/>
                <w:color w:val="auto"/>
                <w:kern w:val="2"/>
                <w:sz w:val="24"/>
                <w:szCs w:val="22"/>
                <w:highlight w:val="none"/>
              </w:rPr>
            </w:pPr>
            <w:r>
              <w:rPr>
                <w:rFonts w:hint="eastAsia" w:ascii="Calibri" w:hAnsi="Calibri" w:cs="Times New Roman"/>
                <w:b/>
                <w:color w:val="auto"/>
                <w:kern w:val="2"/>
                <w:sz w:val="24"/>
                <w:szCs w:val="22"/>
                <w:highlight w:val="none"/>
              </w:rPr>
              <w:t>初审表</w:t>
            </w:r>
          </w:p>
        </w:tc>
      </w:tr>
      <w:tr w14:paraId="382C1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410" w:type="pct"/>
            <w:tcBorders>
              <w:bottom w:val="single" w:color="auto" w:sz="4" w:space="0"/>
            </w:tcBorders>
            <w:vAlign w:val="center"/>
          </w:tcPr>
          <w:p w14:paraId="1A2E3E50">
            <w:pPr>
              <w:adjustRightInd w:val="0"/>
              <w:snapToGrid w:val="0"/>
              <w:spacing w:line="360" w:lineRule="auto"/>
              <w:ind w:right="-10" w:rightChars="0"/>
              <w:jc w:val="center"/>
              <w:rPr>
                <w:rFonts w:ascii="Calibri" w:hAnsi="Calibri" w:cs="Times New Roman"/>
                <w:b/>
                <w:bCs/>
                <w:color w:val="auto"/>
                <w:kern w:val="2"/>
                <w:sz w:val="24"/>
                <w:szCs w:val="22"/>
                <w:highlight w:val="none"/>
              </w:rPr>
            </w:pPr>
            <w:r>
              <w:rPr>
                <w:rFonts w:hint="eastAsia" w:ascii="宋体" w:hAnsi="宋体" w:eastAsia="宋体"/>
                <w:b/>
                <w:bCs/>
                <w:color w:val="auto"/>
                <w:sz w:val="24"/>
                <w:highlight w:val="none"/>
              </w:rPr>
              <w:t>序号</w:t>
            </w:r>
          </w:p>
        </w:tc>
        <w:tc>
          <w:tcPr>
            <w:tcW w:w="796" w:type="pct"/>
            <w:tcBorders>
              <w:bottom w:val="single" w:color="auto" w:sz="4" w:space="0"/>
            </w:tcBorders>
            <w:vAlign w:val="center"/>
          </w:tcPr>
          <w:p w14:paraId="3E742DC7">
            <w:pPr>
              <w:pStyle w:val="74"/>
              <w:pBdr>
                <w:bottom w:val="none" w:color="auto" w:sz="0" w:space="0"/>
              </w:pBdr>
              <w:tabs>
                <w:tab w:val="clear" w:pos="4153"/>
                <w:tab w:val="clear" w:pos="8306"/>
              </w:tabs>
              <w:snapToGrid w:val="0"/>
              <w:spacing w:line="360" w:lineRule="auto"/>
              <w:ind w:right="-10" w:rightChars="0"/>
              <w:textAlignment w:val="auto"/>
              <w:rPr>
                <w:rFonts w:ascii="Calibri" w:hAnsi="Calibri" w:cs="Times New Roman"/>
                <w:b/>
                <w:bCs/>
                <w:color w:val="auto"/>
                <w:kern w:val="2"/>
                <w:sz w:val="24"/>
                <w:szCs w:val="24"/>
                <w:highlight w:val="none"/>
              </w:rPr>
            </w:pPr>
            <w:r>
              <w:rPr>
                <w:rFonts w:hint="eastAsia" w:ascii="宋体" w:hAnsi="宋体" w:eastAsia="宋体"/>
                <w:b/>
                <w:bCs/>
                <w:color w:val="auto"/>
                <w:kern w:val="2"/>
                <w:szCs w:val="24"/>
                <w:highlight w:val="none"/>
                <w:lang w:val="en-US" w:eastAsia="zh-CN"/>
              </w:rPr>
              <w:t>审查因素</w:t>
            </w:r>
          </w:p>
        </w:tc>
        <w:tc>
          <w:tcPr>
            <w:tcW w:w="2268" w:type="pct"/>
            <w:tcBorders>
              <w:bottom w:val="single" w:color="auto" w:sz="4" w:space="0"/>
            </w:tcBorders>
            <w:vAlign w:val="center"/>
          </w:tcPr>
          <w:p w14:paraId="20C9B1DD">
            <w:pPr>
              <w:adjustRightInd w:val="0"/>
              <w:snapToGrid w:val="0"/>
              <w:spacing w:line="360" w:lineRule="auto"/>
              <w:ind w:right="-10" w:rightChars="0"/>
              <w:jc w:val="center"/>
              <w:rPr>
                <w:rFonts w:ascii="Calibri" w:hAnsi="Calibri" w:cs="Times New Roman"/>
                <w:b/>
                <w:bCs/>
                <w:color w:val="auto"/>
                <w:kern w:val="2"/>
                <w:sz w:val="24"/>
                <w:szCs w:val="22"/>
                <w:highlight w:val="none"/>
              </w:rPr>
            </w:pPr>
            <w:r>
              <w:rPr>
                <w:rFonts w:hint="eastAsia" w:ascii="宋体" w:hAnsi="宋体" w:eastAsia="宋体"/>
                <w:b/>
                <w:bCs/>
                <w:color w:val="auto"/>
                <w:sz w:val="24"/>
                <w:highlight w:val="none"/>
                <w:lang w:val="en-US" w:eastAsia="zh-CN"/>
              </w:rPr>
              <w:t>审查内容</w:t>
            </w:r>
          </w:p>
        </w:tc>
        <w:tc>
          <w:tcPr>
            <w:tcW w:w="1524" w:type="pct"/>
            <w:tcBorders>
              <w:bottom w:val="single" w:color="auto" w:sz="4" w:space="0"/>
            </w:tcBorders>
            <w:vAlign w:val="center"/>
          </w:tcPr>
          <w:p w14:paraId="44E65FC7">
            <w:pPr>
              <w:adjustRightInd w:val="0"/>
              <w:snapToGrid w:val="0"/>
              <w:spacing w:line="360" w:lineRule="auto"/>
              <w:ind w:right="-10" w:rightChars="0"/>
              <w:jc w:val="center"/>
              <w:rPr>
                <w:rFonts w:hint="eastAsia" w:ascii="Calibri" w:hAnsi="Calibri" w:cs="Times New Roman"/>
                <w:b/>
                <w:bCs/>
                <w:color w:val="auto"/>
                <w:kern w:val="2"/>
                <w:sz w:val="24"/>
                <w:szCs w:val="22"/>
                <w:highlight w:val="none"/>
              </w:rPr>
            </w:pPr>
            <w:r>
              <w:rPr>
                <w:rFonts w:hint="eastAsia" w:ascii="宋体" w:hAnsi="宋体" w:eastAsia="宋体"/>
                <w:b/>
                <w:bCs/>
                <w:color w:val="auto"/>
                <w:sz w:val="24"/>
                <w:highlight w:val="none"/>
              </w:rPr>
              <w:t>格式要求</w:t>
            </w:r>
          </w:p>
        </w:tc>
      </w:tr>
      <w:tr w14:paraId="55590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410" w:type="pct"/>
            <w:tcBorders>
              <w:bottom w:val="single" w:color="auto" w:sz="4" w:space="0"/>
            </w:tcBorders>
            <w:vAlign w:val="center"/>
          </w:tcPr>
          <w:p w14:paraId="53982934">
            <w:pPr>
              <w:adjustRightInd w:val="0"/>
              <w:snapToGrid w:val="0"/>
              <w:spacing w:line="360" w:lineRule="auto"/>
              <w:ind w:right="-10" w:rightChars="0"/>
              <w:jc w:val="center"/>
              <w:rPr>
                <w:rFonts w:cs="Times New Roman"/>
                <w:color w:val="auto"/>
                <w:kern w:val="2"/>
                <w:sz w:val="24"/>
                <w:szCs w:val="22"/>
                <w:highlight w:val="none"/>
              </w:rPr>
            </w:pPr>
            <w:r>
              <w:rPr>
                <w:rFonts w:hint="eastAsia" w:ascii="宋体" w:hAnsi="宋体" w:eastAsia="宋体"/>
                <w:color w:val="auto"/>
                <w:sz w:val="24"/>
                <w:highlight w:val="none"/>
              </w:rPr>
              <w:t>1</w:t>
            </w:r>
          </w:p>
        </w:tc>
        <w:tc>
          <w:tcPr>
            <w:tcW w:w="796" w:type="pct"/>
            <w:tcBorders>
              <w:bottom w:val="single" w:color="auto" w:sz="4" w:space="0"/>
            </w:tcBorders>
            <w:vAlign w:val="center"/>
          </w:tcPr>
          <w:p w14:paraId="5DB998AB">
            <w:pPr>
              <w:spacing w:after="50" w:line="360" w:lineRule="auto"/>
              <w:ind w:right="-10" w:rightChars="0"/>
              <w:jc w:val="center"/>
              <w:rPr>
                <w:rFonts w:ascii="Calibri" w:hAnsi="Calibri" w:cs="Times New Roman"/>
                <w:color w:val="auto"/>
                <w:kern w:val="2"/>
                <w:sz w:val="24"/>
                <w:szCs w:val="24"/>
                <w:highlight w:val="none"/>
              </w:rPr>
            </w:pPr>
            <w:r>
              <w:rPr>
                <w:rFonts w:ascii="宋体" w:hAnsi="宋体" w:eastAsia="宋体" w:cs="宋体"/>
                <w:spacing w:val="9"/>
                <w:sz w:val="24"/>
                <w:szCs w:val="24"/>
              </w:rPr>
              <w:t>营业执照等证明</w:t>
            </w:r>
            <w:r>
              <w:rPr>
                <w:rFonts w:ascii="宋体" w:hAnsi="宋体" w:eastAsia="宋体" w:cs="宋体"/>
                <w:spacing w:val="-3"/>
                <w:sz w:val="24"/>
                <w:szCs w:val="24"/>
              </w:rPr>
              <w:t>文件</w:t>
            </w:r>
          </w:p>
        </w:tc>
        <w:tc>
          <w:tcPr>
            <w:tcW w:w="2268" w:type="pct"/>
            <w:tcBorders>
              <w:bottom w:val="single" w:color="auto" w:sz="4" w:space="0"/>
            </w:tcBorders>
            <w:vAlign w:val="center"/>
          </w:tcPr>
          <w:p w14:paraId="62752899">
            <w:pPr>
              <w:spacing w:after="50" w:line="360" w:lineRule="auto"/>
              <w:ind w:right="-10" w:rightChars="0"/>
              <w:jc w:val="left"/>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供应商</w:t>
            </w:r>
            <w:r>
              <w:rPr>
                <w:rFonts w:ascii="宋体" w:hAnsi="宋体" w:eastAsia="宋体" w:cs="宋体"/>
                <w:sz w:val="24"/>
                <w:szCs w:val="24"/>
              </w:rPr>
              <w:t>为企业（包括合伙企业）的，应</w:t>
            </w:r>
            <w:r>
              <w:rPr>
                <w:rFonts w:hint="eastAsia" w:ascii="宋体" w:hAnsi="宋体" w:eastAsia="宋体" w:cs="宋体"/>
                <w:sz w:val="24"/>
                <w:szCs w:val="24"/>
                <w:lang w:val="en-US" w:eastAsia="zh-CN"/>
              </w:rPr>
              <w:t>提</w:t>
            </w:r>
            <w:r>
              <w:rPr>
                <w:rFonts w:ascii="宋体" w:hAnsi="宋体" w:eastAsia="宋体" w:cs="宋体"/>
                <w:sz w:val="24"/>
                <w:szCs w:val="24"/>
              </w:rPr>
              <w:t>供有效的营业执照；</w:t>
            </w:r>
          </w:p>
          <w:p w14:paraId="45CC052B">
            <w:pPr>
              <w:spacing w:after="50" w:line="360" w:lineRule="auto"/>
              <w:ind w:right="-10" w:rightChars="0"/>
              <w:jc w:val="left"/>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供应商</w:t>
            </w:r>
            <w:r>
              <w:rPr>
                <w:rFonts w:ascii="宋体" w:hAnsi="宋体" w:eastAsia="宋体" w:cs="宋体"/>
                <w:sz w:val="24"/>
                <w:szCs w:val="24"/>
              </w:rPr>
              <w:t>为事业单位的，应</w:t>
            </w:r>
            <w:r>
              <w:rPr>
                <w:rFonts w:hint="eastAsia" w:ascii="宋体" w:hAnsi="宋体" w:eastAsia="宋体" w:cs="宋体"/>
                <w:sz w:val="24"/>
                <w:szCs w:val="24"/>
                <w:lang w:val="en-US" w:eastAsia="zh-CN"/>
              </w:rPr>
              <w:t>提</w:t>
            </w:r>
            <w:r>
              <w:rPr>
                <w:rFonts w:ascii="宋体" w:hAnsi="宋体" w:eastAsia="宋体" w:cs="宋体"/>
                <w:sz w:val="24"/>
                <w:szCs w:val="24"/>
              </w:rPr>
              <w:t>供有效的事业单位法人证书；</w:t>
            </w:r>
          </w:p>
          <w:p w14:paraId="72CC4C4C">
            <w:pPr>
              <w:spacing w:after="50" w:line="360" w:lineRule="auto"/>
              <w:ind w:right="-10" w:rightChars="0"/>
              <w:jc w:val="left"/>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供应商</w:t>
            </w:r>
            <w:r>
              <w:rPr>
                <w:rFonts w:ascii="宋体" w:hAnsi="宋体" w:eastAsia="宋体" w:cs="宋体"/>
                <w:sz w:val="24"/>
                <w:szCs w:val="24"/>
              </w:rPr>
              <w:t>是非企业机构的，应</w:t>
            </w:r>
            <w:r>
              <w:rPr>
                <w:rFonts w:hint="eastAsia" w:ascii="宋体" w:hAnsi="宋体" w:eastAsia="宋体" w:cs="宋体"/>
                <w:sz w:val="24"/>
                <w:szCs w:val="24"/>
                <w:lang w:val="en-US" w:eastAsia="zh-CN"/>
              </w:rPr>
              <w:t>提</w:t>
            </w:r>
            <w:r>
              <w:rPr>
                <w:rFonts w:ascii="宋体" w:hAnsi="宋体" w:eastAsia="宋体" w:cs="宋体"/>
                <w:sz w:val="24"/>
                <w:szCs w:val="24"/>
              </w:rPr>
              <w:t>供有效的执业许可证</w:t>
            </w:r>
            <w:r>
              <w:rPr>
                <w:rFonts w:hint="eastAsia" w:ascii="宋体" w:hAnsi="宋体" w:eastAsia="宋体" w:cs="宋体"/>
                <w:sz w:val="24"/>
                <w:szCs w:val="24"/>
                <w:lang w:val="en-US" w:eastAsia="zh-CN"/>
              </w:rPr>
              <w:t>或</w:t>
            </w:r>
            <w:r>
              <w:rPr>
                <w:rFonts w:ascii="宋体" w:hAnsi="宋体" w:eastAsia="宋体" w:cs="宋体"/>
                <w:sz w:val="24"/>
                <w:szCs w:val="24"/>
              </w:rPr>
              <w:t>登记证书等证明文件；</w:t>
            </w:r>
          </w:p>
          <w:p w14:paraId="757F1038">
            <w:pPr>
              <w:spacing w:after="50" w:line="360" w:lineRule="auto"/>
              <w:ind w:right="-10" w:rightChars="0"/>
              <w:jc w:val="left"/>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供应商</w:t>
            </w:r>
            <w:r>
              <w:rPr>
                <w:rFonts w:ascii="宋体" w:hAnsi="宋体" w:eastAsia="宋体" w:cs="宋体"/>
                <w:sz w:val="24"/>
                <w:szCs w:val="24"/>
              </w:rPr>
              <w:t>是个体工商户的，应</w:t>
            </w:r>
            <w:r>
              <w:rPr>
                <w:rFonts w:hint="eastAsia" w:ascii="宋体" w:hAnsi="宋体" w:eastAsia="宋体" w:cs="宋体"/>
                <w:sz w:val="24"/>
                <w:szCs w:val="24"/>
                <w:lang w:val="en-US" w:eastAsia="zh-CN"/>
              </w:rPr>
              <w:t>提</w:t>
            </w:r>
            <w:r>
              <w:rPr>
                <w:rFonts w:ascii="宋体" w:hAnsi="宋体" w:eastAsia="宋体" w:cs="宋体"/>
                <w:sz w:val="24"/>
                <w:szCs w:val="24"/>
              </w:rPr>
              <w:t>供有效的个体工商户营业执照；</w:t>
            </w:r>
          </w:p>
          <w:p w14:paraId="22F04897">
            <w:pPr>
              <w:spacing w:after="50" w:line="360" w:lineRule="auto"/>
              <w:ind w:right="-10" w:rightChars="0"/>
              <w:jc w:val="left"/>
              <w:rPr>
                <w:rFonts w:ascii="Calibri" w:hAnsi="Calibri" w:cs="Times New Roman"/>
                <w:color w:val="auto"/>
                <w:kern w:val="2"/>
                <w:sz w:val="24"/>
                <w:szCs w:val="22"/>
                <w:highlight w:val="none"/>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供应商</w:t>
            </w:r>
            <w:r>
              <w:rPr>
                <w:rFonts w:ascii="宋体" w:hAnsi="宋体" w:eastAsia="宋体" w:cs="宋体"/>
                <w:sz w:val="24"/>
                <w:szCs w:val="24"/>
              </w:rPr>
              <w:t>是自然人的，应</w:t>
            </w:r>
            <w:r>
              <w:rPr>
                <w:rFonts w:hint="eastAsia" w:ascii="宋体" w:hAnsi="宋体" w:eastAsia="宋体" w:cs="宋体"/>
                <w:sz w:val="24"/>
                <w:szCs w:val="24"/>
                <w:lang w:val="en-US" w:eastAsia="zh-CN"/>
              </w:rPr>
              <w:t>提</w:t>
            </w:r>
            <w:r>
              <w:rPr>
                <w:rFonts w:ascii="宋体" w:hAnsi="宋体" w:eastAsia="宋体" w:cs="宋体"/>
                <w:sz w:val="24"/>
                <w:szCs w:val="24"/>
              </w:rPr>
              <w:t>供有效的自然人身份证明。</w:t>
            </w:r>
          </w:p>
        </w:tc>
        <w:tc>
          <w:tcPr>
            <w:tcW w:w="1524" w:type="pct"/>
            <w:tcBorders>
              <w:bottom w:val="single" w:color="auto" w:sz="4" w:space="0"/>
            </w:tcBorders>
            <w:vAlign w:val="center"/>
          </w:tcPr>
          <w:p w14:paraId="2799B893">
            <w:pPr>
              <w:spacing w:line="360" w:lineRule="auto"/>
              <w:jc w:val="left"/>
              <w:rPr>
                <w:rFonts w:hint="eastAsia" w:cs="Times New Roman"/>
                <w:color w:val="auto"/>
                <w:kern w:val="2"/>
                <w:sz w:val="24"/>
                <w:szCs w:val="22"/>
                <w:highlight w:val="none"/>
              </w:rPr>
            </w:pPr>
            <w:r>
              <w:rPr>
                <w:rFonts w:hint="eastAsia" w:ascii="宋体" w:hAnsi="宋体" w:eastAsia="宋体" w:cs="宋体"/>
                <w:b w:val="0"/>
                <w:bCs w:val="0"/>
                <w:color w:val="auto"/>
                <w:sz w:val="24"/>
                <w:szCs w:val="24"/>
                <w:highlight w:val="none"/>
              </w:rPr>
              <w:t>提供</w:t>
            </w:r>
            <w:r>
              <w:rPr>
                <w:rFonts w:hint="eastAsia" w:ascii="宋体" w:hAnsi="宋体" w:eastAsia="宋体" w:cs="宋体"/>
                <w:b w:val="0"/>
                <w:bCs w:val="0"/>
                <w:color w:val="auto"/>
                <w:sz w:val="24"/>
                <w:szCs w:val="24"/>
                <w:highlight w:val="none"/>
                <w:lang w:val="en-US" w:eastAsia="zh-CN"/>
              </w:rPr>
              <w:t>材料</w:t>
            </w:r>
            <w:r>
              <w:rPr>
                <w:rFonts w:hint="eastAsia" w:ascii="宋体" w:hAnsi="宋体" w:eastAsia="宋体" w:cs="宋体"/>
                <w:b w:val="0"/>
                <w:bCs w:val="0"/>
                <w:color w:val="auto"/>
                <w:sz w:val="24"/>
                <w:szCs w:val="24"/>
                <w:highlight w:val="none"/>
              </w:rPr>
              <w:t>扫描件</w:t>
            </w:r>
            <w:r>
              <w:rPr>
                <w:rFonts w:hint="eastAsia" w:ascii="宋体" w:hAnsi="宋体" w:eastAsia="宋体" w:cs="宋体"/>
                <w:b w:val="0"/>
                <w:bCs w:val="0"/>
                <w:color w:val="auto"/>
                <w:sz w:val="24"/>
                <w:szCs w:val="24"/>
                <w:highlight w:val="none"/>
                <w:lang w:val="en-US" w:eastAsia="zh-CN"/>
              </w:rPr>
              <w:t>或电子证照</w:t>
            </w:r>
            <w:r>
              <w:rPr>
                <w:rFonts w:hint="eastAsia" w:ascii="宋体" w:hAnsi="宋体" w:eastAsia="宋体" w:cs="宋体"/>
                <w:b w:val="0"/>
                <w:bCs w:val="0"/>
                <w:color w:val="auto"/>
                <w:sz w:val="24"/>
                <w:szCs w:val="24"/>
                <w:highlight w:val="none"/>
              </w:rPr>
              <w:t>，应完整的体现出</w:t>
            </w:r>
            <w:r>
              <w:rPr>
                <w:rFonts w:hint="eastAsia" w:ascii="宋体" w:hAnsi="宋体" w:eastAsia="宋体" w:cs="宋体"/>
                <w:b w:val="0"/>
                <w:bCs w:val="0"/>
                <w:color w:val="auto"/>
                <w:sz w:val="24"/>
                <w:szCs w:val="24"/>
                <w:highlight w:val="none"/>
                <w:lang w:val="en-US" w:eastAsia="zh-CN"/>
              </w:rPr>
              <w:t>材料或电子证照</w:t>
            </w:r>
            <w:r>
              <w:rPr>
                <w:rFonts w:hint="eastAsia" w:ascii="宋体" w:hAnsi="宋体" w:eastAsia="宋体" w:cs="宋体"/>
                <w:b w:val="0"/>
                <w:bCs w:val="0"/>
                <w:color w:val="auto"/>
                <w:sz w:val="24"/>
                <w:szCs w:val="24"/>
                <w:highlight w:val="none"/>
              </w:rPr>
              <w:t>全部内容。联合体</w:t>
            </w:r>
            <w:r>
              <w:rPr>
                <w:rFonts w:hint="eastAsia" w:ascii="宋体" w:hAnsi="宋体" w:eastAsia="宋体" w:cs="宋体"/>
                <w:b w:val="0"/>
                <w:bCs w:val="0"/>
                <w:color w:val="auto"/>
                <w:sz w:val="24"/>
                <w:szCs w:val="24"/>
                <w:highlight w:val="none"/>
                <w:lang w:val="en-US" w:eastAsia="zh-CN"/>
              </w:rPr>
              <w:t>磋商</w:t>
            </w:r>
            <w:r>
              <w:rPr>
                <w:rFonts w:hint="eastAsia" w:ascii="宋体" w:hAnsi="宋体" w:eastAsia="宋体" w:cs="宋体"/>
                <w:b w:val="0"/>
                <w:bCs w:val="0"/>
                <w:color w:val="auto"/>
                <w:sz w:val="24"/>
                <w:szCs w:val="24"/>
                <w:highlight w:val="none"/>
              </w:rPr>
              <w:t>的联合体各方均须提供。</w:t>
            </w:r>
          </w:p>
        </w:tc>
      </w:tr>
      <w:tr w14:paraId="6D6EA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14:paraId="41F845A2">
            <w:pPr>
              <w:adjustRightInd w:val="0"/>
              <w:snapToGrid w:val="0"/>
              <w:spacing w:line="360" w:lineRule="auto"/>
              <w:ind w:right="-10" w:rightChars="0"/>
              <w:jc w:val="center"/>
              <w:rPr>
                <w:rFonts w:cs="Times New Roman"/>
                <w:color w:val="auto"/>
                <w:kern w:val="2"/>
                <w:sz w:val="24"/>
                <w:szCs w:val="22"/>
                <w:highlight w:val="none"/>
              </w:rPr>
            </w:pPr>
            <w:r>
              <w:rPr>
                <w:rFonts w:hint="eastAsia" w:ascii="宋体" w:hAnsi="宋体" w:eastAsia="宋体"/>
                <w:color w:val="auto"/>
                <w:sz w:val="24"/>
                <w:highlight w:val="none"/>
                <w:lang w:val="en-US" w:eastAsia="zh-CN"/>
              </w:rPr>
              <w:t>2</w:t>
            </w:r>
          </w:p>
        </w:tc>
        <w:tc>
          <w:tcPr>
            <w:tcW w:w="796" w:type="pct"/>
            <w:vAlign w:val="center"/>
          </w:tcPr>
          <w:p w14:paraId="18AC8E17">
            <w:pPr>
              <w:spacing w:after="50" w:line="360" w:lineRule="auto"/>
              <w:ind w:right="-10" w:rightChars="0"/>
              <w:jc w:val="center"/>
              <w:rPr>
                <w:rFonts w:ascii="Calibri" w:hAnsi="Calibri" w:cs="Times New Roman"/>
                <w:color w:val="auto"/>
                <w:kern w:val="2"/>
                <w:sz w:val="24"/>
                <w:szCs w:val="24"/>
                <w:highlight w:val="none"/>
              </w:rPr>
            </w:pPr>
            <w:r>
              <w:rPr>
                <w:rFonts w:hint="eastAsia" w:ascii="宋体" w:hAnsi="宋体" w:eastAsia="宋体"/>
                <w:color w:val="auto"/>
                <w:sz w:val="24"/>
                <w:szCs w:val="18"/>
                <w:highlight w:val="none"/>
                <w:lang w:val="en-US" w:eastAsia="zh-CN"/>
              </w:rPr>
              <w:t>供应商资格声明书</w:t>
            </w:r>
          </w:p>
        </w:tc>
        <w:tc>
          <w:tcPr>
            <w:tcW w:w="2268" w:type="pct"/>
            <w:vAlign w:val="center"/>
          </w:tcPr>
          <w:p w14:paraId="638D30E5">
            <w:pPr>
              <w:spacing w:after="50" w:line="360" w:lineRule="auto"/>
              <w:ind w:right="-10" w:rightChars="0"/>
              <w:jc w:val="left"/>
              <w:rPr>
                <w:rFonts w:ascii="Calibri" w:hAnsi="Calibri" w:cs="Times New Roman"/>
                <w:color w:val="auto"/>
                <w:kern w:val="2"/>
                <w:sz w:val="24"/>
                <w:szCs w:val="22"/>
                <w:highlight w:val="none"/>
              </w:rPr>
            </w:pPr>
            <w:r>
              <w:rPr>
                <w:rFonts w:hint="eastAsia" w:ascii="宋体" w:hAnsi="宋体" w:eastAsia="宋体" w:cs="宋体"/>
                <w:sz w:val="24"/>
                <w:szCs w:val="24"/>
                <w:lang w:val="en-US" w:eastAsia="zh-CN"/>
              </w:rPr>
              <w:t>提</w:t>
            </w:r>
            <w:r>
              <w:rPr>
                <w:rFonts w:ascii="宋体" w:hAnsi="宋体" w:eastAsia="宋体" w:cs="宋体"/>
                <w:sz w:val="24"/>
                <w:szCs w:val="24"/>
              </w:rPr>
              <w:t>供符合</w:t>
            </w:r>
            <w:r>
              <w:rPr>
                <w:rFonts w:hint="eastAsia" w:cs="宋体"/>
                <w:sz w:val="24"/>
                <w:szCs w:val="24"/>
                <w:lang w:val="en-US" w:eastAsia="zh-CN"/>
              </w:rPr>
              <w:t>磋商</w:t>
            </w:r>
            <w:r>
              <w:rPr>
                <w:rFonts w:ascii="宋体" w:hAnsi="宋体" w:eastAsia="宋体" w:cs="宋体"/>
                <w:sz w:val="24"/>
                <w:szCs w:val="24"/>
              </w:rPr>
              <w:t>文件要求的《</w:t>
            </w:r>
            <w:r>
              <w:rPr>
                <w:rFonts w:hint="eastAsia" w:ascii="宋体" w:hAnsi="宋体" w:eastAsia="宋体" w:cs="宋体"/>
                <w:sz w:val="24"/>
                <w:szCs w:val="24"/>
                <w:lang w:val="en-US" w:eastAsia="zh-CN"/>
              </w:rPr>
              <w:t>供应商</w:t>
            </w:r>
            <w:r>
              <w:rPr>
                <w:rFonts w:ascii="宋体" w:hAnsi="宋体" w:eastAsia="宋体" w:cs="宋体"/>
                <w:sz w:val="24"/>
                <w:szCs w:val="24"/>
              </w:rPr>
              <w:t>资格声明书》</w:t>
            </w:r>
            <w:r>
              <w:rPr>
                <w:rFonts w:hint="eastAsia" w:ascii="宋体" w:hAnsi="宋体" w:eastAsia="宋体" w:cs="宋体"/>
                <w:sz w:val="24"/>
                <w:szCs w:val="24"/>
                <w:lang w:eastAsia="zh-CN"/>
              </w:rPr>
              <w:t>。</w:t>
            </w:r>
          </w:p>
        </w:tc>
        <w:tc>
          <w:tcPr>
            <w:tcW w:w="1524" w:type="pct"/>
            <w:vAlign w:val="center"/>
          </w:tcPr>
          <w:p w14:paraId="2A0BA008">
            <w:pPr>
              <w:spacing w:line="360" w:lineRule="auto"/>
              <w:jc w:val="left"/>
              <w:rPr>
                <w:rFonts w:hint="eastAsia" w:cs="Times New Roman"/>
                <w:color w:val="auto"/>
                <w:kern w:val="2"/>
                <w:sz w:val="24"/>
                <w:szCs w:val="22"/>
                <w:highlight w:val="none"/>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14:paraId="7EFB3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14:paraId="7F8E0A6D">
            <w:pPr>
              <w:adjustRightInd w:val="0"/>
              <w:snapToGrid w:val="0"/>
              <w:spacing w:line="360" w:lineRule="auto"/>
              <w:ind w:right="-10" w:rightChars="0"/>
              <w:jc w:val="center"/>
              <w:rPr>
                <w:rFonts w:hint="default" w:cs="Times New Roman"/>
                <w:color w:val="auto"/>
                <w:kern w:val="2"/>
                <w:sz w:val="24"/>
                <w:szCs w:val="22"/>
                <w:highlight w:val="none"/>
                <w:lang w:val="en-US" w:eastAsia="zh-CN"/>
              </w:rPr>
            </w:pPr>
            <w:r>
              <w:rPr>
                <w:rFonts w:hint="eastAsia" w:cs="Times New Roman"/>
                <w:color w:val="auto"/>
                <w:kern w:val="2"/>
                <w:sz w:val="24"/>
                <w:szCs w:val="22"/>
                <w:highlight w:val="none"/>
                <w:lang w:val="en-US" w:eastAsia="zh-CN"/>
              </w:rPr>
              <w:t>3</w:t>
            </w:r>
          </w:p>
        </w:tc>
        <w:tc>
          <w:tcPr>
            <w:tcW w:w="796" w:type="pct"/>
            <w:vAlign w:val="center"/>
          </w:tcPr>
          <w:p w14:paraId="6A765F43">
            <w:pPr>
              <w:pStyle w:val="19"/>
              <w:rPr>
                <w:rFonts w:ascii="宋体" w:hAnsi="宋体" w:eastAsia="宋体" w:cs="宋体"/>
                <w:spacing w:val="10"/>
                <w:sz w:val="24"/>
                <w:szCs w:val="24"/>
              </w:rPr>
            </w:pPr>
            <w:r>
              <w:rPr>
                <w:rFonts w:ascii="宋体" w:hAnsi="宋体" w:eastAsia="宋体" w:cs="宋体"/>
                <w:spacing w:val="10"/>
                <w:sz w:val="24"/>
                <w:szCs w:val="24"/>
              </w:rPr>
              <w:t>其他特定资格要求</w:t>
            </w:r>
          </w:p>
        </w:tc>
        <w:tc>
          <w:tcPr>
            <w:tcW w:w="2268" w:type="pct"/>
            <w:vAlign w:val="center"/>
          </w:tcPr>
          <w:p w14:paraId="220C8AB2">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供应商资质证书及安全生产许可证；项目经理建造师证书及建安</w:t>
            </w:r>
            <w:r>
              <w:rPr>
                <w:rFonts w:ascii="Calibri" w:hAnsi="Calibri" w:eastAsia="宋体" w:cs="Calibri"/>
                <w:color w:val="000000"/>
                <w:kern w:val="0"/>
                <w:sz w:val="24"/>
                <w:szCs w:val="24"/>
                <w:lang w:val="en-US" w:eastAsia="zh-CN" w:bidi="ar"/>
              </w:rPr>
              <w:t xml:space="preserve">B </w:t>
            </w:r>
            <w:r>
              <w:rPr>
                <w:rFonts w:hint="eastAsia" w:ascii="宋体" w:hAnsi="宋体" w:eastAsia="宋体" w:cs="宋体"/>
                <w:color w:val="000000"/>
                <w:kern w:val="0"/>
                <w:sz w:val="24"/>
                <w:szCs w:val="24"/>
                <w:lang w:val="en-US" w:eastAsia="zh-CN" w:bidi="ar"/>
              </w:rPr>
              <w:t>证。</w:t>
            </w:r>
          </w:p>
        </w:tc>
        <w:tc>
          <w:tcPr>
            <w:tcW w:w="1524" w:type="pct"/>
            <w:vAlign w:val="center"/>
          </w:tcPr>
          <w:p w14:paraId="1E548204">
            <w:pPr>
              <w:spacing w:after="50" w:line="360" w:lineRule="auto"/>
              <w:ind w:right="-10" w:rightChars="0"/>
              <w:jc w:val="both"/>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提供</w:t>
            </w:r>
            <w:r>
              <w:rPr>
                <w:rFonts w:hint="eastAsia" w:ascii="宋体" w:hAnsi="宋体" w:eastAsia="宋体" w:cs="宋体"/>
                <w:b w:val="0"/>
                <w:bCs w:val="0"/>
                <w:color w:val="auto"/>
                <w:sz w:val="24"/>
                <w:szCs w:val="24"/>
                <w:highlight w:val="none"/>
                <w:lang w:val="en-US" w:eastAsia="zh-CN"/>
              </w:rPr>
              <w:t>材料</w:t>
            </w:r>
            <w:r>
              <w:rPr>
                <w:rFonts w:hint="eastAsia" w:ascii="宋体" w:hAnsi="宋体" w:eastAsia="宋体" w:cs="宋体"/>
                <w:b w:val="0"/>
                <w:bCs w:val="0"/>
                <w:color w:val="auto"/>
                <w:sz w:val="24"/>
                <w:szCs w:val="24"/>
                <w:highlight w:val="none"/>
              </w:rPr>
              <w:t>扫描件</w:t>
            </w:r>
            <w:r>
              <w:rPr>
                <w:rFonts w:hint="eastAsia" w:ascii="宋体" w:hAnsi="宋体" w:eastAsia="宋体" w:cs="宋体"/>
                <w:b w:val="0"/>
                <w:bCs w:val="0"/>
                <w:color w:val="auto"/>
                <w:sz w:val="24"/>
                <w:szCs w:val="24"/>
                <w:highlight w:val="none"/>
                <w:lang w:val="en-US" w:eastAsia="zh-CN"/>
              </w:rPr>
              <w:t>或电子证照</w:t>
            </w:r>
            <w:r>
              <w:rPr>
                <w:rFonts w:hint="eastAsia" w:ascii="宋体" w:hAnsi="宋体" w:eastAsia="宋体" w:cs="宋体"/>
                <w:b w:val="0"/>
                <w:bCs w:val="0"/>
                <w:color w:val="auto"/>
                <w:sz w:val="24"/>
                <w:szCs w:val="24"/>
                <w:highlight w:val="none"/>
              </w:rPr>
              <w:t>，应完整的体现出</w:t>
            </w:r>
            <w:r>
              <w:rPr>
                <w:rFonts w:hint="eastAsia" w:ascii="宋体" w:hAnsi="宋体" w:eastAsia="宋体" w:cs="宋体"/>
                <w:b w:val="0"/>
                <w:bCs w:val="0"/>
                <w:color w:val="auto"/>
                <w:sz w:val="24"/>
                <w:szCs w:val="24"/>
                <w:highlight w:val="none"/>
                <w:lang w:val="en-US" w:eastAsia="zh-CN"/>
              </w:rPr>
              <w:t>材料或电子证照</w:t>
            </w:r>
            <w:r>
              <w:rPr>
                <w:rFonts w:hint="eastAsia" w:ascii="宋体" w:hAnsi="宋体" w:eastAsia="宋体" w:cs="宋体"/>
                <w:b w:val="0"/>
                <w:bCs w:val="0"/>
                <w:color w:val="auto"/>
                <w:sz w:val="24"/>
                <w:szCs w:val="24"/>
                <w:highlight w:val="none"/>
              </w:rPr>
              <w:t>全部内容。</w:t>
            </w:r>
          </w:p>
        </w:tc>
      </w:tr>
      <w:tr w14:paraId="7B47E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14:paraId="2126FFEF">
            <w:pPr>
              <w:pStyle w:val="19"/>
              <w:rPr>
                <w:rFonts w:hint="default"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4</w:t>
            </w:r>
          </w:p>
        </w:tc>
        <w:tc>
          <w:tcPr>
            <w:tcW w:w="796" w:type="pct"/>
            <w:vAlign w:val="center"/>
          </w:tcPr>
          <w:p w14:paraId="5E546002">
            <w:pPr>
              <w:pStyle w:val="19"/>
              <w:rPr>
                <w:rFonts w:ascii="宋体" w:hAnsi="宋体" w:eastAsia="宋体" w:cs="宋体"/>
                <w:spacing w:val="10"/>
                <w:sz w:val="24"/>
                <w:szCs w:val="24"/>
              </w:rPr>
            </w:pPr>
            <w:r>
              <w:rPr>
                <w:rFonts w:ascii="宋体" w:hAnsi="宋体" w:eastAsia="宋体" w:cs="宋体"/>
                <w:spacing w:val="10"/>
                <w:sz w:val="24"/>
                <w:szCs w:val="24"/>
              </w:rPr>
              <w:t>本 项 目对 于 联 合体的要求</w:t>
            </w:r>
          </w:p>
        </w:tc>
        <w:tc>
          <w:tcPr>
            <w:tcW w:w="2268" w:type="pct"/>
            <w:vAlign w:val="center"/>
          </w:tcPr>
          <w:p w14:paraId="1153F354">
            <w:pPr>
              <w:pStyle w:val="19"/>
              <w:rPr>
                <w:rFonts w:hint="eastAsia" w:ascii="宋体" w:hAnsi="宋体" w:eastAsia="宋体" w:cs="宋体"/>
                <w:spacing w:val="10"/>
                <w:sz w:val="24"/>
                <w:szCs w:val="24"/>
                <w:lang w:val="en-US" w:eastAsia="zh-CN"/>
              </w:rPr>
            </w:pPr>
            <w:r>
              <w:rPr>
                <w:rFonts w:ascii="宋体" w:hAnsi="宋体" w:eastAsia="宋体" w:cs="宋体"/>
                <w:spacing w:val="10"/>
                <w:sz w:val="24"/>
                <w:szCs w:val="24"/>
              </w:rPr>
              <w:t>联合体磋商的详见供应商须知正文，且提供《联合协议》。</w:t>
            </w:r>
          </w:p>
        </w:tc>
        <w:tc>
          <w:tcPr>
            <w:tcW w:w="1524" w:type="pct"/>
            <w:vAlign w:val="center"/>
          </w:tcPr>
          <w:p w14:paraId="3AAB3FCB">
            <w:pPr>
              <w:spacing w:after="50" w:line="360" w:lineRule="auto"/>
              <w:ind w:right="-10" w:rightChars="0"/>
              <w:jc w:val="both"/>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《联合协议》详见第六章响应文件格式。</w:t>
            </w:r>
          </w:p>
        </w:tc>
      </w:tr>
      <w:tr w14:paraId="7A47E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14:paraId="16950861">
            <w:pPr>
              <w:adjustRightInd w:val="0"/>
              <w:snapToGrid w:val="0"/>
              <w:spacing w:line="360" w:lineRule="auto"/>
              <w:ind w:right="-10" w:rightChars="0"/>
              <w:jc w:val="center"/>
              <w:rPr>
                <w:rFonts w:hint="default" w:eastAsia="宋体" w:cs="Times New Roman"/>
                <w:color w:val="auto"/>
                <w:kern w:val="2"/>
                <w:sz w:val="24"/>
                <w:szCs w:val="22"/>
                <w:highlight w:val="none"/>
                <w:lang w:val="en-US" w:eastAsia="zh-CN"/>
              </w:rPr>
            </w:pPr>
            <w:r>
              <w:rPr>
                <w:rFonts w:hint="eastAsia" w:cs="Times New Roman"/>
                <w:color w:val="auto"/>
                <w:kern w:val="2"/>
                <w:sz w:val="24"/>
                <w:szCs w:val="22"/>
                <w:highlight w:val="none"/>
                <w:lang w:val="en-US" w:eastAsia="zh-CN"/>
              </w:rPr>
              <w:t>5</w:t>
            </w:r>
          </w:p>
        </w:tc>
        <w:tc>
          <w:tcPr>
            <w:tcW w:w="796" w:type="pct"/>
            <w:vAlign w:val="center"/>
          </w:tcPr>
          <w:p w14:paraId="78F32863">
            <w:pPr>
              <w:adjustRightInd w:val="0"/>
              <w:snapToGrid w:val="0"/>
              <w:spacing w:line="360" w:lineRule="auto"/>
              <w:ind w:right="-10" w:rightChars="0"/>
              <w:jc w:val="center"/>
              <w:rPr>
                <w:rFonts w:ascii="Calibri" w:hAnsi="Calibri" w:cs="Times New Roman"/>
                <w:color w:val="auto"/>
                <w:kern w:val="2"/>
                <w:sz w:val="24"/>
                <w:szCs w:val="24"/>
                <w:highlight w:val="none"/>
              </w:rPr>
            </w:pPr>
            <w:r>
              <w:rPr>
                <w:rFonts w:hint="eastAsia" w:cs="Times New Roman"/>
                <w:color w:val="auto"/>
                <w:kern w:val="2"/>
                <w:sz w:val="24"/>
                <w:highlight w:val="none"/>
              </w:rPr>
              <w:t>授权书</w:t>
            </w:r>
          </w:p>
        </w:tc>
        <w:tc>
          <w:tcPr>
            <w:tcW w:w="2268" w:type="pct"/>
            <w:vAlign w:val="center"/>
          </w:tcPr>
          <w:p w14:paraId="74437AF3">
            <w:pPr>
              <w:adjustRightInd w:val="0"/>
              <w:snapToGrid w:val="0"/>
              <w:spacing w:line="360" w:lineRule="auto"/>
              <w:ind w:right="-10" w:rightChars="0"/>
              <w:jc w:val="left"/>
              <w:rPr>
                <w:rFonts w:ascii="Calibri" w:hAnsi="Calibri" w:cs="Times New Roman"/>
                <w:color w:val="auto"/>
                <w:kern w:val="2"/>
                <w:sz w:val="24"/>
                <w:szCs w:val="22"/>
                <w:highlight w:val="none"/>
              </w:rPr>
            </w:pPr>
            <w:r>
              <w:rPr>
                <w:rFonts w:hint="eastAsia" w:cs="Times New Roman"/>
                <w:color w:val="auto"/>
                <w:kern w:val="2"/>
                <w:sz w:val="24"/>
                <w:szCs w:val="22"/>
                <w:highlight w:val="none"/>
              </w:rPr>
              <w:t>符合</w:t>
            </w:r>
            <w:r>
              <w:rPr>
                <w:rFonts w:hint="eastAsia" w:cs="Times New Roman"/>
                <w:color w:val="auto"/>
                <w:kern w:val="2"/>
                <w:sz w:val="24"/>
                <w:szCs w:val="22"/>
                <w:highlight w:val="none"/>
                <w:lang w:val="en-US" w:eastAsia="zh-CN"/>
              </w:rPr>
              <w:t>磋商</w:t>
            </w:r>
            <w:r>
              <w:rPr>
                <w:rFonts w:hint="eastAsia" w:cs="Times New Roman"/>
                <w:color w:val="auto"/>
                <w:kern w:val="2"/>
                <w:sz w:val="24"/>
                <w:szCs w:val="22"/>
                <w:highlight w:val="none"/>
              </w:rPr>
              <w:t>文件要求。</w:t>
            </w:r>
          </w:p>
        </w:tc>
        <w:tc>
          <w:tcPr>
            <w:tcW w:w="1524" w:type="pct"/>
            <w:vAlign w:val="center"/>
          </w:tcPr>
          <w:p w14:paraId="4197E549">
            <w:pPr>
              <w:spacing w:after="50" w:line="360" w:lineRule="auto"/>
              <w:ind w:right="-10" w:rightChars="0"/>
              <w:jc w:val="both"/>
              <w:rPr>
                <w:rFonts w:hint="eastAsia" w:cs="Times New Roman"/>
                <w:color w:val="auto"/>
                <w:kern w:val="2"/>
                <w:sz w:val="24"/>
                <w:szCs w:val="22"/>
                <w:highlight w:val="none"/>
              </w:rPr>
            </w:pPr>
          </w:p>
        </w:tc>
      </w:tr>
      <w:tr w14:paraId="5676A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410" w:type="pct"/>
            <w:vAlign w:val="center"/>
          </w:tcPr>
          <w:p w14:paraId="1705C987">
            <w:pPr>
              <w:adjustRightInd w:val="0"/>
              <w:snapToGrid w:val="0"/>
              <w:spacing w:line="360" w:lineRule="auto"/>
              <w:ind w:right="-10" w:rightChars="0"/>
              <w:jc w:val="center"/>
              <w:rPr>
                <w:rFonts w:hint="default" w:eastAsia="宋体" w:cs="Times New Roman"/>
                <w:color w:val="auto"/>
                <w:kern w:val="2"/>
                <w:sz w:val="24"/>
                <w:szCs w:val="22"/>
                <w:highlight w:val="none"/>
                <w:lang w:val="en-US" w:eastAsia="zh-CN"/>
              </w:rPr>
            </w:pPr>
            <w:r>
              <w:rPr>
                <w:rFonts w:hint="eastAsia" w:cs="Times New Roman"/>
                <w:color w:val="auto"/>
                <w:kern w:val="2"/>
                <w:sz w:val="24"/>
                <w:szCs w:val="22"/>
                <w:highlight w:val="none"/>
                <w:lang w:val="en-US" w:eastAsia="zh-CN"/>
              </w:rPr>
              <w:t>6</w:t>
            </w:r>
          </w:p>
        </w:tc>
        <w:tc>
          <w:tcPr>
            <w:tcW w:w="796" w:type="pct"/>
            <w:vAlign w:val="center"/>
          </w:tcPr>
          <w:p w14:paraId="4B3BA1D9">
            <w:pPr>
              <w:adjustRightInd w:val="0"/>
              <w:snapToGrid w:val="0"/>
              <w:spacing w:line="360" w:lineRule="auto"/>
              <w:ind w:right="-10" w:rightChars="0"/>
              <w:jc w:val="center"/>
              <w:rPr>
                <w:rFonts w:ascii="Calibri" w:hAnsi="Calibri" w:cs="Times New Roman"/>
                <w:color w:val="auto"/>
                <w:kern w:val="2"/>
                <w:sz w:val="24"/>
                <w:szCs w:val="24"/>
                <w:highlight w:val="none"/>
              </w:rPr>
            </w:pPr>
            <w:r>
              <w:rPr>
                <w:rFonts w:hint="eastAsia" w:cs="Times New Roman"/>
                <w:color w:val="auto"/>
                <w:kern w:val="2"/>
                <w:sz w:val="24"/>
                <w:highlight w:val="none"/>
                <w:lang w:val="en-US" w:eastAsia="zh-CN"/>
              </w:rPr>
              <w:t>磋商</w:t>
            </w:r>
            <w:r>
              <w:rPr>
                <w:rFonts w:hint="eastAsia" w:cs="Times New Roman"/>
                <w:color w:val="auto"/>
                <w:kern w:val="2"/>
                <w:sz w:val="24"/>
                <w:highlight w:val="none"/>
              </w:rPr>
              <w:t>响应函</w:t>
            </w:r>
          </w:p>
        </w:tc>
        <w:tc>
          <w:tcPr>
            <w:tcW w:w="2268" w:type="pct"/>
            <w:vAlign w:val="center"/>
          </w:tcPr>
          <w:p w14:paraId="7B7C340A">
            <w:pPr>
              <w:adjustRightInd w:val="0"/>
              <w:snapToGrid w:val="0"/>
              <w:spacing w:line="360" w:lineRule="auto"/>
              <w:ind w:right="-10" w:rightChars="0"/>
              <w:jc w:val="left"/>
              <w:rPr>
                <w:rFonts w:ascii="Calibri" w:hAnsi="Calibri" w:cs="Times New Roman"/>
                <w:color w:val="auto"/>
                <w:kern w:val="2"/>
                <w:sz w:val="24"/>
                <w:szCs w:val="22"/>
                <w:highlight w:val="none"/>
              </w:rPr>
            </w:pPr>
            <w:r>
              <w:rPr>
                <w:rFonts w:hint="eastAsia" w:cs="Times New Roman"/>
                <w:color w:val="auto"/>
                <w:kern w:val="2"/>
                <w:sz w:val="24"/>
                <w:szCs w:val="22"/>
                <w:highlight w:val="none"/>
              </w:rPr>
              <w:t>符合</w:t>
            </w:r>
            <w:r>
              <w:rPr>
                <w:rFonts w:hint="eastAsia" w:cs="Times New Roman"/>
                <w:color w:val="auto"/>
                <w:kern w:val="2"/>
                <w:sz w:val="24"/>
                <w:szCs w:val="22"/>
                <w:highlight w:val="none"/>
                <w:lang w:val="en-US" w:eastAsia="zh-CN"/>
              </w:rPr>
              <w:t>磋商</w:t>
            </w:r>
            <w:r>
              <w:rPr>
                <w:rFonts w:hint="eastAsia" w:cs="Times New Roman"/>
                <w:color w:val="auto"/>
                <w:kern w:val="2"/>
                <w:sz w:val="24"/>
                <w:szCs w:val="22"/>
                <w:highlight w:val="none"/>
              </w:rPr>
              <w:t>文件要求。</w:t>
            </w:r>
          </w:p>
        </w:tc>
        <w:tc>
          <w:tcPr>
            <w:tcW w:w="1524" w:type="pct"/>
            <w:vAlign w:val="center"/>
          </w:tcPr>
          <w:p w14:paraId="2F4549C7">
            <w:pPr>
              <w:spacing w:after="50" w:line="360" w:lineRule="auto"/>
              <w:ind w:right="-10" w:rightChars="0"/>
              <w:jc w:val="both"/>
              <w:rPr>
                <w:rFonts w:hint="eastAsia" w:cs="Times New Roman"/>
                <w:color w:val="auto"/>
                <w:kern w:val="2"/>
                <w:sz w:val="24"/>
                <w:szCs w:val="28"/>
                <w:highlight w:val="none"/>
              </w:rPr>
            </w:pPr>
          </w:p>
        </w:tc>
      </w:tr>
      <w:tr w14:paraId="6362B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14:paraId="7FED0331">
            <w:pPr>
              <w:adjustRightInd w:val="0"/>
              <w:snapToGrid w:val="0"/>
              <w:spacing w:line="360" w:lineRule="auto"/>
              <w:ind w:right="-10" w:rightChars="0"/>
              <w:jc w:val="center"/>
              <w:rPr>
                <w:rFonts w:hint="default" w:eastAsia="宋体" w:cs="Times New Roman"/>
                <w:color w:val="auto"/>
                <w:kern w:val="2"/>
                <w:sz w:val="24"/>
                <w:szCs w:val="22"/>
                <w:highlight w:val="none"/>
                <w:lang w:val="en-US" w:eastAsia="zh-CN"/>
              </w:rPr>
            </w:pPr>
            <w:r>
              <w:rPr>
                <w:rFonts w:hint="eastAsia" w:cs="Times New Roman"/>
                <w:color w:val="auto"/>
                <w:kern w:val="2"/>
                <w:sz w:val="24"/>
                <w:szCs w:val="22"/>
                <w:highlight w:val="none"/>
                <w:lang w:val="en-US" w:eastAsia="zh-CN"/>
              </w:rPr>
              <w:t>7</w:t>
            </w:r>
          </w:p>
        </w:tc>
        <w:tc>
          <w:tcPr>
            <w:tcW w:w="796" w:type="pct"/>
            <w:vAlign w:val="center"/>
          </w:tcPr>
          <w:p w14:paraId="20AC9FFE">
            <w:pPr>
              <w:spacing w:after="50" w:line="360" w:lineRule="auto"/>
              <w:ind w:right="-10" w:rightChars="0"/>
              <w:jc w:val="center"/>
              <w:rPr>
                <w:rFonts w:ascii="Calibri" w:hAnsi="Calibri" w:cs="Times New Roman"/>
                <w:color w:val="auto"/>
                <w:kern w:val="2"/>
                <w:sz w:val="24"/>
                <w:szCs w:val="24"/>
                <w:highlight w:val="none"/>
              </w:rPr>
            </w:pPr>
            <w:r>
              <w:rPr>
                <w:rFonts w:hint="eastAsia" w:asciiTheme="minorEastAsia" w:hAnsiTheme="minorEastAsia" w:eastAsiaTheme="minorEastAsia"/>
                <w:color w:val="auto"/>
                <w:sz w:val="24"/>
                <w:szCs w:val="28"/>
                <w:highlight w:val="none"/>
                <w:lang w:val="en-US" w:eastAsia="zh-CN"/>
              </w:rPr>
              <w:t>磋商</w:t>
            </w:r>
            <w:r>
              <w:rPr>
                <w:rFonts w:hint="eastAsia" w:asciiTheme="minorEastAsia" w:hAnsiTheme="minorEastAsia" w:eastAsiaTheme="minorEastAsia"/>
                <w:color w:val="auto"/>
                <w:sz w:val="24"/>
                <w:szCs w:val="28"/>
                <w:highlight w:val="none"/>
              </w:rPr>
              <w:t>报价</w:t>
            </w:r>
          </w:p>
        </w:tc>
        <w:tc>
          <w:tcPr>
            <w:tcW w:w="2268" w:type="pct"/>
            <w:vAlign w:val="center"/>
          </w:tcPr>
          <w:p w14:paraId="0FBA4E4E">
            <w:pPr>
              <w:spacing w:after="50" w:line="360" w:lineRule="auto"/>
              <w:ind w:right="-10" w:rightChars="0"/>
              <w:jc w:val="both"/>
              <w:rPr>
                <w:rFonts w:ascii="Calibri" w:hAnsi="Calibri" w:cs="Times New Roman"/>
                <w:color w:val="auto"/>
                <w:kern w:val="2"/>
                <w:sz w:val="24"/>
                <w:szCs w:val="22"/>
                <w:highlight w:val="none"/>
              </w:rPr>
            </w:pPr>
            <w:r>
              <w:rPr>
                <w:rFonts w:hint="eastAsia" w:asciiTheme="minorEastAsia" w:hAnsiTheme="minorEastAsia" w:eastAsiaTheme="minorEastAsia"/>
                <w:color w:val="auto"/>
                <w:sz w:val="24"/>
                <w:szCs w:val="28"/>
                <w:highlight w:val="none"/>
              </w:rPr>
              <w:t>符合</w:t>
            </w:r>
            <w:r>
              <w:rPr>
                <w:rFonts w:hint="eastAsia" w:cs="Times New Roman"/>
                <w:color w:val="auto"/>
                <w:kern w:val="2"/>
                <w:sz w:val="24"/>
                <w:szCs w:val="22"/>
                <w:highlight w:val="none"/>
                <w:lang w:val="en-US" w:eastAsia="zh-CN"/>
              </w:rPr>
              <w:t>磋商</w:t>
            </w:r>
            <w:r>
              <w:rPr>
                <w:rFonts w:hint="eastAsia"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lang w:val="en-US" w:eastAsia="zh-CN"/>
              </w:rPr>
              <w:t>要求</w:t>
            </w:r>
          </w:p>
        </w:tc>
        <w:tc>
          <w:tcPr>
            <w:tcW w:w="1524" w:type="pct"/>
            <w:vAlign w:val="center"/>
          </w:tcPr>
          <w:p w14:paraId="661F426B">
            <w:pPr>
              <w:adjustRightInd w:val="0"/>
              <w:snapToGrid w:val="0"/>
              <w:spacing w:line="360" w:lineRule="auto"/>
              <w:ind w:right="-10" w:rightChars="0"/>
              <w:jc w:val="left"/>
              <w:rPr>
                <w:rFonts w:hint="eastAsia" w:cs="Times New Roman"/>
                <w:color w:val="auto"/>
                <w:kern w:val="2"/>
                <w:sz w:val="24"/>
                <w:szCs w:val="22"/>
                <w:highlight w:val="none"/>
              </w:rPr>
            </w:pPr>
          </w:p>
        </w:tc>
      </w:tr>
      <w:tr w14:paraId="7A95E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14:paraId="6D06AE6F">
            <w:pPr>
              <w:adjustRightInd w:val="0"/>
              <w:snapToGrid w:val="0"/>
              <w:spacing w:line="360" w:lineRule="auto"/>
              <w:ind w:right="-10" w:rightChars="0"/>
              <w:jc w:val="center"/>
              <w:rPr>
                <w:rFonts w:hint="default" w:eastAsia="宋体" w:cs="Times New Roman"/>
                <w:color w:val="auto"/>
                <w:kern w:val="2"/>
                <w:sz w:val="24"/>
                <w:szCs w:val="22"/>
                <w:highlight w:val="none"/>
                <w:lang w:val="en-US" w:eastAsia="zh-CN"/>
              </w:rPr>
            </w:pPr>
            <w:r>
              <w:rPr>
                <w:rFonts w:hint="eastAsia" w:cs="Times New Roman"/>
                <w:color w:val="auto"/>
                <w:kern w:val="2"/>
                <w:sz w:val="24"/>
                <w:szCs w:val="22"/>
                <w:highlight w:val="none"/>
                <w:lang w:val="en-US" w:eastAsia="zh-CN"/>
              </w:rPr>
              <w:t>8</w:t>
            </w:r>
          </w:p>
        </w:tc>
        <w:tc>
          <w:tcPr>
            <w:tcW w:w="796" w:type="pct"/>
            <w:vAlign w:val="center"/>
          </w:tcPr>
          <w:p w14:paraId="4EB6A44F">
            <w:pPr>
              <w:spacing w:after="50" w:line="360" w:lineRule="auto"/>
              <w:ind w:right="-10" w:rightChars="0"/>
              <w:jc w:val="both"/>
              <w:rPr>
                <w:rFonts w:ascii="Calibri" w:hAnsi="Calibri" w:cs="Times New Roman"/>
                <w:color w:val="auto"/>
                <w:kern w:val="2"/>
                <w:sz w:val="24"/>
                <w:szCs w:val="24"/>
                <w:highlight w:val="none"/>
              </w:rPr>
            </w:pPr>
            <w:r>
              <w:rPr>
                <w:rFonts w:hint="eastAsia" w:ascii="宋体" w:hAnsi="宋体" w:eastAsia="宋体" w:cs="Times New Roman"/>
                <w:color w:val="auto"/>
                <w:kern w:val="2"/>
                <w:sz w:val="24"/>
                <w:szCs w:val="22"/>
                <w:highlight w:val="none"/>
                <w:lang w:val="en-US" w:eastAsia="zh-CN"/>
              </w:rPr>
              <w:t>其他要求</w:t>
            </w:r>
          </w:p>
        </w:tc>
        <w:tc>
          <w:tcPr>
            <w:tcW w:w="2268" w:type="pct"/>
            <w:vAlign w:val="center"/>
          </w:tcPr>
          <w:p w14:paraId="02182933">
            <w:pPr>
              <w:spacing w:after="50" w:line="360" w:lineRule="auto"/>
              <w:ind w:right="-10" w:rightChars="0"/>
              <w:jc w:val="both"/>
              <w:rPr>
                <w:rFonts w:hint="eastAsia" w:ascii="宋体" w:hAnsi="宋体" w:eastAsia="宋体" w:cs="Times New Roman"/>
                <w:color w:val="auto"/>
                <w:kern w:val="2"/>
                <w:sz w:val="24"/>
                <w:szCs w:val="22"/>
                <w:highlight w:val="none"/>
                <w:lang w:val="en-US" w:eastAsia="zh-CN"/>
              </w:rPr>
            </w:pPr>
            <w:r>
              <w:rPr>
                <w:rFonts w:hint="eastAsia" w:ascii="宋体" w:hAnsi="宋体" w:eastAsia="宋体" w:cs="Times New Roman"/>
                <w:color w:val="auto"/>
                <w:kern w:val="2"/>
                <w:sz w:val="24"/>
                <w:szCs w:val="22"/>
                <w:highlight w:val="none"/>
                <w:lang w:val="en-US" w:eastAsia="zh-CN"/>
              </w:rPr>
              <w:t xml:space="preserve">符合法律、行政法规规定的其他条 </w:t>
            </w:r>
          </w:p>
          <w:p w14:paraId="3FF3A611">
            <w:pPr>
              <w:spacing w:after="50" w:line="360" w:lineRule="auto"/>
              <w:ind w:right="-10" w:rightChars="0"/>
              <w:jc w:val="both"/>
              <w:rPr>
                <w:rFonts w:ascii="Calibri" w:hAnsi="Calibri" w:cs="Times New Roman"/>
                <w:color w:val="auto"/>
                <w:kern w:val="2"/>
                <w:sz w:val="24"/>
                <w:szCs w:val="22"/>
                <w:highlight w:val="none"/>
              </w:rPr>
            </w:pPr>
            <w:r>
              <w:rPr>
                <w:rFonts w:hint="eastAsia" w:ascii="宋体" w:hAnsi="宋体" w:eastAsia="宋体" w:cs="Times New Roman"/>
                <w:color w:val="auto"/>
                <w:kern w:val="2"/>
                <w:sz w:val="24"/>
                <w:szCs w:val="22"/>
                <w:highlight w:val="none"/>
                <w:lang w:val="en-US" w:eastAsia="zh-CN"/>
              </w:rPr>
              <w:t>件或磋商文件列明的其他要求</w:t>
            </w:r>
          </w:p>
        </w:tc>
        <w:tc>
          <w:tcPr>
            <w:tcW w:w="1524" w:type="pct"/>
            <w:vAlign w:val="center"/>
          </w:tcPr>
          <w:p w14:paraId="0F4B8504">
            <w:pPr>
              <w:adjustRightInd w:val="0"/>
              <w:snapToGrid w:val="0"/>
              <w:spacing w:line="360" w:lineRule="auto"/>
              <w:ind w:right="-10" w:rightChars="0"/>
              <w:jc w:val="center"/>
              <w:rPr>
                <w:rFonts w:hint="eastAsia" w:cs="Times New Roman"/>
                <w:color w:val="auto"/>
                <w:kern w:val="2"/>
                <w:sz w:val="24"/>
                <w:szCs w:val="22"/>
                <w:highlight w:val="none"/>
              </w:rPr>
            </w:pPr>
          </w:p>
        </w:tc>
      </w:tr>
      <w:tr w14:paraId="13393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14:paraId="0008EFD0">
            <w:pPr>
              <w:adjustRightInd w:val="0"/>
              <w:snapToGrid w:val="0"/>
              <w:spacing w:line="360" w:lineRule="auto"/>
              <w:ind w:right="-10" w:rightChars="0"/>
              <w:jc w:val="center"/>
              <w:rPr>
                <w:rFonts w:cs="Times New Roman"/>
                <w:color w:val="auto"/>
                <w:kern w:val="2"/>
                <w:sz w:val="24"/>
                <w:szCs w:val="22"/>
                <w:highlight w:val="none"/>
              </w:rPr>
            </w:pPr>
            <w:r>
              <w:rPr>
                <w:rFonts w:hint="eastAsia" w:cs="Times New Roman" w:asciiTheme="minorEastAsia" w:hAnsiTheme="minorEastAsia" w:eastAsiaTheme="minorEastAsia"/>
                <w:color w:val="auto"/>
                <w:kern w:val="2"/>
                <w:sz w:val="24"/>
                <w:szCs w:val="22"/>
                <w:highlight w:val="none"/>
                <w:lang w:val="en-US" w:eastAsia="zh-CN"/>
              </w:rPr>
              <w:t>...</w:t>
            </w:r>
          </w:p>
        </w:tc>
        <w:tc>
          <w:tcPr>
            <w:tcW w:w="796" w:type="pct"/>
            <w:vAlign w:val="center"/>
          </w:tcPr>
          <w:p w14:paraId="686E8A46">
            <w:pPr>
              <w:adjustRightInd w:val="0"/>
              <w:snapToGrid w:val="0"/>
              <w:spacing w:line="360" w:lineRule="auto"/>
              <w:ind w:right="-10" w:rightChars="0"/>
              <w:jc w:val="center"/>
              <w:rPr>
                <w:rFonts w:ascii="Calibri" w:hAnsi="Calibri" w:cs="Times New Roman"/>
                <w:color w:val="auto"/>
                <w:kern w:val="2"/>
                <w:sz w:val="24"/>
                <w:szCs w:val="24"/>
                <w:highlight w:val="none"/>
              </w:rPr>
            </w:pPr>
            <w:r>
              <w:rPr>
                <w:rFonts w:hint="eastAsia" w:cs="Times New Roman" w:asciiTheme="minorEastAsia" w:hAnsiTheme="minorEastAsia" w:eastAsiaTheme="minorEastAsia"/>
                <w:color w:val="auto"/>
                <w:kern w:val="2"/>
                <w:sz w:val="24"/>
                <w:szCs w:val="22"/>
                <w:highlight w:val="none"/>
                <w:lang w:val="en-US" w:eastAsia="zh-CN"/>
              </w:rPr>
              <w:t>...</w:t>
            </w:r>
          </w:p>
        </w:tc>
        <w:tc>
          <w:tcPr>
            <w:tcW w:w="2268" w:type="pct"/>
            <w:vAlign w:val="center"/>
          </w:tcPr>
          <w:p w14:paraId="3387FBD9">
            <w:pPr>
              <w:adjustRightInd w:val="0"/>
              <w:snapToGrid w:val="0"/>
              <w:spacing w:line="360" w:lineRule="auto"/>
              <w:ind w:right="-10" w:rightChars="0"/>
              <w:jc w:val="left"/>
              <w:rPr>
                <w:rFonts w:ascii="Calibri" w:hAnsi="Calibri" w:cs="Times New Roman"/>
                <w:color w:val="auto"/>
                <w:kern w:val="2"/>
                <w:sz w:val="24"/>
                <w:szCs w:val="22"/>
                <w:highlight w:val="none"/>
              </w:rPr>
            </w:pPr>
            <w:r>
              <w:rPr>
                <w:rFonts w:hint="eastAsia" w:cs="Times New Roman" w:asciiTheme="minorEastAsia" w:hAnsiTheme="minorEastAsia" w:eastAsiaTheme="minorEastAsia"/>
                <w:color w:val="auto"/>
                <w:kern w:val="2"/>
                <w:sz w:val="24"/>
                <w:szCs w:val="22"/>
                <w:highlight w:val="none"/>
                <w:lang w:val="en-US" w:eastAsia="zh-CN"/>
              </w:rPr>
              <w:t>...</w:t>
            </w:r>
          </w:p>
        </w:tc>
        <w:tc>
          <w:tcPr>
            <w:tcW w:w="1524" w:type="pct"/>
            <w:vAlign w:val="center"/>
          </w:tcPr>
          <w:p w14:paraId="42E5E728">
            <w:pPr>
              <w:adjustRightInd w:val="0"/>
              <w:snapToGrid w:val="0"/>
              <w:spacing w:line="360" w:lineRule="auto"/>
              <w:ind w:right="-10" w:rightChars="0"/>
              <w:jc w:val="left"/>
              <w:rPr>
                <w:rFonts w:hint="eastAsia" w:asciiTheme="majorEastAsia" w:hAnsiTheme="majorEastAsia" w:eastAsiaTheme="majorEastAsia"/>
                <w:color w:val="auto"/>
                <w:sz w:val="24"/>
                <w:highlight w:val="none"/>
              </w:rPr>
            </w:pPr>
          </w:p>
        </w:tc>
      </w:tr>
      <w:tr w14:paraId="32009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475" w:type="pct"/>
            <w:gridSpan w:val="3"/>
            <w:tcBorders>
              <w:bottom w:val="single" w:color="auto" w:sz="4" w:space="0"/>
            </w:tcBorders>
            <w:vAlign w:val="center"/>
          </w:tcPr>
          <w:p w14:paraId="38A61B6D">
            <w:pPr>
              <w:adjustRightInd w:val="0"/>
              <w:snapToGrid w:val="0"/>
              <w:ind w:right="-10"/>
              <w:jc w:val="left"/>
              <w:rPr>
                <w:rFonts w:ascii="Calibri" w:hAnsi="Calibri" w:cs="Times New Roman"/>
                <w:color w:val="auto"/>
                <w:kern w:val="2"/>
                <w:sz w:val="24"/>
                <w:szCs w:val="22"/>
                <w:highlight w:val="none"/>
              </w:rPr>
            </w:pPr>
            <w:r>
              <w:rPr>
                <w:rFonts w:hint="eastAsia" w:ascii="Calibri" w:hAnsi="Calibri" w:cs="Times New Roman"/>
                <w:color w:val="auto"/>
                <w:kern w:val="2"/>
                <w:sz w:val="24"/>
                <w:szCs w:val="22"/>
                <w:highlight w:val="none"/>
              </w:rPr>
              <w:t>评审指标通过标准：供应商必须通过上述全部指标。</w:t>
            </w:r>
          </w:p>
        </w:tc>
        <w:tc>
          <w:tcPr>
            <w:tcW w:w="1524" w:type="pct"/>
            <w:tcBorders>
              <w:bottom w:val="single" w:color="auto" w:sz="4" w:space="0"/>
            </w:tcBorders>
            <w:vAlign w:val="center"/>
          </w:tcPr>
          <w:p w14:paraId="7B04D1DE">
            <w:pPr>
              <w:adjustRightInd w:val="0"/>
              <w:snapToGrid w:val="0"/>
              <w:ind w:right="-10"/>
              <w:jc w:val="left"/>
              <w:rPr>
                <w:rFonts w:hint="eastAsia" w:ascii="Calibri" w:hAnsi="Calibri" w:cs="Times New Roman"/>
                <w:color w:val="auto"/>
                <w:kern w:val="2"/>
                <w:sz w:val="24"/>
                <w:szCs w:val="22"/>
                <w:highlight w:val="none"/>
              </w:rPr>
            </w:pPr>
          </w:p>
        </w:tc>
      </w:tr>
    </w:tbl>
    <w:p w14:paraId="5D43E26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b/>
          <w:bCs/>
          <w:color w:val="auto"/>
          <w:sz w:val="24"/>
          <w:highlight w:val="none"/>
        </w:rPr>
        <w:t>初审指标通过标准：</w:t>
      </w:r>
      <w:r>
        <w:rPr>
          <w:rFonts w:hint="eastAsia" w:asciiTheme="minorEastAsia" w:hAnsiTheme="minorEastAsia" w:eastAsiaTheme="minorEastAsia"/>
          <w:color w:val="auto"/>
          <w:sz w:val="24"/>
          <w:highlight w:val="none"/>
        </w:rPr>
        <w:t>供应商必须通过初审表中的全部评审指标。</w:t>
      </w:r>
    </w:p>
    <w:p w14:paraId="13FD85C9">
      <w:pPr>
        <w:spacing w:line="360" w:lineRule="auto"/>
        <w:ind w:firstLine="435"/>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2.2综合评分</w:t>
      </w:r>
    </w:p>
    <w:p w14:paraId="21860AC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磋商小组按照下表对</w:t>
      </w:r>
      <w:r>
        <w:rPr>
          <w:rFonts w:hint="eastAsia"/>
          <w:color w:val="auto"/>
          <w:sz w:val="24"/>
          <w:highlight w:val="none"/>
        </w:rPr>
        <w:t>进入综合评分的所有供应商的</w:t>
      </w:r>
      <w:r>
        <w:rPr>
          <w:rFonts w:hint="eastAsia" w:asciiTheme="minorEastAsia" w:hAnsiTheme="minorEastAsia" w:eastAsiaTheme="minorEastAsia"/>
          <w:color w:val="auto"/>
          <w:sz w:val="24"/>
          <w:highlight w:val="none"/>
        </w:rPr>
        <w:t>响应文件进行综合评分。</w:t>
      </w:r>
    </w:p>
    <w:p w14:paraId="21A66EA5">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.2</w:t>
      </w:r>
      <w:r>
        <w:rPr>
          <w:rFonts w:hint="eastAsia" w:asciiTheme="minorEastAsia" w:hAnsiTheme="minorEastAsia" w:eastAsiaTheme="minorEastAsia"/>
          <w:color w:val="auto"/>
          <w:sz w:val="24"/>
          <w:highlight w:val="none"/>
        </w:rPr>
        <w:t>本项目综合评分满分为1</w:t>
      </w:r>
      <w:r>
        <w:rPr>
          <w:rFonts w:asciiTheme="minorEastAsia" w:hAnsiTheme="minorEastAsia" w:eastAsiaTheme="minorEastAsia"/>
          <w:color w:val="auto"/>
          <w:sz w:val="24"/>
          <w:highlight w:val="none"/>
        </w:rPr>
        <w:t>00</w:t>
      </w:r>
      <w:r>
        <w:rPr>
          <w:rFonts w:hint="eastAsia" w:asciiTheme="minorEastAsia" w:hAnsiTheme="minorEastAsia" w:eastAsiaTheme="minorEastAsia"/>
          <w:color w:val="auto"/>
          <w:sz w:val="24"/>
          <w:highlight w:val="none"/>
        </w:rPr>
        <w:t>分，其中：技术资信分值占总分值的权重为</w:t>
      </w:r>
      <w:r>
        <w:rPr>
          <w:rFonts w:hint="eastAsia" w:asciiTheme="minorEastAsia" w:hAnsiTheme="minorEastAsia" w:eastAsiaTheme="minorEastAsia"/>
          <w:color w:val="auto"/>
          <w:sz w:val="24"/>
          <w:highlight w:val="none"/>
          <w:u w:val="single"/>
          <w:lang w:val="en-US" w:eastAsia="zh-CN"/>
        </w:rPr>
        <w:t>90</w:t>
      </w:r>
      <w:r>
        <w:rPr>
          <w:rFonts w:asciiTheme="minorEastAsia" w:hAnsiTheme="minorEastAsia" w:eastAsiaTheme="minorEastAsia"/>
          <w:color w:val="auto"/>
          <w:sz w:val="24"/>
          <w:highlight w:val="none"/>
        </w:rPr>
        <w:t>%，价格分值占总分值的权重为</w:t>
      </w:r>
      <w:r>
        <w:rPr>
          <w:rFonts w:hint="eastAsia" w:asciiTheme="minorEastAsia" w:hAnsiTheme="minorEastAsia" w:eastAsiaTheme="minorEastAsia"/>
          <w:color w:val="auto"/>
          <w:sz w:val="24"/>
          <w:highlight w:val="none"/>
          <w:u w:val="single"/>
          <w:lang w:val="en-US" w:eastAsia="zh-CN"/>
        </w:rPr>
        <w:t>10</w:t>
      </w:r>
      <w:r>
        <w:rPr>
          <w:rFonts w:asciiTheme="minorEastAsia" w:hAnsiTheme="minorEastAsia" w:eastAsiaTheme="minorEastAsia"/>
          <w:color w:val="auto"/>
          <w:sz w:val="24"/>
          <w:highlight w:val="none"/>
          <w:u w:val="single"/>
        </w:rPr>
        <w:t xml:space="preserve"> </w:t>
      </w:r>
      <w:r>
        <w:rPr>
          <w:rFonts w:asciiTheme="minorEastAsia" w:hAnsiTheme="minorEastAsia" w:eastAsiaTheme="minorEastAsia"/>
          <w:color w:val="auto"/>
          <w:sz w:val="24"/>
          <w:highlight w:val="none"/>
        </w:rPr>
        <w:t>%。具体评分细则如下：</w:t>
      </w:r>
    </w:p>
    <w:tbl>
      <w:tblPr>
        <w:tblStyle w:val="5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8"/>
        <w:gridCol w:w="1720"/>
        <w:gridCol w:w="3745"/>
        <w:gridCol w:w="1579"/>
      </w:tblGrid>
      <w:tr w14:paraId="529D0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867" w:type="pct"/>
            <w:tcBorders>
              <w:top w:val="single" w:color="auto" w:sz="4" w:space="0"/>
              <w:left w:val="single" w:color="auto" w:sz="4" w:space="0"/>
              <w:bottom w:val="single" w:color="auto" w:sz="4" w:space="0"/>
              <w:right w:val="single" w:color="auto" w:sz="4" w:space="0"/>
            </w:tcBorders>
            <w:vAlign w:val="center"/>
          </w:tcPr>
          <w:p w14:paraId="6908D642">
            <w:pPr>
              <w:spacing w:line="360" w:lineRule="auto"/>
              <w:jc w:val="center"/>
              <w:rPr>
                <w:rFonts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rPr>
              <w:t>类别</w:t>
            </w:r>
          </w:p>
        </w:tc>
        <w:tc>
          <w:tcPr>
            <w:tcW w:w="1009" w:type="pct"/>
            <w:tcBorders>
              <w:top w:val="single" w:color="auto" w:sz="4" w:space="0"/>
              <w:left w:val="single" w:color="auto" w:sz="4" w:space="0"/>
              <w:bottom w:val="single" w:color="auto" w:sz="4" w:space="0"/>
              <w:right w:val="single" w:color="auto" w:sz="4" w:space="0"/>
            </w:tcBorders>
            <w:vAlign w:val="center"/>
          </w:tcPr>
          <w:p w14:paraId="75676054">
            <w:pPr>
              <w:spacing w:line="360" w:lineRule="auto"/>
              <w:jc w:val="center"/>
              <w:rPr>
                <w:rFonts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rPr>
              <w:t>评分内容</w:t>
            </w:r>
          </w:p>
        </w:tc>
        <w:tc>
          <w:tcPr>
            <w:tcW w:w="2197" w:type="pct"/>
            <w:tcBorders>
              <w:top w:val="single" w:color="auto" w:sz="4" w:space="0"/>
              <w:left w:val="single" w:color="auto" w:sz="4" w:space="0"/>
              <w:bottom w:val="single" w:color="auto" w:sz="4" w:space="0"/>
              <w:right w:val="single" w:color="auto" w:sz="4" w:space="0"/>
            </w:tcBorders>
            <w:vAlign w:val="center"/>
          </w:tcPr>
          <w:p w14:paraId="67948FC0">
            <w:pPr>
              <w:spacing w:line="360" w:lineRule="auto"/>
              <w:jc w:val="center"/>
              <w:rPr>
                <w:rFonts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rPr>
              <w:t>评分标准</w:t>
            </w:r>
          </w:p>
        </w:tc>
        <w:tc>
          <w:tcPr>
            <w:tcW w:w="926" w:type="pct"/>
            <w:tcBorders>
              <w:top w:val="single" w:color="auto" w:sz="4" w:space="0"/>
              <w:left w:val="single" w:color="auto" w:sz="4" w:space="0"/>
              <w:bottom w:val="single" w:color="auto" w:sz="4" w:space="0"/>
              <w:right w:val="single" w:color="auto" w:sz="4" w:space="0"/>
            </w:tcBorders>
            <w:vAlign w:val="center"/>
          </w:tcPr>
          <w:p w14:paraId="39F8E196">
            <w:pPr>
              <w:spacing w:line="360" w:lineRule="auto"/>
              <w:jc w:val="center"/>
              <w:rPr>
                <w:rFonts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rPr>
              <w:t>分值范围</w:t>
            </w:r>
          </w:p>
        </w:tc>
      </w:tr>
      <w:tr w14:paraId="25776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restart"/>
            <w:tcBorders>
              <w:top w:val="single" w:color="auto" w:sz="4" w:space="0"/>
              <w:left w:val="single" w:color="auto" w:sz="4" w:space="0"/>
              <w:right w:val="single" w:color="auto" w:sz="4" w:space="0"/>
            </w:tcBorders>
            <w:vAlign w:val="center"/>
          </w:tcPr>
          <w:p w14:paraId="6D5DD036">
            <w:pPr>
              <w:spacing w:line="360" w:lineRule="auto"/>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技术资信分</w:t>
            </w:r>
          </w:p>
          <w:p w14:paraId="6D1971C6">
            <w:pPr>
              <w:spacing w:line="360" w:lineRule="auto"/>
              <w:jc w:val="center"/>
              <w:rPr>
                <w:rFonts w:asciiTheme="minorEastAsia" w:hAnsiTheme="minorEastAsia" w:eastAsiaTheme="minorEastAsia"/>
                <w:b/>
                <w:bCs/>
                <w:color w:val="auto"/>
                <w:sz w:val="24"/>
                <w:highlight w:val="none"/>
              </w:rPr>
            </w:pP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90</w:t>
            </w:r>
            <w:r>
              <w:rPr>
                <w:rFonts w:hint="eastAsia" w:asciiTheme="minorEastAsia" w:hAnsiTheme="minorEastAsia" w:eastAsiaTheme="minorEastAsia"/>
                <w:color w:val="auto"/>
                <w:sz w:val="24"/>
                <w:highlight w:val="none"/>
              </w:rPr>
              <w:t>分）</w:t>
            </w:r>
          </w:p>
        </w:tc>
        <w:tc>
          <w:tcPr>
            <w:tcW w:w="1009" w:type="pct"/>
            <w:tcBorders>
              <w:top w:val="single" w:color="auto" w:sz="4" w:space="0"/>
              <w:left w:val="single" w:color="auto" w:sz="4" w:space="0"/>
              <w:bottom w:val="single" w:color="auto" w:sz="4" w:space="0"/>
              <w:right w:val="single" w:color="auto" w:sz="4" w:space="0"/>
            </w:tcBorders>
            <w:vAlign w:val="center"/>
          </w:tcPr>
          <w:p w14:paraId="5DEC7B96">
            <w:pPr>
              <w:spacing w:line="360" w:lineRule="auto"/>
              <w:jc w:val="center"/>
              <w:rPr>
                <w:rFonts w:hint="default" w:asciiTheme="minorEastAsia" w:hAnsiTheme="minorEastAsia" w:eastAsiaTheme="minorEastAsia"/>
                <w:bCs/>
                <w:color w:val="auto"/>
                <w:sz w:val="24"/>
                <w:highlight w:val="none"/>
                <w:lang w:val="en-US" w:eastAsia="zh-CN"/>
              </w:rPr>
            </w:pPr>
            <w:r>
              <w:rPr>
                <w:rFonts w:hint="eastAsia" w:asciiTheme="minorEastAsia" w:hAnsiTheme="minorEastAsia" w:eastAsiaTheme="minorEastAsia"/>
                <w:bCs/>
                <w:color w:val="auto"/>
                <w:sz w:val="24"/>
                <w:highlight w:val="none"/>
                <w:lang w:val="en-US" w:eastAsia="zh-CN"/>
              </w:rPr>
              <w:t>施工组织设计</w:t>
            </w:r>
          </w:p>
        </w:tc>
        <w:tc>
          <w:tcPr>
            <w:tcW w:w="2197" w:type="pct"/>
            <w:tcBorders>
              <w:top w:val="single" w:color="auto" w:sz="4" w:space="0"/>
              <w:left w:val="single" w:color="auto" w:sz="4" w:space="0"/>
              <w:bottom w:val="single" w:color="auto" w:sz="4" w:space="0"/>
              <w:right w:val="single" w:color="auto" w:sz="4" w:space="0"/>
            </w:tcBorders>
            <w:vAlign w:val="center"/>
          </w:tcPr>
          <w:p w14:paraId="10BD6454">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b/>
                <w:bCs/>
                <w:color w:val="auto"/>
                <w:sz w:val="24"/>
                <w:highlight w:val="none"/>
                <w:lang w:val="en-US" w:eastAsia="zh-CN"/>
              </w:rPr>
              <w:t>一、明确目标和任务：根据项目的建设目标、功能要求、质量标准、工期要求等。对项目的施工条件、环境影响、资源需求等进行分析，为后续的施工方案制定提供依据：</w:t>
            </w:r>
          </w:p>
          <w:p w14:paraId="33459157">
            <w:pPr>
              <w:spacing w:line="360" w:lineRule="auto"/>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1）方案覆盖全面、要点突出、内容完整详实，表述清晰，与本项目实际需求有较高适用度，利于项目实施的</w:t>
            </w:r>
            <w:r>
              <w:rPr>
                <w:rFonts w:hint="eastAsia" w:asciiTheme="minorEastAsia" w:hAnsiTheme="minorEastAsia" w:eastAsiaTheme="minorEastAsia"/>
                <w:b/>
                <w:bCs/>
                <w:color w:val="auto"/>
                <w:sz w:val="24"/>
                <w:highlight w:val="none"/>
                <w:lang w:val="en-US" w:eastAsia="zh-CN"/>
              </w:rPr>
              <w:t>得9分</w:t>
            </w:r>
            <w:r>
              <w:rPr>
                <w:rFonts w:hint="eastAsia" w:asciiTheme="minorEastAsia" w:hAnsiTheme="minorEastAsia" w:eastAsiaTheme="minorEastAsia"/>
                <w:color w:val="auto"/>
                <w:sz w:val="24"/>
                <w:highlight w:val="none"/>
                <w:lang w:val="en-US" w:eastAsia="zh-CN"/>
              </w:rPr>
              <w:t>；</w:t>
            </w:r>
          </w:p>
          <w:p w14:paraId="60F8F932">
            <w:pPr>
              <w:spacing w:line="360" w:lineRule="auto"/>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2）内容完整详实，表述清晰，与本项目实际要求有适应度，符合项目实施要求的</w:t>
            </w:r>
            <w:r>
              <w:rPr>
                <w:rFonts w:hint="eastAsia" w:asciiTheme="minorEastAsia" w:hAnsiTheme="minorEastAsia" w:eastAsiaTheme="minorEastAsia"/>
                <w:b/>
                <w:bCs/>
                <w:color w:val="auto"/>
                <w:sz w:val="24"/>
                <w:highlight w:val="none"/>
                <w:lang w:val="en-US" w:eastAsia="zh-CN"/>
              </w:rPr>
              <w:t>得6分</w:t>
            </w:r>
            <w:r>
              <w:rPr>
                <w:rFonts w:hint="eastAsia" w:asciiTheme="minorEastAsia" w:hAnsiTheme="minorEastAsia" w:eastAsiaTheme="minorEastAsia"/>
                <w:color w:val="auto"/>
                <w:sz w:val="24"/>
                <w:highlight w:val="none"/>
                <w:lang w:val="en-US" w:eastAsia="zh-CN"/>
              </w:rPr>
              <w:t>；</w:t>
            </w:r>
          </w:p>
          <w:p w14:paraId="6DD229C5">
            <w:pPr>
              <w:spacing w:line="360" w:lineRule="auto"/>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3）内容完整，要点突出不够明显，具体细节有待完善的</w:t>
            </w:r>
            <w:r>
              <w:rPr>
                <w:rFonts w:hint="eastAsia" w:asciiTheme="minorEastAsia" w:hAnsiTheme="minorEastAsia" w:eastAsiaTheme="minorEastAsia"/>
                <w:b/>
                <w:bCs/>
                <w:color w:val="auto"/>
                <w:sz w:val="24"/>
                <w:highlight w:val="none"/>
                <w:lang w:val="en-US" w:eastAsia="zh-CN"/>
              </w:rPr>
              <w:t>得3分</w:t>
            </w:r>
            <w:r>
              <w:rPr>
                <w:rFonts w:hint="eastAsia" w:asciiTheme="minorEastAsia" w:hAnsiTheme="minorEastAsia" w:eastAsiaTheme="minorEastAsia"/>
                <w:color w:val="auto"/>
                <w:sz w:val="24"/>
                <w:highlight w:val="none"/>
                <w:lang w:val="en-US" w:eastAsia="zh-CN"/>
              </w:rPr>
              <w:t>；</w:t>
            </w:r>
          </w:p>
          <w:p w14:paraId="439BCF48">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4）未提供相关内容的不得分。 </w:t>
            </w:r>
          </w:p>
          <w:p w14:paraId="0AC1E096">
            <w:pPr>
              <w:keepNext w:val="0"/>
              <w:keepLines w:val="0"/>
              <w:widowControl/>
              <w:suppressLineNumbers w:val="0"/>
              <w:jc w:val="left"/>
              <w:rPr>
                <w:rFonts w:hint="eastAsia" w:asciiTheme="minorEastAsia" w:hAnsiTheme="minorEastAsia" w:eastAsiaTheme="minorEastAsia"/>
                <w:color w:val="auto"/>
                <w:sz w:val="24"/>
                <w:highlight w:val="none"/>
              </w:rPr>
            </w:pPr>
            <w:r>
              <w:rPr>
                <w:rFonts w:hint="eastAsia" w:asciiTheme="minorEastAsia" w:hAnsiTheme="minorEastAsia" w:eastAsiaTheme="minorEastAsia"/>
                <w:b/>
                <w:bCs/>
                <w:color w:val="auto"/>
                <w:sz w:val="24"/>
                <w:highlight w:val="none"/>
                <w:lang w:val="en-US" w:eastAsia="zh-CN"/>
              </w:rPr>
              <w:t>二、合理划分排查检测、清淤疏通区域和阶段：根据项目的特点和施工条件，合理划分区域和阶段，确保各个区域协调进行。同时，要考虑到各个阶段的相互关联和影响，确保工作的合理性</w:t>
            </w:r>
            <w:r>
              <w:rPr>
                <w:rFonts w:hint="eastAsia" w:asciiTheme="minorEastAsia" w:hAnsiTheme="minorEastAsia" w:eastAsiaTheme="minorEastAsia"/>
                <w:b w:val="0"/>
                <w:bCs w:val="0"/>
                <w:color w:val="auto"/>
                <w:sz w:val="24"/>
                <w:highlight w:val="none"/>
                <w:lang w:val="en-US" w:eastAsia="zh-CN"/>
              </w:rPr>
              <w:t>。</w:t>
            </w:r>
            <w:r>
              <w:rPr>
                <w:rFonts w:hint="eastAsia" w:asciiTheme="minorEastAsia" w:hAnsiTheme="minorEastAsia" w:eastAsiaTheme="minorEastAsia"/>
                <w:color w:val="auto"/>
                <w:sz w:val="24"/>
                <w:highlight w:val="none"/>
                <w:lang w:val="en-US" w:eastAsia="zh-CN"/>
              </w:rPr>
              <w:t xml:space="preserve"> </w:t>
            </w:r>
          </w:p>
          <w:p w14:paraId="01118296">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1）方案内容详细完整，项目特征 </w:t>
            </w:r>
          </w:p>
          <w:p w14:paraId="3D71C51C">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表达清晰，符合项目实际需求适 </w:t>
            </w:r>
          </w:p>
          <w:p w14:paraId="509367D0">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用本项目的，</w:t>
            </w:r>
            <w:r>
              <w:rPr>
                <w:rFonts w:hint="eastAsia" w:asciiTheme="minorEastAsia" w:hAnsiTheme="minorEastAsia" w:eastAsiaTheme="minorEastAsia"/>
                <w:b/>
                <w:bCs/>
                <w:color w:val="auto"/>
                <w:sz w:val="24"/>
                <w:highlight w:val="none"/>
                <w:lang w:val="en-US" w:eastAsia="zh-CN"/>
              </w:rPr>
              <w:t>得8分</w:t>
            </w:r>
            <w:r>
              <w:rPr>
                <w:rFonts w:hint="eastAsia" w:asciiTheme="minorEastAsia" w:hAnsiTheme="minorEastAsia" w:eastAsiaTheme="minorEastAsia"/>
                <w:color w:val="auto"/>
                <w:sz w:val="24"/>
                <w:highlight w:val="none"/>
                <w:lang w:val="en-US" w:eastAsia="zh-CN"/>
              </w:rPr>
              <w:t xml:space="preserve">； </w:t>
            </w:r>
          </w:p>
          <w:p w14:paraId="01722962">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2）方案内容完整，符合项目实施 </w:t>
            </w:r>
          </w:p>
          <w:p w14:paraId="733FEFAE">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要求，但表述不清晰，没突出要点 </w:t>
            </w:r>
          </w:p>
          <w:p w14:paraId="7F8FA8AE">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的，</w:t>
            </w:r>
            <w:r>
              <w:rPr>
                <w:rFonts w:hint="eastAsia" w:asciiTheme="minorEastAsia" w:hAnsiTheme="minorEastAsia" w:eastAsiaTheme="minorEastAsia"/>
                <w:b/>
                <w:bCs/>
                <w:color w:val="auto"/>
                <w:sz w:val="24"/>
                <w:highlight w:val="none"/>
                <w:lang w:val="en-US" w:eastAsia="zh-CN"/>
              </w:rPr>
              <w:t xml:space="preserve">得5分； </w:t>
            </w:r>
          </w:p>
          <w:p w14:paraId="6A29AA14">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3）方案内容未完全覆盖采购需求 </w:t>
            </w:r>
          </w:p>
          <w:p w14:paraId="3CD29A87">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要求，有描述但不够清楚，有缺项 </w:t>
            </w:r>
          </w:p>
          <w:p w14:paraId="682F0637">
            <w:pPr>
              <w:spacing w:line="360" w:lineRule="auto"/>
              <w:rPr>
                <w:rFonts w:hint="eastAsia" w:asciiTheme="minorEastAsia" w:hAnsiTheme="minorEastAsia" w:eastAsiaTheme="minorEastAsia"/>
                <w:b/>
                <w:bCs/>
                <w:color w:val="auto"/>
                <w:sz w:val="24"/>
                <w:highlight w:val="none"/>
              </w:rPr>
            </w:pPr>
            <w:r>
              <w:rPr>
                <w:rFonts w:hint="eastAsia" w:asciiTheme="minorEastAsia" w:hAnsiTheme="minorEastAsia" w:eastAsiaTheme="minorEastAsia"/>
                <w:color w:val="auto"/>
                <w:sz w:val="24"/>
                <w:highlight w:val="none"/>
                <w:lang w:val="en-US" w:eastAsia="zh-CN"/>
              </w:rPr>
              <w:t>漏项的，且不适用本项目的，</w:t>
            </w:r>
            <w:r>
              <w:rPr>
                <w:rFonts w:hint="eastAsia" w:asciiTheme="minorEastAsia" w:hAnsiTheme="minorEastAsia" w:eastAsiaTheme="minorEastAsia"/>
                <w:b/>
                <w:bCs/>
                <w:color w:val="auto"/>
                <w:sz w:val="24"/>
                <w:highlight w:val="none"/>
                <w:lang w:val="en-US" w:eastAsia="zh-CN"/>
              </w:rPr>
              <w:t xml:space="preserve">得2 </w:t>
            </w:r>
          </w:p>
          <w:p w14:paraId="66457D07">
            <w:pPr>
              <w:spacing w:line="360" w:lineRule="auto"/>
              <w:rPr>
                <w:rFonts w:hint="eastAsia"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lang w:val="en-US" w:eastAsia="zh-CN"/>
              </w:rPr>
              <w:t xml:space="preserve">分； </w:t>
            </w:r>
          </w:p>
          <w:p w14:paraId="5B5C7F05">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4）未提供相关内容的不得分。 </w:t>
            </w:r>
          </w:p>
          <w:p w14:paraId="422F7D84">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b/>
                <w:bCs/>
                <w:color w:val="auto"/>
                <w:sz w:val="24"/>
                <w:highlight w:val="none"/>
                <w:lang w:val="en-US" w:eastAsia="zh-CN"/>
              </w:rPr>
              <w:t>三、劳动力计划</w:t>
            </w:r>
          </w:p>
          <w:p w14:paraId="484C3DB1">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1）劳动力方案内容详细完整，项 </w:t>
            </w:r>
          </w:p>
          <w:p w14:paraId="1259E681">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目特征表达清晰详细、完善，适用 </w:t>
            </w:r>
          </w:p>
          <w:p w14:paraId="5C175379">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本项目的，</w:t>
            </w:r>
            <w:r>
              <w:rPr>
                <w:rFonts w:hint="eastAsia" w:asciiTheme="minorEastAsia" w:hAnsiTheme="minorEastAsia" w:eastAsiaTheme="minorEastAsia"/>
                <w:b/>
                <w:bCs/>
                <w:color w:val="auto"/>
                <w:sz w:val="24"/>
                <w:highlight w:val="none"/>
                <w:lang w:val="en-US" w:eastAsia="zh-CN"/>
              </w:rPr>
              <w:t>得8分</w:t>
            </w:r>
            <w:r>
              <w:rPr>
                <w:rFonts w:hint="eastAsia" w:asciiTheme="minorEastAsia" w:hAnsiTheme="minorEastAsia" w:eastAsiaTheme="minorEastAsia"/>
                <w:color w:val="auto"/>
                <w:sz w:val="24"/>
                <w:highlight w:val="none"/>
                <w:lang w:val="en-US" w:eastAsia="zh-CN"/>
              </w:rPr>
              <w:t xml:space="preserve">； </w:t>
            </w:r>
          </w:p>
          <w:p w14:paraId="50D897A6">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2）劳动力方案详细，方案内容完 </w:t>
            </w:r>
          </w:p>
          <w:p w14:paraId="3182B9FE">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整，符合项目实施要求，但表述不 </w:t>
            </w:r>
          </w:p>
          <w:p w14:paraId="69A66EAE">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清晰的，</w:t>
            </w:r>
            <w:r>
              <w:rPr>
                <w:rFonts w:hint="eastAsia" w:asciiTheme="minorEastAsia" w:hAnsiTheme="minorEastAsia" w:eastAsiaTheme="minorEastAsia"/>
                <w:b/>
                <w:bCs/>
                <w:color w:val="auto"/>
                <w:sz w:val="24"/>
                <w:highlight w:val="none"/>
                <w:lang w:val="en-US" w:eastAsia="zh-CN"/>
              </w:rPr>
              <w:t>得5分；</w:t>
            </w:r>
            <w:r>
              <w:rPr>
                <w:rFonts w:hint="eastAsia" w:asciiTheme="minorEastAsia" w:hAnsiTheme="minorEastAsia" w:eastAsiaTheme="minorEastAsia"/>
                <w:color w:val="auto"/>
                <w:sz w:val="24"/>
                <w:highlight w:val="none"/>
                <w:lang w:val="en-US" w:eastAsia="zh-CN"/>
              </w:rPr>
              <w:t xml:space="preserve"> </w:t>
            </w:r>
          </w:p>
          <w:p w14:paraId="755ADDB5">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3）劳动力方案需要结合本项目内 </w:t>
            </w:r>
          </w:p>
          <w:p w14:paraId="01E10023">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容未完全覆盖采购需求要求，有描述但不够清楚，有缺项漏项的，且 </w:t>
            </w:r>
          </w:p>
          <w:p w14:paraId="332DA654">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不适用本项目的，</w:t>
            </w:r>
            <w:r>
              <w:rPr>
                <w:rFonts w:hint="eastAsia" w:asciiTheme="minorEastAsia" w:hAnsiTheme="minorEastAsia" w:eastAsiaTheme="minorEastAsia"/>
                <w:b/>
                <w:bCs/>
                <w:color w:val="auto"/>
                <w:sz w:val="24"/>
                <w:highlight w:val="none"/>
                <w:lang w:val="en-US" w:eastAsia="zh-CN"/>
              </w:rPr>
              <w:t>得2分；</w:t>
            </w:r>
            <w:r>
              <w:rPr>
                <w:rFonts w:hint="eastAsia" w:asciiTheme="minorEastAsia" w:hAnsiTheme="minorEastAsia" w:eastAsiaTheme="minorEastAsia"/>
                <w:color w:val="auto"/>
                <w:sz w:val="24"/>
                <w:highlight w:val="none"/>
                <w:lang w:val="en-US" w:eastAsia="zh-CN"/>
              </w:rPr>
              <w:t xml:space="preserve"> </w:t>
            </w:r>
          </w:p>
          <w:p w14:paraId="7DC8C61E">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（4）未提供相关内容的不得分。 </w:t>
            </w:r>
          </w:p>
          <w:p w14:paraId="166E5322">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b/>
                <w:bCs/>
                <w:color w:val="auto"/>
                <w:sz w:val="24"/>
                <w:highlight w:val="none"/>
                <w:lang w:val="en-US" w:eastAsia="zh-CN"/>
              </w:rPr>
              <w:t>四、项目实施组织方案：</w:t>
            </w:r>
            <w:r>
              <w:rPr>
                <w:rFonts w:hint="eastAsia" w:asciiTheme="minorEastAsia" w:hAnsiTheme="minorEastAsia" w:eastAsiaTheme="minorEastAsia"/>
                <w:color w:val="auto"/>
                <w:sz w:val="24"/>
                <w:highlight w:val="none"/>
                <w:lang w:val="en-US" w:eastAsia="zh-CN"/>
              </w:rPr>
              <w:t xml:space="preserve"> </w:t>
            </w:r>
          </w:p>
          <w:p w14:paraId="05923AB4">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磋商小组对供应商提供的项目组 </w:t>
            </w:r>
          </w:p>
          <w:p w14:paraId="4A1DE1D2">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织计划、施工计划安排等方面进行评审打分： </w:t>
            </w:r>
          </w:p>
          <w:p w14:paraId="5B7D9ADB">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1.要点突出，措施完善，表述清晰， </w:t>
            </w:r>
          </w:p>
          <w:p w14:paraId="7A2F8F15">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利于项目实施的，</w:t>
            </w:r>
            <w:r>
              <w:rPr>
                <w:rFonts w:hint="eastAsia" w:asciiTheme="minorEastAsia" w:hAnsiTheme="minorEastAsia" w:eastAsiaTheme="minorEastAsia"/>
                <w:b/>
                <w:bCs/>
                <w:color w:val="auto"/>
                <w:sz w:val="24"/>
                <w:highlight w:val="none"/>
                <w:lang w:val="en-US" w:eastAsia="zh-CN"/>
              </w:rPr>
              <w:t>得8分；</w:t>
            </w:r>
            <w:r>
              <w:rPr>
                <w:rFonts w:hint="eastAsia" w:asciiTheme="minorEastAsia" w:hAnsiTheme="minorEastAsia" w:eastAsiaTheme="minorEastAsia"/>
                <w:color w:val="auto"/>
                <w:sz w:val="24"/>
                <w:highlight w:val="none"/>
                <w:lang w:val="en-US" w:eastAsia="zh-CN"/>
              </w:rPr>
              <w:t xml:space="preserve"> </w:t>
            </w:r>
          </w:p>
          <w:p w14:paraId="2A974F91">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2.方案内容完整，符合项目实施要 </w:t>
            </w:r>
          </w:p>
          <w:p w14:paraId="2E754B80">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求，但表述不清晰，没突出要点的， </w:t>
            </w:r>
          </w:p>
          <w:p w14:paraId="4B2877E6">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b/>
                <w:bCs/>
                <w:color w:val="auto"/>
                <w:sz w:val="24"/>
                <w:highlight w:val="none"/>
                <w:lang w:val="en-US" w:eastAsia="zh-CN"/>
              </w:rPr>
              <w:t>得5分；</w:t>
            </w:r>
            <w:r>
              <w:rPr>
                <w:rFonts w:hint="eastAsia" w:asciiTheme="minorEastAsia" w:hAnsiTheme="minorEastAsia" w:eastAsiaTheme="minorEastAsia"/>
                <w:color w:val="auto"/>
                <w:sz w:val="24"/>
                <w:highlight w:val="none"/>
                <w:lang w:val="en-US" w:eastAsia="zh-CN"/>
              </w:rPr>
              <w:t xml:space="preserve"> </w:t>
            </w:r>
          </w:p>
          <w:p w14:paraId="06E4A5E5">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3.方案内容未完全覆盖采购需求 </w:t>
            </w:r>
          </w:p>
          <w:p w14:paraId="5ABF9FBC">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要求，有缺项漏项的，且不适用本 </w:t>
            </w:r>
          </w:p>
          <w:p w14:paraId="4FCFD545">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项目的，</w:t>
            </w:r>
            <w:r>
              <w:rPr>
                <w:rFonts w:hint="eastAsia" w:asciiTheme="minorEastAsia" w:hAnsiTheme="minorEastAsia" w:eastAsiaTheme="minorEastAsia"/>
                <w:b/>
                <w:bCs/>
                <w:color w:val="auto"/>
                <w:sz w:val="24"/>
                <w:highlight w:val="none"/>
                <w:lang w:val="en-US" w:eastAsia="zh-CN"/>
              </w:rPr>
              <w:t>得2分；</w:t>
            </w:r>
            <w:r>
              <w:rPr>
                <w:rFonts w:hint="eastAsia" w:asciiTheme="minorEastAsia" w:hAnsiTheme="minorEastAsia" w:eastAsiaTheme="minorEastAsia"/>
                <w:color w:val="auto"/>
                <w:sz w:val="24"/>
                <w:highlight w:val="none"/>
                <w:lang w:val="en-US" w:eastAsia="zh-CN"/>
              </w:rPr>
              <w:t xml:space="preserve"> </w:t>
            </w:r>
          </w:p>
          <w:p w14:paraId="264DB962">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4.未提供相关内容的不得分。 </w:t>
            </w:r>
          </w:p>
          <w:p w14:paraId="3E026BC7">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b/>
                <w:bCs/>
                <w:color w:val="auto"/>
                <w:sz w:val="24"/>
                <w:highlight w:val="none"/>
                <w:lang w:val="en-US" w:eastAsia="zh-CN"/>
              </w:rPr>
              <w:t>五、施工质量控制措施：</w:t>
            </w:r>
            <w:r>
              <w:rPr>
                <w:rFonts w:hint="eastAsia" w:asciiTheme="minorEastAsia" w:hAnsiTheme="minorEastAsia" w:eastAsiaTheme="minorEastAsia"/>
                <w:color w:val="auto"/>
                <w:sz w:val="24"/>
                <w:highlight w:val="none"/>
                <w:lang w:val="en-US" w:eastAsia="zh-CN"/>
              </w:rPr>
              <w:t xml:space="preserve"> </w:t>
            </w:r>
          </w:p>
          <w:p w14:paraId="4DF53EEE">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磋商小组对供应商提供的施工质 </w:t>
            </w:r>
          </w:p>
          <w:p w14:paraId="13A0D770">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量技术管理班子和制度合理性，质 </w:t>
            </w:r>
          </w:p>
          <w:p w14:paraId="04DE2F4A">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量技术保证措施全面性、自控体系 </w:t>
            </w:r>
          </w:p>
          <w:p w14:paraId="36FC7C22">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完整性、有效性等方面进行评审打 </w:t>
            </w:r>
          </w:p>
          <w:p w14:paraId="3CE3C161">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分： </w:t>
            </w:r>
          </w:p>
          <w:p w14:paraId="3519A698">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1.对本项目工程质量的技术组织 </w:t>
            </w:r>
          </w:p>
          <w:p w14:paraId="1CFD6A13">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措施做出准确、有效、完整的实施 </w:t>
            </w:r>
          </w:p>
          <w:p w14:paraId="6885D28F">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方案，</w:t>
            </w:r>
            <w:r>
              <w:rPr>
                <w:rFonts w:hint="eastAsia" w:asciiTheme="minorEastAsia" w:hAnsiTheme="minorEastAsia" w:eastAsiaTheme="minorEastAsia"/>
                <w:b/>
                <w:bCs/>
                <w:color w:val="auto"/>
                <w:sz w:val="24"/>
                <w:highlight w:val="none"/>
                <w:lang w:val="en-US" w:eastAsia="zh-CN"/>
              </w:rPr>
              <w:t>得8分；</w:t>
            </w:r>
            <w:r>
              <w:rPr>
                <w:rFonts w:hint="eastAsia" w:asciiTheme="minorEastAsia" w:hAnsiTheme="minorEastAsia" w:eastAsiaTheme="minorEastAsia"/>
                <w:color w:val="auto"/>
                <w:sz w:val="24"/>
                <w:highlight w:val="none"/>
                <w:lang w:val="en-US" w:eastAsia="zh-CN"/>
              </w:rPr>
              <w:t xml:space="preserve"> </w:t>
            </w:r>
          </w:p>
          <w:p w14:paraId="228C375A">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2.对本项目工程质量的技术组织 </w:t>
            </w:r>
          </w:p>
          <w:p w14:paraId="27225274">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措施方案符合项目实施要求，但表 </w:t>
            </w:r>
          </w:p>
          <w:p w14:paraId="4C37F465">
            <w:pPr>
              <w:spacing w:line="360" w:lineRule="auto"/>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述不清晰，没突出要点的，</w:t>
            </w:r>
            <w:r>
              <w:rPr>
                <w:rFonts w:hint="eastAsia" w:asciiTheme="minorEastAsia" w:hAnsiTheme="minorEastAsia" w:eastAsiaTheme="minorEastAsia"/>
                <w:b/>
                <w:bCs/>
                <w:color w:val="auto"/>
                <w:sz w:val="24"/>
                <w:highlight w:val="none"/>
                <w:lang w:val="en-US" w:eastAsia="zh-CN"/>
              </w:rPr>
              <w:t>得5分；</w:t>
            </w:r>
          </w:p>
          <w:p w14:paraId="2200FB09">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3.对本项目工程质量措施方案内 </w:t>
            </w:r>
          </w:p>
          <w:p w14:paraId="09E55F75">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容未完全覆盖采购需求要求，虽制 </w:t>
            </w:r>
          </w:p>
          <w:p w14:paraId="020E1BE8">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定各项实施方但方案条理不清楚的， </w:t>
            </w:r>
            <w:r>
              <w:rPr>
                <w:rFonts w:hint="eastAsia" w:asciiTheme="minorEastAsia" w:hAnsiTheme="minorEastAsia" w:eastAsiaTheme="minorEastAsia"/>
                <w:b/>
                <w:bCs/>
                <w:color w:val="auto"/>
                <w:sz w:val="24"/>
                <w:highlight w:val="none"/>
                <w:lang w:val="en-US" w:eastAsia="zh-CN"/>
              </w:rPr>
              <w:t>得2分；</w:t>
            </w:r>
            <w:r>
              <w:rPr>
                <w:rFonts w:hint="eastAsia" w:asciiTheme="minorEastAsia" w:hAnsiTheme="minorEastAsia" w:eastAsiaTheme="minorEastAsia"/>
                <w:color w:val="auto"/>
                <w:sz w:val="24"/>
                <w:highlight w:val="none"/>
                <w:lang w:val="en-US" w:eastAsia="zh-CN"/>
              </w:rPr>
              <w:t xml:space="preserve"> </w:t>
            </w:r>
          </w:p>
          <w:p w14:paraId="4EF04C85">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4、未提供相关内容的不得分。 </w:t>
            </w:r>
          </w:p>
          <w:p w14:paraId="5227EBB7">
            <w:pPr>
              <w:spacing w:line="360" w:lineRule="auto"/>
              <w:rPr>
                <w:rFonts w:hint="eastAsia"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lang w:val="en-US" w:eastAsia="zh-CN"/>
              </w:rPr>
              <w:t>六、安全管理措施：制定完善的安全管理制度、应急预案和施工措施方案（包括地上交通导行及安全管理措施），确保施工现场的安全：</w:t>
            </w:r>
            <w:r>
              <w:rPr>
                <w:rFonts w:hint="eastAsia" w:asciiTheme="minorEastAsia" w:hAnsiTheme="minorEastAsia" w:eastAsiaTheme="minorEastAsia"/>
                <w:color w:val="auto"/>
                <w:sz w:val="24"/>
                <w:highlight w:val="none"/>
                <w:lang w:val="en-US" w:eastAsia="zh-CN"/>
              </w:rPr>
              <w:t xml:space="preserve"> </w:t>
            </w:r>
          </w:p>
          <w:p w14:paraId="5D342A85">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1、施工合理化建议有合理性满足 </w:t>
            </w:r>
          </w:p>
          <w:p w14:paraId="35841C02">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施工工程需要，降低成本措施切实 </w:t>
            </w:r>
          </w:p>
          <w:p w14:paraId="02557B06">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可行的，</w:t>
            </w:r>
            <w:r>
              <w:rPr>
                <w:rFonts w:hint="eastAsia" w:asciiTheme="minorEastAsia" w:hAnsiTheme="minorEastAsia" w:eastAsiaTheme="minorEastAsia"/>
                <w:b/>
                <w:bCs/>
                <w:color w:val="auto"/>
                <w:sz w:val="24"/>
                <w:highlight w:val="none"/>
                <w:lang w:val="en-US" w:eastAsia="zh-CN"/>
              </w:rPr>
              <w:t xml:space="preserve">得8分； </w:t>
            </w:r>
          </w:p>
          <w:p w14:paraId="22898A45">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2、施工合理化建议满足实施要求， </w:t>
            </w:r>
          </w:p>
          <w:p w14:paraId="7DAF421F">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但具体细节不明确表示且部分满 </w:t>
            </w:r>
          </w:p>
          <w:p w14:paraId="53EB5572">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足施工工程需要，降低本措施部分 </w:t>
            </w:r>
          </w:p>
          <w:p w14:paraId="07ADD541">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可行的，</w:t>
            </w:r>
            <w:r>
              <w:rPr>
                <w:rFonts w:hint="eastAsia" w:asciiTheme="minorEastAsia" w:hAnsiTheme="minorEastAsia" w:eastAsiaTheme="minorEastAsia"/>
                <w:b/>
                <w:bCs/>
                <w:color w:val="auto"/>
                <w:sz w:val="24"/>
                <w:highlight w:val="none"/>
                <w:lang w:val="en-US" w:eastAsia="zh-CN"/>
              </w:rPr>
              <w:t>得5分 ；</w:t>
            </w:r>
          </w:p>
          <w:p w14:paraId="16393828">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3、施工合理化建议满足实施要求， </w:t>
            </w:r>
          </w:p>
          <w:p w14:paraId="7E9AD8CD">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但表述不清晰，缺少降低成本措 </w:t>
            </w:r>
          </w:p>
          <w:p w14:paraId="1CC6F81C">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施，没突出要点的，</w:t>
            </w:r>
            <w:r>
              <w:rPr>
                <w:rFonts w:hint="eastAsia" w:asciiTheme="minorEastAsia" w:hAnsiTheme="minorEastAsia" w:eastAsiaTheme="minorEastAsia"/>
                <w:b/>
                <w:bCs/>
                <w:color w:val="auto"/>
                <w:sz w:val="24"/>
                <w:highlight w:val="none"/>
                <w:lang w:val="en-US" w:eastAsia="zh-CN"/>
              </w:rPr>
              <w:t>得2分；</w:t>
            </w:r>
            <w:r>
              <w:rPr>
                <w:rFonts w:hint="eastAsia" w:asciiTheme="minorEastAsia" w:hAnsiTheme="minorEastAsia" w:eastAsiaTheme="minorEastAsia"/>
                <w:color w:val="auto"/>
                <w:sz w:val="24"/>
                <w:highlight w:val="none"/>
                <w:lang w:val="en-US" w:eastAsia="zh-CN"/>
              </w:rPr>
              <w:t xml:space="preserve"> </w:t>
            </w:r>
          </w:p>
          <w:p w14:paraId="6922FB2B">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4、未提供相关内容的不得分。 </w:t>
            </w:r>
          </w:p>
          <w:p w14:paraId="1F969F50">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b/>
                <w:bCs/>
                <w:color w:val="auto"/>
                <w:sz w:val="24"/>
                <w:highlight w:val="none"/>
                <w:lang w:val="en-US" w:eastAsia="zh-CN"/>
              </w:rPr>
              <w:t>七、工程施工重点难点施工方案：</w:t>
            </w:r>
            <w:r>
              <w:rPr>
                <w:rFonts w:hint="eastAsia" w:asciiTheme="minorEastAsia" w:hAnsiTheme="minorEastAsia" w:eastAsiaTheme="minorEastAsia"/>
                <w:color w:val="auto"/>
                <w:sz w:val="24"/>
                <w:highlight w:val="none"/>
                <w:lang w:val="en-US" w:eastAsia="zh-CN"/>
              </w:rPr>
              <w:t xml:space="preserve"> </w:t>
            </w:r>
          </w:p>
          <w:p w14:paraId="2BE2383B">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磋商小组对供应商提供的本项目 </w:t>
            </w:r>
          </w:p>
          <w:p w14:paraId="35022F4F">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工程施工的重点和难点及地下有限空间安全措施等方面进行评审： </w:t>
            </w:r>
          </w:p>
          <w:p w14:paraId="4D11D89F">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1.项目施工重点难点施工组织科 </w:t>
            </w:r>
          </w:p>
          <w:p w14:paraId="42A7F4DC">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学合理，专项施工合理、可行，安 </w:t>
            </w:r>
          </w:p>
          <w:p w14:paraId="7F2F5DA4">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全措施到位，</w:t>
            </w:r>
            <w:r>
              <w:rPr>
                <w:rFonts w:hint="eastAsia" w:asciiTheme="minorEastAsia" w:hAnsiTheme="minorEastAsia" w:eastAsiaTheme="minorEastAsia"/>
                <w:b/>
                <w:bCs/>
                <w:color w:val="auto"/>
                <w:sz w:val="24"/>
                <w:highlight w:val="none"/>
                <w:lang w:val="en-US" w:eastAsia="zh-CN"/>
              </w:rPr>
              <w:t>得8分；</w:t>
            </w:r>
            <w:r>
              <w:rPr>
                <w:rFonts w:hint="eastAsia" w:asciiTheme="minorEastAsia" w:hAnsiTheme="minorEastAsia" w:eastAsiaTheme="minorEastAsia"/>
                <w:color w:val="auto"/>
                <w:sz w:val="24"/>
                <w:highlight w:val="none"/>
                <w:lang w:val="en-US" w:eastAsia="zh-CN"/>
              </w:rPr>
              <w:t xml:space="preserve"> </w:t>
            </w:r>
          </w:p>
          <w:p w14:paraId="6B2B1101">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2.项目施工重点难点施工组织项 </w:t>
            </w:r>
          </w:p>
          <w:p w14:paraId="3A800A01">
            <w:pPr>
              <w:spacing w:line="360" w:lineRule="auto"/>
              <w:rPr>
                <w:rFonts w:hint="eastAsia" w:asciiTheme="minorEastAsia" w:hAnsiTheme="minorEastAsia" w:eastAsiaTheme="minorEastAsia"/>
                <w:b/>
                <w:bCs/>
                <w:color w:val="auto"/>
                <w:sz w:val="24"/>
                <w:highlight w:val="none"/>
              </w:rPr>
            </w:pPr>
            <w:r>
              <w:rPr>
                <w:rFonts w:hint="eastAsia" w:asciiTheme="minorEastAsia" w:hAnsiTheme="minorEastAsia" w:eastAsiaTheme="minorEastAsia"/>
                <w:color w:val="auto"/>
                <w:sz w:val="24"/>
                <w:highlight w:val="none"/>
                <w:lang w:val="en-US" w:eastAsia="zh-CN"/>
              </w:rPr>
              <w:t>目实施要求，但表述不清晰，没突出要点的，</w:t>
            </w:r>
            <w:r>
              <w:rPr>
                <w:rFonts w:hint="eastAsia" w:asciiTheme="minorEastAsia" w:hAnsiTheme="minorEastAsia" w:eastAsiaTheme="minorEastAsia"/>
                <w:b/>
                <w:bCs/>
                <w:color w:val="auto"/>
                <w:sz w:val="24"/>
                <w:highlight w:val="none"/>
                <w:lang w:val="en-US" w:eastAsia="zh-CN"/>
              </w:rPr>
              <w:t xml:space="preserve">得5分； </w:t>
            </w:r>
          </w:p>
          <w:p w14:paraId="01684704">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3.项目施工重点难点施工组织不 </w:t>
            </w:r>
          </w:p>
          <w:p w14:paraId="23F8E902">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太合理，专项施工方案、安全措 </w:t>
            </w:r>
          </w:p>
          <w:p w14:paraId="1BC257C8">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施等方面不能满足施工工程需要的，</w:t>
            </w:r>
            <w:r>
              <w:rPr>
                <w:rFonts w:hint="eastAsia" w:asciiTheme="minorEastAsia" w:hAnsiTheme="minorEastAsia" w:eastAsiaTheme="minorEastAsia"/>
                <w:b/>
                <w:bCs/>
                <w:color w:val="auto"/>
                <w:sz w:val="24"/>
                <w:highlight w:val="none"/>
                <w:lang w:val="en-US" w:eastAsia="zh-CN"/>
              </w:rPr>
              <w:t>得2分；</w:t>
            </w:r>
            <w:r>
              <w:rPr>
                <w:rFonts w:hint="eastAsia" w:asciiTheme="minorEastAsia" w:hAnsiTheme="minorEastAsia" w:eastAsiaTheme="minorEastAsia"/>
                <w:color w:val="auto"/>
                <w:sz w:val="24"/>
                <w:highlight w:val="none"/>
                <w:lang w:val="en-US" w:eastAsia="zh-CN"/>
              </w:rPr>
              <w:t xml:space="preserve"> </w:t>
            </w:r>
          </w:p>
          <w:p w14:paraId="6D6B3D19">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4.未提供相关内容的不得分。 </w:t>
            </w:r>
          </w:p>
          <w:p w14:paraId="4F60AE8D">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b/>
                <w:bCs/>
                <w:color w:val="auto"/>
                <w:sz w:val="24"/>
                <w:highlight w:val="none"/>
                <w:lang w:val="en-US" w:eastAsia="zh-CN"/>
              </w:rPr>
              <w:t>八、应急处置方案：</w:t>
            </w:r>
            <w:r>
              <w:rPr>
                <w:rFonts w:hint="eastAsia" w:asciiTheme="minorEastAsia" w:hAnsiTheme="minorEastAsia" w:eastAsiaTheme="minorEastAsia"/>
                <w:color w:val="auto"/>
                <w:sz w:val="24"/>
                <w:highlight w:val="none"/>
                <w:lang w:val="en-US" w:eastAsia="zh-CN"/>
              </w:rPr>
              <w:t xml:space="preserve"> </w:t>
            </w:r>
          </w:p>
          <w:p w14:paraId="193A7A68">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磋商小组对供应商提供的本项目 </w:t>
            </w:r>
          </w:p>
          <w:p w14:paraId="3C4C3E11">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应急处置方案进行评审打分： </w:t>
            </w:r>
          </w:p>
          <w:p w14:paraId="13A6CEFE">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1.应急处理方案内容全面、完整， </w:t>
            </w:r>
          </w:p>
          <w:p w14:paraId="0E938660">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符合本项目实施，</w:t>
            </w:r>
            <w:r>
              <w:rPr>
                <w:rFonts w:hint="eastAsia" w:asciiTheme="minorEastAsia" w:hAnsiTheme="minorEastAsia" w:eastAsiaTheme="minorEastAsia"/>
                <w:b/>
                <w:bCs/>
                <w:color w:val="auto"/>
                <w:sz w:val="24"/>
                <w:highlight w:val="none"/>
                <w:lang w:val="en-US" w:eastAsia="zh-CN"/>
              </w:rPr>
              <w:t>得8分；</w:t>
            </w:r>
            <w:r>
              <w:rPr>
                <w:rFonts w:hint="eastAsia" w:asciiTheme="minorEastAsia" w:hAnsiTheme="minorEastAsia" w:eastAsiaTheme="minorEastAsia"/>
                <w:color w:val="auto"/>
                <w:sz w:val="24"/>
                <w:highlight w:val="none"/>
                <w:lang w:val="en-US" w:eastAsia="zh-CN"/>
              </w:rPr>
              <w:t xml:space="preserve"> </w:t>
            </w:r>
          </w:p>
          <w:p w14:paraId="450A73C9">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2.应急处理方案内容全面、内容完 </w:t>
            </w:r>
          </w:p>
          <w:p w14:paraId="6570E4FF">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整，符合项目实施要求，但表述不 </w:t>
            </w:r>
          </w:p>
          <w:p w14:paraId="1E775CE8">
            <w:pPr>
              <w:spacing w:line="360" w:lineRule="auto"/>
              <w:rPr>
                <w:rFonts w:hint="eastAsia" w:asciiTheme="minorEastAsia" w:hAnsiTheme="minorEastAsia" w:eastAsiaTheme="minorEastAsia"/>
                <w:b/>
                <w:bCs/>
                <w:color w:val="auto"/>
                <w:sz w:val="24"/>
                <w:highlight w:val="none"/>
              </w:rPr>
            </w:pPr>
            <w:r>
              <w:rPr>
                <w:rFonts w:hint="eastAsia" w:asciiTheme="minorEastAsia" w:hAnsiTheme="minorEastAsia" w:eastAsiaTheme="minorEastAsia"/>
                <w:color w:val="auto"/>
                <w:sz w:val="24"/>
                <w:highlight w:val="none"/>
                <w:lang w:val="en-US" w:eastAsia="zh-CN"/>
              </w:rPr>
              <w:t>清晰的，</w:t>
            </w:r>
            <w:r>
              <w:rPr>
                <w:rFonts w:hint="eastAsia" w:asciiTheme="minorEastAsia" w:hAnsiTheme="minorEastAsia" w:eastAsiaTheme="minorEastAsia"/>
                <w:b/>
                <w:bCs/>
                <w:color w:val="auto"/>
                <w:sz w:val="24"/>
                <w:highlight w:val="none"/>
                <w:lang w:val="en-US" w:eastAsia="zh-CN"/>
              </w:rPr>
              <w:t xml:space="preserve">得5分； </w:t>
            </w:r>
          </w:p>
          <w:p w14:paraId="4277B7DB">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3.应急处理方案结合本项目内容 </w:t>
            </w:r>
          </w:p>
          <w:p w14:paraId="057EAD8A">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未完全覆盖采购需求要求，有描述 </w:t>
            </w:r>
          </w:p>
          <w:p w14:paraId="5E2F128B">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但不够清楚，有缺项漏项的，且不 </w:t>
            </w:r>
          </w:p>
          <w:p w14:paraId="4DF71D64">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适用本项目的，</w:t>
            </w:r>
            <w:r>
              <w:rPr>
                <w:rFonts w:hint="eastAsia" w:asciiTheme="minorEastAsia" w:hAnsiTheme="minorEastAsia" w:eastAsiaTheme="minorEastAsia"/>
                <w:b/>
                <w:bCs/>
                <w:color w:val="auto"/>
                <w:sz w:val="24"/>
                <w:highlight w:val="none"/>
                <w:lang w:val="en-US" w:eastAsia="zh-CN"/>
              </w:rPr>
              <w:t>得2分；</w:t>
            </w:r>
            <w:r>
              <w:rPr>
                <w:rFonts w:hint="eastAsia" w:asciiTheme="minorEastAsia" w:hAnsiTheme="minorEastAsia" w:eastAsiaTheme="minorEastAsia"/>
                <w:color w:val="auto"/>
                <w:sz w:val="24"/>
                <w:highlight w:val="none"/>
                <w:lang w:val="en-US" w:eastAsia="zh-CN"/>
              </w:rPr>
              <w:t xml:space="preserve"> </w:t>
            </w:r>
          </w:p>
          <w:p w14:paraId="2452FE2B">
            <w:pPr>
              <w:spacing w:line="360" w:lineRule="auto"/>
              <w:rPr>
                <w:rFonts w:asciiTheme="minorEastAsia" w:hAnsiTheme="minorEastAsia" w:eastAsiaTheme="minorEastAsia"/>
                <w:bCs/>
                <w:color w:val="auto"/>
                <w:sz w:val="24"/>
                <w:highlight w:val="none"/>
              </w:rPr>
            </w:pPr>
            <w:r>
              <w:rPr>
                <w:rFonts w:hint="eastAsia" w:asciiTheme="minorEastAsia" w:hAnsiTheme="minorEastAsia" w:eastAsiaTheme="minorEastAsia"/>
                <w:color w:val="auto"/>
                <w:sz w:val="24"/>
                <w:highlight w:val="none"/>
                <w:lang w:val="en-US" w:eastAsia="zh-CN"/>
              </w:rPr>
              <w:t>4.未提供应急处置方案不得分。</w:t>
            </w:r>
            <w:r>
              <w:rPr>
                <w:rFonts w:hint="eastAsia" w:ascii="宋体" w:hAnsi="宋体" w:eastAsia="宋体" w:cs="宋体"/>
                <w:color w:val="000000"/>
                <w:kern w:val="0"/>
                <w:sz w:val="24"/>
                <w:szCs w:val="24"/>
                <w:lang w:val="en-US" w:eastAsia="zh-CN" w:bidi="ar"/>
              </w:rPr>
              <w:t xml:space="preserve"> </w:t>
            </w:r>
          </w:p>
        </w:tc>
        <w:tc>
          <w:tcPr>
            <w:tcW w:w="926" w:type="pct"/>
            <w:tcBorders>
              <w:top w:val="single" w:color="auto" w:sz="4" w:space="0"/>
              <w:left w:val="single" w:color="auto" w:sz="4" w:space="0"/>
              <w:bottom w:val="single" w:color="auto" w:sz="4" w:space="0"/>
              <w:right w:val="single" w:color="auto" w:sz="4" w:space="0"/>
            </w:tcBorders>
            <w:vAlign w:val="center"/>
          </w:tcPr>
          <w:p w14:paraId="15C81761">
            <w:pPr>
              <w:spacing w:line="360" w:lineRule="auto"/>
              <w:jc w:val="center"/>
              <w:rPr>
                <w:rFonts w:hint="eastAsia" w:asciiTheme="minorEastAsia" w:hAnsiTheme="minorEastAsia" w:eastAsiaTheme="minorEastAsia"/>
                <w:b/>
                <w:bCs/>
                <w:color w:val="auto"/>
                <w:sz w:val="24"/>
                <w:highlight w:val="none"/>
                <w:lang w:eastAsia="zh-CN"/>
              </w:rPr>
            </w:pPr>
            <w:r>
              <w:rPr>
                <w:rFonts w:hint="eastAsia" w:asciiTheme="minorEastAsia" w:hAnsiTheme="minorEastAsia" w:eastAsiaTheme="minorEastAsia"/>
                <w:b/>
                <w:bCs/>
                <w:color w:val="auto"/>
                <w:sz w:val="24"/>
                <w:highlight w:val="none"/>
                <w:lang w:eastAsia="zh-CN"/>
              </w:rPr>
              <w:t>（</w:t>
            </w:r>
            <w:r>
              <w:rPr>
                <w:rFonts w:hint="eastAsia" w:asciiTheme="minorEastAsia" w:hAnsiTheme="minorEastAsia" w:eastAsiaTheme="minorEastAsia"/>
                <w:b/>
                <w:bCs/>
                <w:color w:val="auto"/>
                <w:sz w:val="24"/>
                <w:highlight w:val="none"/>
                <w:lang w:val="en-US" w:eastAsia="zh-CN"/>
              </w:rPr>
              <w:t>0-65分</w:t>
            </w:r>
            <w:r>
              <w:rPr>
                <w:rFonts w:hint="eastAsia" w:asciiTheme="minorEastAsia" w:hAnsiTheme="minorEastAsia" w:eastAsiaTheme="minorEastAsia"/>
                <w:b/>
                <w:bCs/>
                <w:color w:val="auto"/>
                <w:sz w:val="24"/>
                <w:highlight w:val="none"/>
                <w:lang w:eastAsia="zh-CN"/>
              </w:rPr>
              <w:t>）</w:t>
            </w:r>
          </w:p>
        </w:tc>
      </w:tr>
      <w:tr w14:paraId="3484E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continue"/>
            <w:tcBorders>
              <w:left w:val="single" w:color="auto" w:sz="4" w:space="0"/>
              <w:right w:val="single" w:color="auto" w:sz="4" w:space="0"/>
            </w:tcBorders>
            <w:vAlign w:val="center"/>
          </w:tcPr>
          <w:p w14:paraId="0D70E721">
            <w:pPr>
              <w:spacing w:line="360" w:lineRule="auto"/>
              <w:ind w:firstLine="435"/>
              <w:jc w:val="center"/>
              <w:rPr>
                <w:rFonts w:asciiTheme="minorEastAsia" w:hAnsiTheme="minorEastAsia" w:eastAsiaTheme="minorEastAsia"/>
                <w:b/>
                <w:bCs/>
                <w:color w:val="auto"/>
                <w:sz w:val="24"/>
                <w:highlight w:val="none"/>
              </w:rPr>
            </w:pPr>
          </w:p>
        </w:tc>
        <w:tc>
          <w:tcPr>
            <w:tcW w:w="1009" w:type="pct"/>
            <w:tcBorders>
              <w:top w:val="single" w:color="auto" w:sz="4" w:space="0"/>
              <w:left w:val="single" w:color="auto" w:sz="4" w:space="0"/>
              <w:bottom w:val="single" w:color="auto" w:sz="4" w:space="0"/>
              <w:right w:val="single" w:color="auto" w:sz="4" w:space="0"/>
            </w:tcBorders>
            <w:vAlign w:val="center"/>
          </w:tcPr>
          <w:p w14:paraId="511B6D9E">
            <w:pPr>
              <w:spacing w:line="360" w:lineRule="auto"/>
              <w:jc w:val="center"/>
              <w:rPr>
                <w:rFonts w:hint="default"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人员配备</w:t>
            </w:r>
          </w:p>
        </w:tc>
        <w:tc>
          <w:tcPr>
            <w:tcW w:w="2197" w:type="pct"/>
            <w:tcBorders>
              <w:top w:val="single" w:color="auto" w:sz="4" w:space="0"/>
              <w:left w:val="single" w:color="auto" w:sz="4" w:space="0"/>
              <w:bottom w:val="single" w:color="auto" w:sz="4" w:space="0"/>
              <w:right w:val="single" w:color="auto" w:sz="4" w:space="0"/>
            </w:tcBorders>
            <w:vAlign w:val="center"/>
          </w:tcPr>
          <w:p w14:paraId="69048177">
            <w:pPr>
              <w:spacing w:line="360" w:lineRule="auto"/>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 xml:space="preserve">1、项目拟配备的人员：技术负责人具有相关专业中级及以上技术职称的，得4分。 </w:t>
            </w:r>
          </w:p>
          <w:p w14:paraId="046C74D7">
            <w:pPr>
              <w:spacing w:line="360" w:lineRule="auto"/>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 xml:space="preserve">2、团队其他人员中（除技术负责人外）每提供一个初级及以上职称得2分，满分6分。  </w:t>
            </w:r>
          </w:p>
          <w:p w14:paraId="75E8596B">
            <w:pPr>
              <w:spacing w:line="360" w:lineRule="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注：响应文件中提供证书扫描件或复印件。 </w:t>
            </w:r>
          </w:p>
        </w:tc>
        <w:tc>
          <w:tcPr>
            <w:tcW w:w="926" w:type="pct"/>
            <w:tcBorders>
              <w:top w:val="single" w:color="auto" w:sz="4" w:space="0"/>
              <w:left w:val="single" w:color="auto" w:sz="4" w:space="0"/>
              <w:bottom w:val="single" w:color="auto" w:sz="4" w:space="0"/>
              <w:right w:val="single" w:color="auto" w:sz="4" w:space="0"/>
            </w:tcBorders>
            <w:vAlign w:val="center"/>
          </w:tcPr>
          <w:p w14:paraId="3ACB0DD3">
            <w:pPr>
              <w:spacing w:line="360" w:lineRule="auto"/>
              <w:jc w:val="center"/>
              <w:rPr>
                <w:rFonts w:hint="eastAsia" w:asciiTheme="minorEastAsia" w:hAnsiTheme="minorEastAsia" w:eastAsiaTheme="minorEastAsia"/>
                <w:b/>
                <w:bCs/>
                <w:color w:val="auto"/>
                <w:sz w:val="24"/>
                <w:highlight w:val="none"/>
                <w:lang w:eastAsia="zh-CN"/>
              </w:rPr>
            </w:pPr>
            <w:r>
              <w:rPr>
                <w:rFonts w:hint="eastAsia" w:asciiTheme="minorEastAsia" w:hAnsiTheme="minorEastAsia" w:eastAsiaTheme="minorEastAsia"/>
                <w:b/>
                <w:bCs/>
                <w:color w:val="auto"/>
                <w:sz w:val="24"/>
                <w:highlight w:val="none"/>
                <w:lang w:eastAsia="zh-CN"/>
              </w:rPr>
              <w:t>（</w:t>
            </w:r>
            <w:r>
              <w:rPr>
                <w:rFonts w:hint="eastAsia" w:asciiTheme="minorEastAsia" w:hAnsiTheme="minorEastAsia" w:eastAsiaTheme="minorEastAsia"/>
                <w:b/>
                <w:bCs/>
                <w:color w:val="auto"/>
                <w:sz w:val="24"/>
                <w:highlight w:val="none"/>
                <w:lang w:val="en-US" w:eastAsia="zh-CN"/>
              </w:rPr>
              <w:t>0-10分</w:t>
            </w:r>
            <w:r>
              <w:rPr>
                <w:rFonts w:hint="eastAsia" w:asciiTheme="minorEastAsia" w:hAnsiTheme="minorEastAsia" w:eastAsiaTheme="minorEastAsia"/>
                <w:b/>
                <w:bCs/>
                <w:color w:val="auto"/>
                <w:sz w:val="24"/>
                <w:highlight w:val="none"/>
                <w:lang w:eastAsia="zh-CN"/>
              </w:rPr>
              <w:t>）</w:t>
            </w:r>
          </w:p>
        </w:tc>
      </w:tr>
      <w:tr w14:paraId="5CE9C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continue"/>
            <w:tcBorders>
              <w:left w:val="single" w:color="auto" w:sz="4" w:space="0"/>
              <w:right w:val="single" w:color="auto" w:sz="4" w:space="0"/>
            </w:tcBorders>
            <w:vAlign w:val="center"/>
          </w:tcPr>
          <w:p w14:paraId="3E1F0142">
            <w:pPr>
              <w:spacing w:line="360" w:lineRule="auto"/>
              <w:ind w:firstLine="435"/>
              <w:jc w:val="center"/>
              <w:rPr>
                <w:rFonts w:asciiTheme="minorEastAsia" w:hAnsiTheme="minorEastAsia" w:eastAsiaTheme="minorEastAsia"/>
                <w:b/>
                <w:bCs/>
                <w:color w:val="auto"/>
                <w:sz w:val="24"/>
                <w:highlight w:val="none"/>
              </w:rPr>
            </w:pPr>
          </w:p>
        </w:tc>
        <w:tc>
          <w:tcPr>
            <w:tcW w:w="1009" w:type="pct"/>
            <w:tcBorders>
              <w:top w:val="single" w:color="auto" w:sz="4" w:space="0"/>
              <w:left w:val="single" w:color="auto" w:sz="4" w:space="0"/>
              <w:bottom w:val="single" w:color="auto" w:sz="4" w:space="0"/>
              <w:right w:val="single" w:color="auto" w:sz="4" w:space="0"/>
            </w:tcBorders>
            <w:vAlign w:val="center"/>
          </w:tcPr>
          <w:p w14:paraId="6C3BDC03">
            <w:pPr>
              <w:spacing w:line="360" w:lineRule="auto"/>
              <w:jc w:val="center"/>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业绩</w:t>
            </w:r>
          </w:p>
        </w:tc>
        <w:tc>
          <w:tcPr>
            <w:tcW w:w="2197" w:type="pct"/>
            <w:tcBorders>
              <w:top w:val="single" w:color="auto" w:sz="4" w:space="0"/>
              <w:left w:val="single" w:color="auto" w:sz="4" w:space="0"/>
              <w:bottom w:val="single" w:color="auto" w:sz="4" w:space="0"/>
              <w:right w:val="single" w:color="auto" w:sz="4" w:space="0"/>
            </w:tcBorders>
            <w:vAlign w:val="center"/>
          </w:tcPr>
          <w:p w14:paraId="1DFE4A2F">
            <w:pPr>
              <w:spacing w:line="360" w:lineRule="auto"/>
              <w:jc w:val="left"/>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 xml:space="preserve">自2023年1月至今(以合同签订时间为准)，供应商具有类似业绩的，每提供一个得3分，最高得15分。 </w:t>
            </w:r>
          </w:p>
          <w:p w14:paraId="55878A0C">
            <w:pPr>
              <w:spacing w:line="360" w:lineRule="auto"/>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 xml:space="preserve">注：须提供业绩合同扫描件或影印件，如合同中无法关键信息的，须同时另附业主证明材料扫描件或影印件，否则不得分。 </w:t>
            </w:r>
          </w:p>
        </w:tc>
        <w:tc>
          <w:tcPr>
            <w:tcW w:w="926" w:type="pct"/>
            <w:tcBorders>
              <w:top w:val="single" w:color="auto" w:sz="4" w:space="0"/>
              <w:left w:val="single" w:color="auto" w:sz="4" w:space="0"/>
              <w:bottom w:val="single" w:color="auto" w:sz="4" w:space="0"/>
              <w:right w:val="single" w:color="auto" w:sz="4" w:space="0"/>
            </w:tcBorders>
            <w:vAlign w:val="center"/>
          </w:tcPr>
          <w:p w14:paraId="4E046731">
            <w:pPr>
              <w:spacing w:line="360" w:lineRule="auto"/>
              <w:jc w:val="center"/>
              <w:rPr>
                <w:rFonts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lang w:eastAsia="zh-CN"/>
              </w:rPr>
              <w:t>（</w:t>
            </w:r>
            <w:r>
              <w:rPr>
                <w:rFonts w:hint="eastAsia" w:asciiTheme="minorEastAsia" w:hAnsiTheme="minorEastAsia" w:eastAsiaTheme="minorEastAsia"/>
                <w:b/>
                <w:bCs/>
                <w:color w:val="auto"/>
                <w:sz w:val="24"/>
                <w:highlight w:val="none"/>
                <w:lang w:val="en-US" w:eastAsia="zh-CN"/>
              </w:rPr>
              <w:t>0-15分</w:t>
            </w:r>
            <w:r>
              <w:rPr>
                <w:rFonts w:hint="eastAsia" w:asciiTheme="minorEastAsia" w:hAnsiTheme="minorEastAsia" w:eastAsiaTheme="minorEastAsia"/>
                <w:b/>
                <w:bCs/>
                <w:color w:val="auto"/>
                <w:sz w:val="24"/>
                <w:highlight w:val="none"/>
                <w:lang w:eastAsia="zh-CN"/>
              </w:rPr>
              <w:t>）</w:t>
            </w:r>
          </w:p>
        </w:tc>
      </w:tr>
      <w:tr w14:paraId="47A16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tcBorders>
              <w:left w:val="single" w:color="auto" w:sz="4" w:space="0"/>
              <w:right w:val="single" w:color="auto" w:sz="4" w:space="0"/>
            </w:tcBorders>
            <w:vAlign w:val="center"/>
          </w:tcPr>
          <w:p w14:paraId="404AC439">
            <w:pPr>
              <w:spacing w:line="360" w:lineRule="auto"/>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价格分</w:t>
            </w:r>
          </w:p>
          <w:p w14:paraId="22D9579A">
            <w:pPr>
              <w:spacing w:line="360" w:lineRule="auto"/>
              <w:jc w:val="center"/>
              <w:rPr>
                <w:rFonts w:asciiTheme="minorEastAsia" w:hAnsiTheme="minorEastAsia" w:eastAsiaTheme="minorEastAsia"/>
                <w:b/>
                <w:bCs/>
                <w:color w:val="auto"/>
                <w:sz w:val="24"/>
                <w:highlight w:val="none"/>
              </w:rPr>
            </w:pP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u w:val="single"/>
                <w:lang w:val="en-US" w:eastAsia="zh-CN"/>
              </w:rPr>
              <w:t>10</w:t>
            </w:r>
            <w:r>
              <w:rPr>
                <w:rFonts w:hint="eastAsia" w:asciiTheme="minorEastAsia" w:hAnsiTheme="minorEastAsia" w:eastAsiaTheme="minorEastAsia"/>
                <w:color w:val="auto"/>
                <w:sz w:val="24"/>
                <w:highlight w:val="none"/>
              </w:rPr>
              <w:t>分）</w:t>
            </w:r>
          </w:p>
        </w:tc>
        <w:tc>
          <w:tcPr>
            <w:tcW w:w="4132" w:type="pct"/>
            <w:gridSpan w:val="3"/>
            <w:tcBorders>
              <w:top w:val="single" w:color="auto" w:sz="4" w:space="0"/>
              <w:left w:val="single" w:color="auto" w:sz="4" w:space="0"/>
              <w:bottom w:val="single" w:color="auto" w:sz="4" w:space="0"/>
              <w:right w:val="single" w:color="auto" w:sz="4" w:space="0"/>
            </w:tcBorders>
            <w:vAlign w:val="center"/>
          </w:tcPr>
          <w:p w14:paraId="7EDF5A6D">
            <w:pPr>
              <w:spacing w:line="360" w:lineRule="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价格分统一采用低价优先法，即满足磋商文件要求且最后报价最低的供应商的价格为磋商基准价，其价格分为满分</w:t>
            </w:r>
            <w:r>
              <w:rPr>
                <w:rFonts w:hint="eastAsia" w:asciiTheme="minorEastAsia" w:hAnsiTheme="minorEastAsia" w:eastAsiaTheme="minorEastAsia"/>
                <w:color w:val="auto"/>
                <w:sz w:val="24"/>
                <w:highlight w:val="none"/>
                <w:u w:val="single"/>
                <w:lang w:val="en-US" w:eastAsia="zh-CN"/>
              </w:rPr>
              <w:t>10</w:t>
            </w:r>
            <w:r>
              <w:rPr>
                <w:rFonts w:hint="eastAsia" w:asciiTheme="minorEastAsia" w:hAnsiTheme="minorEastAsia" w:eastAsiaTheme="minorEastAsia"/>
                <w:color w:val="auto"/>
                <w:sz w:val="24"/>
                <w:highlight w:val="none"/>
              </w:rPr>
              <w:t>分。其他供应商的价格分统一按照下列公式计算：</w:t>
            </w:r>
          </w:p>
          <w:p w14:paraId="511DC575">
            <w:pPr>
              <w:spacing w:line="360" w:lineRule="auto"/>
              <w:rPr>
                <w:rFonts w:asciiTheme="minorEastAsia" w:hAnsiTheme="minorEastAsia" w:eastAsiaTheme="minorEastAsia"/>
                <w:b/>
                <w:bCs/>
                <w:color w:val="auto"/>
                <w:sz w:val="24"/>
                <w:highlight w:val="none"/>
              </w:rPr>
            </w:pPr>
            <w:r>
              <w:rPr>
                <w:rFonts w:hint="eastAsia" w:asciiTheme="minorEastAsia" w:hAnsiTheme="minorEastAsia" w:eastAsiaTheme="minorEastAsia"/>
                <w:color w:val="auto"/>
                <w:sz w:val="24"/>
                <w:highlight w:val="none"/>
              </w:rPr>
              <w:t>磋商报价得分＝（磋商基准价/</w:t>
            </w:r>
            <w:r>
              <w:rPr>
                <w:rFonts w:hint="eastAsia"/>
                <w:color w:val="auto"/>
                <w:sz w:val="24"/>
                <w:highlight w:val="none"/>
              </w:rPr>
              <w:t>最后磋商</w:t>
            </w:r>
            <w:r>
              <w:rPr>
                <w:rFonts w:hint="eastAsia" w:asciiTheme="minorEastAsia" w:hAnsiTheme="minorEastAsia" w:eastAsiaTheme="minorEastAsia"/>
                <w:color w:val="auto"/>
                <w:sz w:val="24"/>
                <w:highlight w:val="none"/>
              </w:rPr>
              <w:t>报价）×</w:t>
            </w:r>
            <w:r>
              <w:rPr>
                <w:rFonts w:hint="eastAsia" w:asciiTheme="minorEastAsia" w:hAnsiTheme="minorEastAsia" w:eastAsiaTheme="minorEastAsia"/>
                <w:color w:val="auto"/>
                <w:sz w:val="24"/>
                <w:highlight w:val="none"/>
                <w:u w:val="single"/>
                <w:lang w:val="en-US" w:eastAsia="zh-CN"/>
              </w:rPr>
              <w:t>10</w:t>
            </w:r>
            <w:r>
              <w:rPr>
                <w:rFonts w:hint="eastAsia" w:asciiTheme="minorEastAsia" w:hAnsiTheme="minorEastAsia" w:eastAsiaTheme="minorEastAsia"/>
                <w:color w:val="auto"/>
                <w:sz w:val="24"/>
                <w:highlight w:val="none"/>
              </w:rPr>
              <w:t>％×100</w:t>
            </w:r>
          </w:p>
        </w:tc>
      </w:tr>
    </w:tbl>
    <w:p w14:paraId="55068F31">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.3</w:t>
      </w:r>
      <w:r>
        <w:rPr>
          <w:rFonts w:hint="eastAsia" w:asciiTheme="minorEastAsia" w:hAnsiTheme="minorEastAsia" w:eastAsiaTheme="minorEastAsia"/>
          <w:color w:val="auto"/>
          <w:sz w:val="24"/>
          <w:highlight w:val="none"/>
        </w:rPr>
        <w:t>分值汇总</w:t>
      </w:r>
    </w:p>
    <w:p w14:paraId="246D88E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r>
        <w:rPr>
          <w:rFonts w:asciiTheme="minorEastAsia" w:hAnsiTheme="minorEastAsia" w:eastAsiaTheme="minorEastAsia"/>
          <w:color w:val="auto"/>
          <w:sz w:val="24"/>
          <w:highlight w:val="none"/>
        </w:rPr>
        <w:t>1）磋商小组各成员应当独立对每个有效响应的文件进行评价、打分，然后汇总每个供应商每项评分因素的得分，再取各位评委评分之平均值，四舍五入保留至小数点后两位数，得到该供应商的技术资信分。</w:t>
      </w:r>
    </w:p>
    <w:p w14:paraId="72CA8E13">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r>
        <w:rPr>
          <w:rFonts w:asciiTheme="minorEastAsia" w:hAnsiTheme="minorEastAsia" w:eastAsiaTheme="minorEastAsia"/>
          <w:color w:val="auto"/>
          <w:sz w:val="24"/>
          <w:highlight w:val="none"/>
        </w:rPr>
        <w:t>2）将每个供应商的技术资信分加上根据上述标准计算出的价格分，即为该供应商的综合总得分。</w:t>
      </w:r>
    </w:p>
    <w:p w14:paraId="2144E92D">
      <w:pPr>
        <w:widowControl/>
        <w:jc w:val="left"/>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br w:type="page"/>
      </w:r>
    </w:p>
    <w:p w14:paraId="062A0DF2">
      <w:pPr>
        <w:spacing w:line="360" w:lineRule="auto"/>
        <w:jc w:val="center"/>
        <w:outlineLvl w:val="0"/>
        <w:rPr>
          <w:rFonts w:asciiTheme="minorEastAsia" w:hAnsiTheme="minorEastAsia" w:eastAsiaTheme="minorEastAsia"/>
          <w:b/>
          <w:color w:val="auto"/>
          <w:sz w:val="28"/>
          <w:highlight w:val="none"/>
        </w:rPr>
      </w:pPr>
      <w:bookmarkStart w:id="51" w:name="_Toc11445"/>
      <w:r>
        <w:rPr>
          <w:rFonts w:hint="eastAsia" w:asciiTheme="minorEastAsia" w:hAnsiTheme="minorEastAsia" w:eastAsiaTheme="minorEastAsia"/>
          <w:b/>
          <w:color w:val="auto"/>
          <w:sz w:val="28"/>
          <w:highlight w:val="none"/>
        </w:rPr>
        <w:t xml:space="preserve">第五章  </w:t>
      </w:r>
      <w:r>
        <w:rPr>
          <w:rFonts w:asciiTheme="minorEastAsia" w:hAnsiTheme="minorEastAsia" w:eastAsiaTheme="minorEastAsia"/>
          <w:b/>
          <w:color w:val="auto"/>
          <w:sz w:val="28"/>
          <w:highlight w:val="none"/>
        </w:rPr>
        <w:t>政府采购合同</w:t>
      </w:r>
      <w:bookmarkEnd w:id="51"/>
    </w:p>
    <w:p w14:paraId="75D0E682">
      <w:pPr>
        <w:keepNext/>
        <w:keepLines/>
        <w:snapToGrid w:val="0"/>
        <w:spacing w:before="312" w:beforeLines="100" w:after="312" w:afterLines="100" w:line="360" w:lineRule="auto"/>
        <w:jc w:val="center"/>
        <w:outlineLvl w:val="1"/>
        <w:rPr>
          <w:rFonts w:cs="宋体"/>
          <w:b/>
          <w:bCs/>
          <w:color w:val="auto"/>
          <w:sz w:val="21"/>
          <w:szCs w:val="21"/>
        </w:rPr>
      </w:pPr>
      <w:bookmarkStart w:id="52" w:name="_Toc9907"/>
      <w:bookmarkStart w:id="53" w:name="_Toc28799376"/>
      <w:bookmarkStart w:id="54" w:name="_Toc27555"/>
      <w:bookmarkStart w:id="55" w:name="_Toc130919120"/>
      <w:r>
        <w:rPr>
          <w:rFonts w:hint="eastAsia" w:cs="宋体"/>
          <w:b/>
          <w:bCs/>
          <w:color w:val="auto"/>
          <w:sz w:val="21"/>
          <w:szCs w:val="21"/>
        </w:rPr>
        <w:t>第一节  合同协议书</w:t>
      </w:r>
      <w:bookmarkEnd w:id="52"/>
      <w:bookmarkEnd w:id="53"/>
      <w:bookmarkEnd w:id="54"/>
      <w:bookmarkEnd w:id="55"/>
    </w:p>
    <w:p w14:paraId="071D0781">
      <w:pPr>
        <w:spacing w:line="360" w:lineRule="auto"/>
        <w:rPr>
          <w:rFonts w:hint="default" w:eastAsia="宋体" w:cs="宋体"/>
          <w:b/>
          <w:color w:val="auto"/>
          <w:sz w:val="24"/>
          <w:szCs w:val="24"/>
          <w:u w:val="single"/>
          <w:lang w:val="en-US" w:eastAsia="zh-CN"/>
        </w:rPr>
      </w:pPr>
      <w:r>
        <w:rPr>
          <w:rFonts w:hint="eastAsia" w:cs="宋体"/>
          <w:b/>
          <w:color w:val="auto"/>
          <w:sz w:val="24"/>
          <w:szCs w:val="24"/>
        </w:rPr>
        <w:t>发包人（全称）：</w:t>
      </w:r>
      <w:r>
        <w:rPr>
          <w:rFonts w:hint="eastAsia" w:cs="宋体"/>
          <w:b/>
          <w:color w:val="auto"/>
          <w:sz w:val="24"/>
          <w:szCs w:val="24"/>
          <w:u w:val="single"/>
          <w:lang w:val="en-US" w:eastAsia="zh-CN"/>
        </w:rPr>
        <w:t>安徽融城高新技术产业发展集团有限公司</w:t>
      </w:r>
    </w:p>
    <w:p w14:paraId="49C0B5E2">
      <w:pPr>
        <w:spacing w:line="360" w:lineRule="auto"/>
        <w:rPr>
          <w:rFonts w:cs="宋体"/>
          <w:b/>
          <w:color w:val="auto"/>
          <w:sz w:val="24"/>
          <w:szCs w:val="24"/>
          <w:u w:val="single"/>
        </w:rPr>
      </w:pPr>
      <w:r>
        <w:rPr>
          <w:rFonts w:hint="eastAsia" w:cs="宋体"/>
          <w:b/>
          <w:color w:val="auto"/>
          <w:sz w:val="24"/>
          <w:szCs w:val="24"/>
        </w:rPr>
        <w:t>承包人（全称）：</w:t>
      </w:r>
      <w:r>
        <w:rPr>
          <w:rFonts w:hint="eastAsia" w:cs="宋体"/>
          <w:b/>
          <w:color w:val="auto"/>
          <w:sz w:val="24"/>
          <w:szCs w:val="24"/>
          <w:u w:val="single"/>
        </w:rPr>
        <w:t xml:space="preserve">        </w:t>
      </w:r>
    </w:p>
    <w:p w14:paraId="69B8187A">
      <w:pPr>
        <w:spacing w:line="360" w:lineRule="auto"/>
        <w:rPr>
          <w:rFonts w:ascii="Times New Roman" w:hAnsi="Times New Roman" w:eastAsia="仿宋_GB2312" w:cs="Times New Roman"/>
          <w:b/>
          <w:color w:val="auto"/>
          <w:kern w:val="2"/>
          <w:sz w:val="30"/>
          <w:szCs w:val="30"/>
          <w:u w:val="single"/>
        </w:rPr>
      </w:pPr>
    </w:p>
    <w:p w14:paraId="68177932">
      <w:pPr>
        <w:snapToGrid w:val="0"/>
        <w:spacing w:line="360" w:lineRule="auto"/>
        <w:ind w:firstLine="420" w:firstLineChars="200"/>
        <w:rPr>
          <w:rFonts w:cs="宋体"/>
          <w:color w:val="auto"/>
          <w:sz w:val="21"/>
          <w:szCs w:val="21"/>
        </w:rPr>
      </w:pPr>
      <w:r>
        <w:rPr>
          <w:rFonts w:hint="eastAsia" w:cs="宋体"/>
          <w:color w:val="auto"/>
          <w:sz w:val="21"/>
          <w:szCs w:val="21"/>
        </w:rPr>
        <w:t>根据《中华人民共和国民法典》《中华人民共和国建筑法》及有关法律规定，遵循平等、自愿、公平和诚实信用的原则，双方就</w:t>
      </w:r>
      <w:r>
        <w:rPr>
          <w:rFonts w:hint="eastAsia" w:cs="宋体"/>
          <w:color w:val="auto"/>
          <w:sz w:val="21"/>
          <w:szCs w:val="21"/>
          <w:u w:val="single"/>
          <w:lang w:eastAsia="zh-CN"/>
        </w:rPr>
        <w:t>界首市顺河路、经二路、胜利路清淤及检测工程</w:t>
      </w:r>
      <w:r>
        <w:rPr>
          <w:rFonts w:hint="eastAsia" w:cs="宋体"/>
          <w:color w:val="auto"/>
          <w:sz w:val="21"/>
          <w:szCs w:val="21"/>
        </w:rPr>
        <w:t>工程施工及有关事项协商一致，共同达成如下协议：</w:t>
      </w:r>
    </w:p>
    <w:p w14:paraId="120A1E81">
      <w:pPr>
        <w:snapToGrid w:val="0"/>
        <w:spacing w:line="360" w:lineRule="auto"/>
        <w:ind w:firstLine="422" w:firstLineChars="200"/>
        <w:rPr>
          <w:rFonts w:cs="宋体"/>
          <w:color w:val="auto"/>
          <w:sz w:val="21"/>
          <w:szCs w:val="21"/>
        </w:rPr>
      </w:pPr>
      <w:r>
        <w:rPr>
          <w:rFonts w:hint="eastAsia" w:cs="宋体"/>
          <w:b/>
          <w:color w:val="auto"/>
          <w:sz w:val="21"/>
          <w:szCs w:val="21"/>
        </w:rPr>
        <w:t>一、工程概况</w:t>
      </w:r>
    </w:p>
    <w:p w14:paraId="35175D4A">
      <w:pPr>
        <w:snapToGrid w:val="0"/>
        <w:spacing w:line="360" w:lineRule="auto"/>
        <w:ind w:firstLine="411" w:firstLineChars="196"/>
        <w:rPr>
          <w:rFonts w:cs="宋体"/>
          <w:color w:val="auto"/>
          <w:sz w:val="21"/>
          <w:szCs w:val="21"/>
          <w:u w:val="single"/>
        </w:rPr>
      </w:pPr>
      <w:r>
        <w:rPr>
          <w:rFonts w:hint="eastAsia" w:cs="宋体"/>
          <w:bCs/>
          <w:color w:val="auto"/>
          <w:sz w:val="21"/>
          <w:szCs w:val="21"/>
        </w:rPr>
        <w:t>1. 工程名称</w:t>
      </w:r>
      <w:r>
        <w:rPr>
          <w:rFonts w:hint="eastAsia" w:cs="宋体"/>
          <w:color w:val="auto"/>
          <w:sz w:val="21"/>
          <w:szCs w:val="21"/>
        </w:rPr>
        <w:t>：</w:t>
      </w:r>
      <w:r>
        <w:rPr>
          <w:rFonts w:hint="eastAsia" w:cs="宋体"/>
          <w:color w:val="auto"/>
          <w:sz w:val="21"/>
          <w:szCs w:val="21"/>
          <w:u w:val="single"/>
          <w:lang w:eastAsia="zh-CN"/>
        </w:rPr>
        <w:t>界首市顺河路、经二路、胜利路清淤及检测工程</w:t>
      </w:r>
      <w:r>
        <w:rPr>
          <w:rFonts w:hint="eastAsia" w:cs="宋体"/>
          <w:color w:val="auto"/>
          <w:sz w:val="21"/>
          <w:szCs w:val="21"/>
        </w:rPr>
        <w:t>。</w:t>
      </w:r>
    </w:p>
    <w:p w14:paraId="791EAFAE">
      <w:pPr>
        <w:snapToGrid w:val="0"/>
        <w:spacing w:line="360" w:lineRule="auto"/>
        <w:ind w:firstLine="411" w:firstLineChars="196"/>
        <w:rPr>
          <w:rFonts w:cs="宋体"/>
          <w:bCs/>
          <w:color w:val="auto"/>
          <w:sz w:val="21"/>
          <w:szCs w:val="21"/>
        </w:rPr>
      </w:pPr>
      <w:r>
        <w:rPr>
          <w:rFonts w:hint="eastAsia" w:cs="宋体"/>
          <w:bCs/>
          <w:color w:val="auto"/>
          <w:sz w:val="21"/>
          <w:szCs w:val="21"/>
        </w:rPr>
        <w:t>2. 工程地点：</w:t>
      </w:r>
      <w:r>
        <w:rPr>
          <w:rFonts w:hint="eastAsia" w:cs="宋体"/>
          <w:color w:val="auto"/>
          <w:sz w:val="21"/>
          <w:szCs w:val="21"/>
          <w:u w:val="single"/>
          <w:lang w:val="en-US" w:eastAsia="zh-CN"/>
        </w:rPr>
        <w:t>界首市</w:t>
      </w:r>
      <w:r>
        <w:rPr>
          <w:rFonts w:hint="eastAsia" w:cs="宋体"/>
          <w:color w:val="auto"/>
          <w:sz w:val="21"/>
          <w:szCs w:val="21"/>
        </w:rPr>
        <w:t>。</w:t>
      </w:r>
    </w:p>
    <w:p w14:paraId="57259BAB">
      <w:pPr>
        <w:snapToGrid w:val="0"/>
        <w:spacing w:line="360" w:lineRule="auto"/>
        <w:ind w:firstLine="411" w:firstLineChars="196"/>
        <w:rPr>
          <w:rFonts w:cs="宋体"/>
          <w:bCs/>
          <w:color w:val="auto"/>
          <w:sz w:val="21"/>
          <w:szCs w:val="21"/>
        </w:rPr>
      </w:pPr>
      <w:r>
        <w:rPr>
          <w:rFonts w:hint="eastAsia" w:cs="宋体"/>
          <w:bCs/>
          <w:color w:val="auto"/>
          <w:sz w:val="21"/>
          <w:szCs w:val="21"/>
        </w:rPr>
        <w:t>3. 工程立项批准文号：</w:t>
      </w:r>
      <w:r>
        <w:rPr>
          <w:rFonts w:hint="eastAsia" w:cs="宋体"/>
          <w:color w:val="auto"/>
          <w:sz w:val="21"/>
          <w:szCs w:val="21"/>
          <w:u w:val="single"/>
        </w:rPr>
        <w:t xml:space="preserve">       </w:t>
      </w:r>
      <w:r>
        <w:rPr>
          <w:rFonts w:hint="eastAsia" w:cs="宋体"/>
          <w:bCs/>
          <w:color w:val="auto"/>
          <w:sz w:val="21"/>
          <w:szCs w:val="21"/>
        </w:rPr>
        <w:t>。</w:t>
      </w:r>
    </w:p>
    <w:p w14:paraId="254F5049">
      <w:pPr>
        <w:snapToGrid w:val="0"/>
        <w:spacing w:line="360" w:lineRule="auto"/>
        <w:ind w:firstLine="411" w:firstLineChars="196"/>
        <w:rPr>
          <w:rFonts w:cs="宋体"/>
          <w:bCs/>
          <w:color w:val="auto"/>
          <w:sz w:val="21"/>
          <w:szCs w:val="21"/>
        </w:rPr>
      </w:pPr>
      <w:r>
        <w:rPr>
          <w:rFonts w:hint="eastAsia" w:cs="宋体"/>
          <w:bCs/>
          <w:color w:val="auto"/>
          <w:sz w:val="21"/>
          <w:szCs w:val="21"/>
        </w:rPr>
        <w:t>4. 资金来源：</w:t>
      </w:r>
      <w:r>
        <w:rPr>
          <w:rFonts w:hint="eastAsia" w:cs="宋体"/>
          <w:bCs/>
          <w:color w:val="auto"/>
          <w:sz w:val="21"/>
          <w:szCs w:val="21"/>
          <w:u w:val="single"/>
          <w:lang w:val="en-US" w:eastAsia="zh-CN"/>
        </w:rPr>
        <w:t>自筹</w:t>
      </w:r>
      <w:r>
        <w:rPr>
          <w:rFonts w:hint="eastAsia" w:cs="宋体"/>
          <w:color w:val="auto"/>
          <w:sz w:val="21"/>
          <w:szCs w:val="21"/>
          <w:u w:val="single"/>
          <w:lang w:val="en-US" w:eastAsia="zh-CN"/>
        </w:rPr>
        <w:t>资金</w:t>
      </w:r>
      <w:r>
        <w:rPr>
          <w:rFonts w:hint="eastAsia" w:cs="宋体"/>
          <w:bCs/>
          <w:color w:val="auto"/>
          <w:sz w:val="21"/>
          <w:szCs w:val="21"/>
        </w:rPr>
        <w:t>。</w:t>
      </w:r>
    </w:p>
    <w:p w14:paraId="01F59363">
      <w:pPr>
        <w:snapToGrid w:val="0"/>
        <w:spacing w:line="360" w:lineRule="auto"/>
        <w:ind w:firstLine="411" w:firstLineChars="196"/>
        <w:rPr>
          <w:rFonts w:cs="宋体"/>
          <w:bCs/>
          <w:color w:val="auto"/>
          <w:sz w:val="21"/>
          <w:szCs w:val="21"/>
        </w:rPr>
      </w:pPr>
      <w:r>
        <w:rPr>
          <w:rFonts w:hint="eastAsia" w:cs="宋体"/>
          <w:bCs/>
          <w:color w:val="auto"/>
          <w:sz w:val="21"/>
          <w:szCs w:val="21"/>
        </w:rPr>
        <w:t>5. 工程内容：</w:t>
      </w:r>
      <w:r>
        <w:rPr>
          <w:rFonts w:hint="eastAsia" w:ascii="宋体" w:hAnsi="宋体" w:eastAsia="宋体" w:cs="宋体"/>
          <w:i w:val="0"/>
          <w:iCs w:val="0"/>
          <w:color w:val="auto"/>
          <w:sz w:val="21"/>
          <w:szCs w:val="21"/>
          <w:u w:val="single"/>
          <w:lang w:val="en-US" w:eastAsia="zh-CN"/>
        </w:rPr>
        <w:t>具体内容详见工程量清单</w:t>
      </w:r>
      <w:r>
        <w:rPr>
          <w:rFonts w:hint="eastAsia" w:cs="宋体"/>
          <w:bCs/>
          <w:color w:val="auto"/>
          <w:sz w:val="21"/>
          <w:szCs w:val="21"/>
        </w:rPr>
        <w:t>。</w:t>
      </w:r>
    </w:p>
    <w:p w14:paraId="296C28FE">
      <w:pPr>
        <w:snapToGrid w:val="0"/>
        <w:spacing w:line="360" w:lineRule="auto"/>
        <w:ind w:firstLine="411" w:firstLineChars="196"/>
        <w:rPr>
          <w:rFonts w:cs="宋体"/>
          <w:bCs/>
          <w:color w:val="auto"/>
          <w:sz w:val="21"/>
          <w:szCs w:val="21"/>
        </w:rPr>
      </w:pPr>
      <w:r>
        <w:rPr>
          <w:rFonts w:hint="eastAsia" w:cs="宋体"/>
          <w:color w:val="auto"/>
          <w:sz w:val="21"/>
          <w:szCs w:val="21"/>
        </w:rPr>
        <w:t>群体工程应附《承包人承揽工程项目一览表》（附件1）。</w:t>
      </w:r>
    </w:p>
    <w:p w14:paraId="1C68E327">
      <w:pPr>
        <w:snapToGrid w:val="0"/>
        <w:spacing w:line="360" w:lineRule="auto"/>
        <w:ind w:firstLine="411" w:firstLineChars="196"/>
        <w:rPr>
          <w:rFonts w:cs="宋体"/>
          <w:color w:val="auto"/>
          <w:sz w:val="21"/>
          <w:szCs w:val="21"/>
        </w:rPr>
      </w:pPr>
      <w:r>
        <w:rPr>
          <w:rFonts w:hint="eastAsia" w:cs="宋体"/>
          <w:bCs/>
          <w:color w:val="auto"/>
          <w:sz w:val="21"/>
          <w:szCs w:val="21"/>
        </w:rPr>
        <w:t>6. 工程承包范围：</w:t>
      </w:r>
      <w:r>
        <w:rPr>
          <w:rFonts w:hint="eastAsia" w:cs="宋体"/>
          <w:i w:val="0"/>
          <w:iCs w:val="0"/>
          <w:color w:val="auto"/>
          <w:sz w:val="21"/>
          <w:szCs w:val="21"/>
          <w:u w:val="single"/>
          <w:lang w:eastAsia="zh-CN"/>
        </w:rPr>
        <w:t>界首市顺河路、经二路、胜利路清淤及检测工程</w:t>
      </w:r>
      <w:r>
        <w:rPr>
          <w:rFonts w:hint="eastAsia" w:ascii="宋体" w:hAnsi="宋体" w:eastAsia="宋体" w:cs="宋体"/>
          <w:i w:val="0"/>
          <w:iCs w:val="0"/>
          <w:color w:val="auto"/>
          <w:sz w:val="21"/>
          <w:szCs w:val="21"/>
          <w:u w:val="single"/>
          <w:lang w:val="en-US" w:eastAsia="zh-CN"/>
        </w:rPr>
        <w:t>，具体内容详见工程量清单</w:t>
      </w:r>
      <w:r>
        <w:rPr>
          <w:rFonts w:hint="eastAsia" w:cs="宋体"/>
          <w:color w:val="auto"/>
          <w:sz w:val="21"/>
          <w:szCs w:val="21"/>
        </w:rPr>
        <w:t>。</w:t>
      </w:r>
    </w:p>
    <w:p w14:paraId="4B8274F5">
      <w:pPr>
        <w:snapToGrid w:val="0"/>
        <w:spacing w:line="360" w:lineRule="auto"/>
        <w:ind w:firstLine="422" w:firstLineChars="200"/>
        <w:rPr>
          <w:rFonts w:cs="宋体"/>
          <w:b/>
          <w:color w:val="auto"/>
          <w:sz w:val="21"/>
          <w:szCs w:val="21"/>
        </w:rPr>
      </w:pPr>
      <w:bookmarkStart w:id="56" w:name="_Toc351203482"/>
      <w:r>
        <w:rPr>
          <w:rFonts w:hint="eastAsia" w:cs="宋体"/>
          <w:b/>
          <w:color w:val="auto"/>
          <w:sz w:val="21"/>
          <w:szCs w:val="21"/>
        </w:rPr>
        <w:t>二、合同工期</w:t>
      </w:r>
      <w:bookmarkEnd w:id="56"/>
    </w:p>
    <w:p w14:paraId="50205E29">
      <w:pPr>
        <w:snapToGrid w:val="0"/>
        <w:spacing w:line="360" w:lineRule="auto"/>
        <w:ind w:firstLine="459"/>
        <w:rPr>
          <w:rFonts w:cs="宋体"/>
          <w:color w:val="auto"/>
          <w:sz w:val="21"/>
          <w:szCs w:val="21"/>
        </w:rPr>
      </w:pPr>
      <w:r>
        <w:rPr>
          <w:rFonts w:hint="eastAsia" w:cs="宋体"/>
          <w:color w:val="auto"/>
          <w:sz w:val="21"/>
          <w:szCs w:val="21"/>
        </w:rPr>
        <w:t>计划开工日期：</w:t>
      </w:r>
      <w:r>
        <w:rPr>
          <w:rFonts w:hint="eastAsia" w:cs="宋体"/>
          <w:color w:val="auto"/>
          <w:sz w:val="21"/>
          <w:szCs w:val="21"/>
          <w:u w:val="single"/>
        </w:rPr>
        <w:t></w:t>
      </w:r>
      <w:r>
        <w:rPr>
          <w:rFonts w:hint="eastAsia" w:cs="宋体"/>
          <w:color w:val="auto"/>
          <w:sz w:val="21"/>
          <w:szCs w:val="21"/>
        </w:rPr>
        <w:t>年</w:t>
      </w:r>
      <w:r>
        <w:rPr>
          <w:rFonts w:hint="eastAsia" w:cs="宋体"/>
          <w:color w:val="auto"/>
          <w:sz w:val="21"/>
          <w:szCs w:val="21"/>
          <w:u w:val="single"/>
        </w:rPr>
        <w:t></w:t>
      </w:r>
      <w:r>
        <w:rPr>
          <w:rFonts w:hint="eastAsia" w:cs="宋体"/>
          <w:color w:val="auto"/>
          <w:sz w:val="21"/>
          <w:szCs w:val="21"/>
        </w:rPr>
        <w:t>月</w:t>
      </w:r>
      <w:r>
        <w:rPr>
          <w:rFonts w:hint="eastAsia" w:cs="宋体"/>
          <w:color w:val="auto"/>
          <w:sz w:val="21"/>
          <w:szCs w:val="21"/>
          <w:u w:val="single"/>
        </w:rPr>
        <w:t></w:t>
      </w:r>
      <w:r>
        <w:rPr>
          <w:rFonts w:hint="eastAsia" w:cs="宋体"/>
          <w:color w:val="auto"/>
          <w:sz w:val="21"/>
          <w:szCs w:val="21"/>
        </w:rPr>
        <w:t>日。</w:t>
      </w:r>
    </w:p>
    <w:p w14:paraId="78AE8A40">
      <w:pPr>
        <w:snapToGrid w:val="0"/>
        <w:spacing w:line="360" w:lineRule="auto"/>
        <w:ind w:firstLine="459"/>
        <w:rPr>
          <w:rFonts w:cs="宋体"/>
          <w:color w:val="auto"/>
          <w:sz w:val="21"/>
          <w:szCs w:val="21"/>
        </w:rPr>
      </w:pPr>
      <w:r>
        <w:rPr>
          <w:rFonts w:hint="eastAsia" w:cs="宋体"/>
          <w:color w:val="auto"/>
          <w:sz w:val="21"/>
          <w:szCs w:val="21"/>
        </w:rPr>
        <w:t>计划竣工日期：</w:t>
      </w:r>
      <w:r>
        <w:rPr>
          <w:rFonts w:hint="eastAsia" w:cs="宋体"/>
          <w:color w:val="auto"/>
          <w:sz w:val="21"/>
          <w:szCs w:val="21"/>
          <w:u w:val="single"/>
        </w:rPr>
        <w:t></w:t>
      </w:r>
      <w:r>
        <w:rPr>
          <w:rFonts w:hint="eastAsia" w:cs="宋体"/>
          <w:color w:val="auto"/>
          <w:sz w:val="21"/>
          <w:szCs w:val="21"/>
        </w:rPr>
        <w:t>年</w:t>
      </w:r>
      <w:r>
        <w:rPr>
          <w:rFonts w:hint="eastAsia" w:cs="宋体"/>
          <w:color w:val="auto"/>
          <w:sz w:val="21"/>
          <w:szCs w:val="21"/>
          <w:u w:val="single"/>
        </w:rPr>
        <w:t></w:t>
      </w:r>
      <w:r>
        <w:rPr>
          <w:rFonts w:hint="eastAsia" w:cs="宋体"/>
          <w:color w:val="auto"/>
          <w:sz w:val="21"/>
          <w:szCs w:val="21"/>
        </w:rPr>
        <w:t>月</w:t>
      </w:r>
      <w:r>
        <w:rPr>
          <w:rFonts w:hint="eastAsia" w:cs="宋体"/>
          <w:color w:val="auto"/>
          <w:sz w:val="21"/>
          <w:szCs w:val="21"/>
          <w:u w:val="single"/>
        </w:rPr>
        <w:t></w:t>
      </w:r>
      <w:r>
        <w:rPr>
          <w:rFonts w:hint="eastAsia" w:cs="宋体"/>
          <w:color w:val="auto"/>
          <w:sz w:val="21"/>
          <w:szCs w:val="21"/>
        </w:rPr>
        <w:t>日。</w:t>
      </w:r>
    </w:p>
    <w:p w14:paraId="13196151">
      <w:pPr>
        <w:snapToGrid w:val="0"/>
        <w:spacing w:line="360" w:lineRule="auto"/>
        <w:ind w:firstLine="459"/>
        <w:rPr>
          <w:rFonts w:cs="宋体"/>
          <w:color w:val="auto"/>
          <w:sz w:val="21"/>
          <w:szCs w:val="21"/>
        </w:rPr>
      </w:pPr>
      <w:r>
        <w:rPr>
          <w:rFonts w:hint="eastAsia" w:cs="宋体"/>
          <w:color w:val="auto"/>
          <w:sz w:val="21"/>
          <w:szCs w:val="21"/>
        </w:rPr>
        <w:t>工期总日历天数：</w:t>
      </w:r>
      <w:r>
        <w:rPr>
          <w:rFonts w:hint="eastAsia" w:cs="宋体"/>
          <w:color w:val="auto"/>
          <w:sz w:val="21"/>
          <w:szCs w:val="21"/>
          <w:u w:val="single"/>
          <w:lang w:val="en-US" w:eastAsia="zh-CN"/>
        </w:rPr>
        <w:t>30</w:t>
      </w:r>
      <w:r>
        <w:rPr>
          <w:rFonts w:hint="eastAsia" w:cs="宋体"/>
          <w:color w:val="auto"/>
          <w:sz w:val="21"/>
          <w:szCs w:val="21"/>
        </w:rPr>
        <w:t>天。工期总日历天数与根据前述计划开竣工日期计算的工期天数不一致的，以工期总日历天数为准。</w:t>
      </w:r>
    </w:p>
    <w:p w14:paraId="6036D061">
      <w:pPr>
        <w:snapToGrid w:val="0"/>
        <w:spacing w:line="360" w:lineRule="auto"/>
        <w:ind w:firstLine="422" w:firstLineChars="200"/>
        <w:rPr>
          <w:rFonts w:cs="宋体"/>
          <w:b/>
          <w:color w:val="auto"/>
          <w:sz w:val="21"/>
          <w:szCs w:val="21"/>
        </w:rPr>
      </w:pPr>
      <w:bookmarkStart w:id="57" w:name="_Toc351203483"/>
      <w:r>
        <w:rPr>
          <w:rFonts w:hint="eastAsia" w:cs="宋体"/>
          <w:b/>
          <w:color w:val="auto"/>
          <w:sz w:val="21"/>
          <w:szCs w:val="21"/>
        </w:rPr>
        <w:t>三、质量标准</w:t>
      </w:r>
      <w:bookmarkEnd w:id="57"/>
    </w:p>
    <w:p w14:paraId="4B533336">
      <w:pPr>
        <w:snapToGrid w:val="0"/>
        <w:spacing w:line="360" w:lineRule="auto"/>
        <w:ind w:firstLine="459"/>
        <w:rPr>
          <w:rFonts w:cs="宋体"/>
          <w:color w:val="auto"/>
          <w:sz w:val="21"/>
          <w:szCs w:val="21"/>
        </w:rPr>
      </w:pPr>
      <w:r>
        <w:rPr>
          <w:rFonts w:hint="eastAsia" w:cs="宋体"/>
          <w:color w:val="auto"/>
          <w:sz w:val="21"/>
          <w:szCs w:val="21"/>
        </w:rPr>
        <w:t>工程质量符合</w:t>
      </w:r>
      <w:r>
        <w:rPr>
          <w:rFonts w:hint="eastAsia" w:cs="宋体"/>
          <w:color w:val="auto"/>
          <w:sz w:val="21"/>
          <w:szCs w:val="21"/>
          <w:u w:val="single"/>
        </w:rPr>
        <w:t xml:space="preserve"> 合格 </w:t>
      </w:r>
      <w:r>
        <w:rPr>
          <w:rFonts w:hint="eastAsia" w:cs="宋体"/>
          <w:color w:val="auto"/>
          <w:sz w:val="21"/>
          <w:szCs w:val="21"/>
        </w:rPr>
        <w:t>标准。</w:t>
      </w:r>
    </w:p>
    <w:p w14:paraId="43556558">
      <w:pPr>
        <w:snapToGrid w:val="0"/>
        <w:spacing w:line="360" w:lineRule="auto"/>
        <w:ind w:firstLine="422" w:firstLineChars="200"/>
        <w:rPr>
          <w:rFonts w:cs="宋体"/>
          <w:b/>
          <w:color w:val="auto"/>
          <w:sz w:val="21"/>
          <w:szCs w:val="21"/>
        </w:rPr>
      </w:pPr>
      <w:bookmarkStart w:id="58" w:name="_Toc351203484"/>
      <w:r>
        <w:rPr>
          <w:rFonts w:hint="eastAsia" w:cs="宋体"/>
          <w:b/>
          <w:color w:val="auto"/>
          <w:sz w:val="21"/>
          <w:szCs w:val="21"/>
        </w:rPr>
        <w:t>四、签约合同价与合同价格形式</w:t>
      </w:r>
      <w:bookmarkEnd w:id="58"/>
    </w:p>
    <w:p w14:paraId="55CE7B46">
      <w:pPr>
        <w:snapToGrid w:val="0"/>
        <w:spacing w:line="360" w:lineRule="auto"/>
        <w:ind w:firstLine="420" w:firstLineChars="200"/>
        <w:rPr>
          <w:rFonts w:cs="宋体"/>
          <w:color w:val="auto"/>
          <w:sz w:val="21"/>
          <w:szCs w:val="21"/>
        </w:rPr>
      </w:pPr>
      <w:r>
        <w:rPr>
          <w:rFonts w:hint="eastAsia" w:cs="宋体"/>
          <w:color w:val="auto"/>
          <w:sz w:val="21"/>
          <w:szCs w:val="21"/>
        </w:rPr>
        <w:t>1. 签约合同价为：</w:t>
      </w:r>
    </w:p>
    <w:p w14:paraId="371F0189">
      <w:pPr>
        <w:snapToGrid w:val="0"/>
        <w:spacing w:line="360" w:lineRule="auto"/>
        <w:ind w:firstLine="525" w:firstLineChars="250"/>
        <w:rPr>
          <w:rFonts w:cs="宋体"/>
          <w:color w:val="auto"/>
          <w:sz w:val="21"/>
          <w:szCs w:val="21"/>
        </w:rPr>
      </w:pPr>
      <w:r>
        <w:rPr>
          <w:rFonts w:hint="eastAsia" w:cs="宋体"/>
          <w:color w:val="auto"/>
          <w:sz w:val="21"/>
          <w:szCs w:val="21"/>
        </w:rPr>
        <w:t>人民币（大写）</w:t>
      </w:r>
      <w:r>
        <w:rPr>
          <w:rFonts w:hint="eastAsia" w:cs="宋体"/>
          <w:color w:val="auto"/>
          <w:sz w:val="21"/>
          <w:szCs w:val="21"/>
          <w:u w:val="single"/>
        </w:rPr>
        <w:t xml:space="preserve">                 （</w:t>
      </w:r>
      <w:r>
        <w:rPr>
          <w:rFonts w:hint="eastAsia" w:cs="宋体"/>
          <w:color w:val="auto"/>
          <w:sz w:val="21"/>
          <w:szCs w:val="21"/>
        </w:rPr>
        <w:t>¥</w:t>
      </w:r>
      <w:r>
        <w:rPr>
          <w:rFonts w:hint="eastAsia" w:cs="宋体"/>
          <w:color w:val="auto"/>
          <w:sz w:val="21"/>
          <w:szCs w:val="21"/>
          <w:u w:val="single"/>
        </w:rPr>
        <w:t xml:space="preserve">            </w:t>
      </w:r>
      <w:r>
        <w:rPr>
          <w:rFonts w:hint="eastAsia" w:cs="宋体"/>
          <w:color w:val="auto"/>
          <w:sz w:val="21"/>
          <w:szCs w:val="21"/>
        </w:rPr>
        <w:t>元）；</w:t>
      </w:r>
    </w:p>
    <w:p w14:paraId="38D93564">
      <w:pPr>
        <w:snapToGrid w:val="0"/>
        <w:spacing w:line="360" w:lineRule="auto"/>
        <w:ind w:firstLine="420" w:firstLineChars="200"/>
        <w:rPr>
          <w:rFonts w:cs="宋体"/>
          <w:color w:val="auto"/>
          <w:sz w:val="21"/>
          <w:szCs w:val="21"/>
        </w:rPr>
      </w:pPr>
      <w:r>
        <w:rPr>
          <w:rFonts w:hint="eastAsia" w:cs="宋体"/>
          <w:color w:val="auto"/>
          <w:sz w:val="21"/>
          <w:szCs w:val="21"/>
        </w:rPr>
        <w:t>其中：</w:t>
      </w:r>
    </w:p>
    <w:p w14:paraId="15F9833F">
      <w:pPr>
        <w:snapToGrid w:val="0"/>
        <w:spacing w:line="360" w:lineRule="auto"/>
        <w:ind w:firstLine="420" w:firstLineChars="200"/>
        <w:rPr>
          <w:rFonts w:cs="宋体"/>
          <w:color w:val="auto"/>
          <w:sz w:val="21"/>
          <w:szCs w:val="21"/>
        </w:rPr>
      </w:pPr>
      <w:r>
        <w:rPr>
          <w:rFonts w:hint="eastAsia" w:cs="宋体"/>
          <w:color w:val="auto"/>
          <w:sz w:val="21"/>
          <w:szCs w:val="21"/>
        </w:rPr>
        <w:t>（1）安全文明施工费：</w:t>
      </w:r>
    </w:p>
    <w:p w14:paraId="53D26CEE">
      <w:pPr>
        <w:snapToGrid w:val="0"/>
        <w:spacing w:line="360" w:lineRule="auto"/>
        <w:ind w:firstLine="945" w:firstLineChars="450"/>
        <w:rPr>
          <w:rFonts w:cs="宋体"/>
          <w:color w:val="auto"/>
          <w:sz w:val="21"/>
          <w:szCs w:val="21"/>
        </w:rPr>
      </w:pPr>
      <w:r>
        <w:rPr>
          <w:rFonts w:hint="eastAsia" w:cs="宋体"/>
          <w:color w:val="auto"/>
          <w:sz w:val="21"/>
          <w:szCs w:val="21"/>
        </w:rPr>
        <w:t>人民币（大写）</w:t>
      </w:r>
      <w:r>
        <w:rPr>
          <w:rFonts w:hint="eastAsia" w:cs="宋体"/>
          <w:color w:val="auto"/>
          <w:sz w:val="21"/>
          <w:szCs w:val="21"/>
          <w:u w:val="single"/>
        </w:rPr>
        <w:t xml:space="preserve">              </w:t>
      </w:r>
      <w:r>
        <w:rPr>
          <w:rFonts w:hint="eastAsia" w:cs="宋体"/>
          <w:color w:val="auto"/>
          <w:sz w:val="21"/>
          <w:szCs w:val="21"/>
        </w:rPr>
        <w:t xml:space="preserve"> （¥</w:t>
      </w:r>
      <w:r>
        <w:rPr>
          <w:rFonts w:hint="eastAsia" w:cs="宋体"/>
          <w:color w:val="auto"/>
          <w:sz w:val="21"/>
          <w:szCs w:val="21"/>
          <w:u w:val="single"/>
        </w:rPr>
        <w:t xml:space="preserve">          </w:t>
      </w:r>
      <w:r>
        <w:rPr>
          <w:rFonts w:hint="eastAsia" w:cs="宋体"/>
          <w:color w:val="auto"/>
          <w:sz w:val="21"/>
          <w:szCs w:val="21"/>
        </w:rPr>
        <w:t>元）；</w:t>
      </w:r>
    </w:p>
    <w:p w14:paraId="459DBD80">
      <w:pPr>
        <w:snapToGrid w:val="0"/>
        <w:spacing w:line="360" w:lineRule="auto"/>
        <w:ind w:firstLine="420" w:firstLineChars="200"/>
        <w:rPr>
          <w:rFonts w:cs="宋体"/>
          <w:color w:val="auto"/>
          <w:sz w:val="21"/>
          <w:szCs w:val="21"/>
        </w:rPr>
      </w:pPr>
      <w:r>
        <w:rPr>
          <w:rFonts w:hint="eastAsia" w:cs="宋体"/>
          <w:color w:val="auto"/>
          <w:sz w:val="21"/>
          <w:szCs w:val="21"/>
        </w:rPr>
        <w:t>（2）材料和工程设备暂估价金额：</w:t>
      </w:r>
    </w:p>
    <w:p w14:paraId="0A492CB7">
      <w:pPr>
        <w:snapToGrid w:val="0"/>
        <w:spacing w:line="360" w:lineRule="auto"/>
        <w:ind w:firstLine="945" w:firstLineChars="450"/>
        <w:rPr>
          <w:rFonts w:cs="宋体"/>
          <w:color w:val="auto"/>
          <w:sz w:val="21"/>
          <w:szCs w:val="21"/>
        </w:rPr>
      </w:pPr>
      <w:r>
        <w:rPr>
          <w:rFonts w:hint="eastAsia" w:cs="宋体"/>
          <w:color w:val="auto"/>
          <w:sz w:val="21"/>
          <w:szCs w:val="21"/>
        </w:rPr>
        <w:t>人民币（大写）</w:t>
      </w:r>
      <w:r>
        <w:rPr>
          <w:rFonts w:hint="eastAsia" w:cs="宋体"/>
          <w:color w:val="auto"/>
          <w:sz w:val="21"/>
          <w:szCs w:val="21"/>
          <w:u w:val="single"/>
        </w:rPr>
        <w:t xml:space="preserve">              </w:t>
      </w:r>
      <w:r>
        <w:rPr>
          <w:rFonts w:hint="eastAsia" w:cs="宋体"/>
          <w:color w:val="auto"/>
          <w:sz w:val="21"/>
          <w:szCs w:val="21"/>
        </w:rPr>
        <w:t xml:space="preserve"> （¥</w:t>
      </w:r>
      <w:r>
        <w:rPr>
          <w:rFonts w:hint="eastAsia" w:cs="宋体"/>
          <w:color w:val="auto"/>
          <w:sz w:val="21"/>
          <w:szCs w:val="21"/>
          <w:u w:val="single"/>
        </w:rPr>
        <w:t xml:space="preserve">          </w:t>
      </w:r>
      <w:r>
        <w:rPr>
          <w:rFonts w:hint="eastAsia" w:cs="宋体"/>
          <w:color w:val="auto"/>
          <w:sz w:val="21"/>
          <w:szCs w:val="21"/>
        </w:rPr>
        <w:t>元）；</w:t>
      </w:r>
    </w:p>
    <w:p w14:paraId="636B9083">
      <w:pPr>
        <w:snapToGrid w:val="0"/>
        <w:spacing w:line="360" w:lineRule="auto"/>
        <w:ind w:firstLine="420" w:firstLineChars="200"/>
        <w:rPr>
          <w:rFonts w:cs="宋体"/>
          <w:color w:val="auto"/>
          <w:sz w:val="21"/>
          <w:szCs w:val="21"/>
        </w:rPr>
      </w:pPr>
      <w:r>
        <w:rPr>
          <w:rFonts w:hint="eastAsia" w:cs="宋体"/>
          <w:color w:val="auto"/>
          <w:sz w:val="21"/>
          <w:szCs w:val="21"/>
        </w:rPr>
        <w:t>（3）专业工程暂估价金额：</w:t>
      </w:r>
    </w:p>
    <w:p w14:paraId="1989C7DA">
      <w:pPr>
        <w:snapToGrid w:val="0"/>
        <w:spacing w:line="360" w:lineRule="auto"/>
        <w:ind w:firstLine="945" w:firstLineChars="450"/>
        <w:rPr>
          <w:rFonts w:cs="宋体"/>
          <w:color w:val="auto"/>
          <w:sz w:val="21"/>
          <w:szCs w:val="21"/>
        </w:rPr>
      </w:pPr>
      <w:r>
        <w:rPr>
          <w:rFonts w:hint="eastAsia" w:cs="宋体"/>
          <w:color w:val="auto"/>
          <w:sz w:val="21"/>
          <w:szCs w:val="21"/>
        </w:rPr>
        <w:t>人民币（大写）</w:t>
      </w:r>
      <w:r>
        <w:rPr>
          <w:rFonts w:hint="eastAsia" w:cs="宋体"/>
          <w:color w:val="auto"/>
          <w:sz w:val="21"/>
          <w:szCs w:val="21"/>
          <w:u w:val="single"/>
        </w:rPr>
        <w:t xml:space="preserve">              </w:t>
      </w:r>
      <w:r>
        <w:rPr>
          <w:rFonts w:hint="eastAsia" w:cs="宋体"/>
          <w:color w:val="auto"/>
          <w:sz w:val="21"/>
          <w:szCs w:val="21"/>
        </w:rPr>
        <w:t xml:space="preserve"> （¥</w:t>
      </w:r>
      <w:r>
        <w:rPr>
          <w:rFonts w:hint="eastAsia" w:cs="宋体"/>
          <w:color w:val="auto"/>
          <w:sz w:val="21"/>
          <w:szCs w:val="21"/>
          <w:u w:val="single"/>
        </w:rPr>
        <w:t xml:space="preserve">          </w:t>
      </w:r>
      <w:r>
        <w:rPr>
          <w:rFonts w:hint="eastAsia" w:cs="宋体"/>
          <w:color w:val="auto"/>
          <w:sz w:val="21"/>
          <w:szCs w:val="21"/>
        </w:rPr>
        <w:t>元）；</w:t>
      </w:r>
    </w:p>
    <w:p w14:paraId="024CB233">
      <w:pPr>
        <w:snapToGrid w:val="0"/>
        <w:spacing w:line="360" w:lineRule="auto"/>
        <w:ind w:firstLine="420" w:firstLineChars="200"/>
        <w:rPr>
          <w:rFonts w:cs="宋体"/>
          <w:color w:val="auto"/>
          <w:sz w:val="21"/>
          <w:szCs w:val="21"/>
        </w:rPr>
      </w:pPr>
      <w:r>
        <w:rPr>
          <w:rFonts w:hint="eastAsia" w:cs="宋体"/>
          <w:color w:val="auto"/>
          <w:sz w:val="21"/>
          <w:szCs w:val="21"/>
        </w:rPr>
        <w:t>（4）暂列金额：</w:t>
      </w:r>
    </w:p>
    <w:p w14:paraId="0060F8DA">
      <w:pPr>
        <w:snapToGrid w:val="0"/>
        <w:spacing w:line="360" w:lineRule="auto"/>
        <w:ind w:firstLine="945" w:firstLineChars="450"/>
        <w:rPr>
          <w:rFonts w:cs="宋体"/>
          <w:color w:val="auto"/>
          <w:sz w:val="21"/>
          <w:szCs w:val="21"/>
        </w:rPr>
      </w:pPr>
      <w:r>
        <w:rPr>
          <w:rFonts w:hint="eastAsia" w:cs="宋体"/>
          <w:color w:val="auto"/>
          <w:sz w:val="21"/>
          <w:szCs w:val="21"/>
        </w:rPr>
        <w:t>人民币（大写）</w:t>
      </w:r>
      <w:r>
        <w:rPr>
          <w:rFonts w:hint="eastAsia" w:cs="宋体"/>
          <w:color w:val="auto"/>
          <w:sz w:val="21"/>
          <w:szCs w:val="21"/>
          <w:u w:val="single"/>
        </w:rPr>
        <w:t xml:space="preserve">              </w:t>
      </w:r>
      <w:r>
        <w:rPr>
          <w:rFonts w:hint="eastAsia" w:cs="宋体"/>
          <w:color w:val="auto"/>
          <w:sz w:val="21"/>
          <w:szCs w:val="21"/>
        </w:rPr>
        <w:t xml:space="preserve"> （¥</w:t>
      </w:r>
      <w:r>
        <w:rPr>
          <w:rFonts w:hint="eastAsia" w:cs="宋体"/>
          <w:color w:val="auto"/>
          <w:sz w:val="21"/>
          <w:szCs w:val="21"/>
          <w:u w:val="single"/>
        </w:rPr>
        <w:t xml:space="preserve">          </w:t>
      </w:r>
      <w:r>
        <w:rPr>
          <w:rFonts w:hint="eastAsia" w:cs="宋体"/>
          <w:color w:val="auto"/>
          <w:sz w:val="21"/>
          <w:szCs w:val="21"/>
        </w:rPr>
        <w:t>元）。</w:t>
      </w:r>
    </w:p>
    <w:p w14:paraId="1D66C4D3">
      <w:pPr>
        <w:snapToGrid w:val="0"/>
        <w:spacing w:line="360" w:lineRule="auto"/>
        <w:ind w:firstLine="420" w:firstLineChars="200"/>
        <w:rPr>
          <w:rFonts w:cs="宋体"/>
          <w:color w:val="auto"/>
          <w:sz w:val="21"/>
          <w:szCs w:val="21"/>
        </w:rPr>
      </w:pPr>
      <w:r>
        <w:rPr>
          <w:rFonts w:hint="eastAsia" w:cs="宋体"/>
          <w:color w:val="auto"/>
          <w:sz w:val="21"/>
          <w:szCs w:val="21"/>
        </w:rPr>
        <w:t>2. 合同价格形式：</w:t>
      </w:r>
      <w:r>
        <w:rPr>
          <w:rFonts w:hint="eastAsia" w:cs="宋体"/>
          <w:color w:val="auto"/>
          <w:sz w:val="21"/>
          <w:szCs w:val="21"/>
          <w:u w:val="single"/>
          <w:lang w:val="en-US" w:eastAsia="zh-CN"/>
        </w:rPr>
        <w:t>固定总价合同</w:t>
      </w:r>
      <w:r>
        <w:rPr>
          <w:rFonts w:hint="eastAsia" w:cs="宋体"/>
          <w:color w:val="auto"/>
          <w:sz w:val="21"/>
          <w:szCs w:val="21"/>
        </w:rPr>
        <w:t>。</w:t>
      </w:r>
    </w:p>
    <w:p w14:paraId="5D96F4F1">
      <w:pPr>
        <w:snapToGrid w:val="0"/>
        <w:spacing w:line="360" w:lineRule="auto"/>
        <w:ind w:firstLine="422" w:firstLineChars="200"/>
        <w:rPr>
          <w:rFonts w:cs="宋体"/>
          <w:b/>
          <w:color w:val="auto"/>
          <w:sz w:val="21"/>
          <w:szCs w:val="21"/>
        </w:rPr>
      </w:pPr>
      <w:bookmarkStart w:id="59" w:name="_Toc351203485"/>
      <w:r>
        <w:rPr>
          <w:rFonts w:hint="eastAsia" w:cs="宋体"/>
          <w:b/>
          <w:color w:val="auto"/>
          <w:sz w:val="21"/>
          <w:szCs w:val="21"/>
        </w:rPr>
        <w:t>五、</w:t>
      </w:r>
      <w:bookmarkEnd w:id="59"/>
      <w:r>
        <w:rPr>
          <w:rFonts w:hint="eastAsia" w:cs="宋体"/>
          <w:b/>
          <w:color w:val="auto"/>
          <w:sz w:val="21"/>
          <w:szCs w:val="21"/>
        </w:rPr>
        <w:t>项目经理</w:t>
      </w:r>
    </w:p>
    <w:p w14:paraId="2F4185AE">
      <w:pPr>
        <w:snapToGrid w:val="0"/>
        <w:spacing w:line="360" w:lineRule="auto"/>
        <w:ind w:firstLine="420" w:firstLineChars="200"/>
        <w:rPr>
          <w:rFonts w:cs="宋体"/>
          <w:color w:val="auto"/>
          <w:sz w:val="21"/>
          <w:szCs w:val="21"/>
        </w:rPr>
      </w:pPr>
      <w:r>
        <w:rPr>
          <w:rFonts w:hint="eastAsia" w:cs="宋体"/>
          <w:color w:val="auto"/>
          <w:sz w:val="21"/>
          <w:szCs w:val="21"/>
        </w:rPr>
        <w:t>承包人项目经理：</w:t>
      </w:r>
      <w:r>
        <w:rPr>
          <w:rFonts w:hint="eastAsia" w:cs="宋体"/>
          <w:color w:val="auto"/>
          <w:sz w:val="21"/>
          <w:szCs w:val="21"/>
          <w:u w:val="single"/>
        </w:rPr>
        <w:t>                     </w:t>
      </w:r>
      <w:r>
        <w:rPr>
          <w:rFonts w:hint="eastAsia" w:cs="宋体"/>
          <w:color w:val="auto"/>
          <w:sz w:val="21"/>
          <w:szCs w:val="21"/>
        </w:rPr>
        <w:t>。</w:t>
      </w:r>
    </w:p>
    <w:p w14:paraId="0FC59376">
      <w:pPr>
        <w:snapToGrid w:val="0"/>
        <w:spacing w:line="360" w:lineRule="auto"/>
        <w:ind w:firstLine="422" w:firstLineChars="200"/>
        <w:rPr>
          <w:rFonts w:cs="宋体"/>
          <w:b/>
          <w:color w:val="auto"/>
          <w:sz w:val="21"/>
          <w:szCs w:val="21"/>
        </w:rPr>
      </w:pPr>
      <w:bookmarkStart w:id="60" w:name="_Toc351203486"/>
      <w:r>
        <w:rPr>
          <w:rFonts w:hint="eastAsia" w:cs="宋体"/>
          <w:b/>
          <w:color w:val="auto"/>
          <w:sz w:val="21"/>
          <w:szCs w:val="21"/>
        </w:rPr>
        <w:t>六、合同文件构成</w:t>
      </w:r>
      <w:bookmarkEnd w:id="60"/>
    </w:p>
    <w:p w14:paraId="5A4BE13E">
      <w:pPr>
        <w:snapToGrid w:val="0"/>
        <w:spacing w:line="360" w:lineRule="auto"/>
        <w:ind w:firstLine="420" w:firstLineChars="200"/>
        <w:rPr>
          <w:rFonts w:cs="宋体"/>
          <w:bCs/>
          <w:color w:val="auto"/>
          <w:sz w:val="21"/>
          <w:szCs w:val="21"/>
        </w:rPr>
      </w:pPr>
      <w:r>
        <w:rPr>
          <w:rFonts w:hint="eastAsia" w:cs="宋体"/>
          <w:bCs/>
          <w:color w:val="auto"/>
          <w:sz w:val="21"/>
          <w:szCs w:val="21"/>
        </w:rPr>
        <w:t>本协议书与下列文件一起构成合同文件：</w:t>
      </w:r>
    </w:p>
    <w:p w14:paraId="0216C058">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（1）中标通知书（如果有）；</w:t>
      </w:r>
    </w:p>
    <w:p w14:paraId="1EF64423">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 xml:space="preserve">（2）投标函及其附录（如果有）； </w:t>
      </w:r>
    </w:p>
    <w:p w14:paraId="7FC97E0E">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（3）专用合同条款及其附件；</w:t>
      </w:r>
    </w:p>
    <w:p w14:paraId="7A119F54">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（4）通用合同条款；</w:t>
      </w:r>
    </w:p>
    <w:p w14:paraId="001B26E9">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（5）技术标准和要求；</w:t>
      </w:r>
    </w:p>
    <w:p w14:paraId="60D2D54B">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（6）图纸；</w:t>
      </w:r>
    </w:p>
    <w:p w14:paraId="64233C41">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（7）已标价工程量清单或预算书；</w:t>
      </w:r>
    </w:p>
    <w:p w14:paraId="52ACEA30">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（8）其他合同文件。</w:t>
      </w:r>
    </w:p>
    <w:p w14:paraId="10B2B941">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在合同订立及履行过程中形成的与合同有关的文件均构成合同文件组成部分。</w:t>
      </w:r>
    </w:p>
    <w:p w14:paraId="7388B62D">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上述各项合同文件包括合同当事人就该项合同文件所作出的补充和修改，属于同一类内容的文件，应以最新签署的为准。专用合同条款及其附件须经合同当事人签字或盖章。</w:t>
      </w:r>
    </w:p>
    <w:p w14:paraId="7F6C154B">
      <w:pPr>
        <w:snapToGrid w:val="0"/>
        <w:spacing w:line="360" w:lineRule="auto"/>
        <w:ind w:firstLine="422" w:firstLineChars="200"/>
        <w:rPr>
          <w:rFonts w:cs="宋体"/>
          <w:b/>
          <w:color w:val="auto"/>
          <w:sz w:val="21"/>
          <w:szCs w:val="21"/>
        </w:rPr>
      </w:pPr>
      <w:bookmarkStart w:id="61" w:name="_Toc351203487"/>
      <w:r>
        <w:rPr>
          <w:rFonts w:hint="eastAsia" w:cs="宋体"/>
          <w:b/>
          <w:color w:val="auto"/>
          <w:sz w:val="21"/>
          <w:szCs w:val="21"/>
        </w:rPr>
        <w:t>七、承诺</w:t>
      </w:r>
      <w:bookmarkEnd w:id="61"/>
    </w:p>
    <w:p w14:paraId="6B47D85B">
      <w:pPr>
        <w:snapToGrid w:val="0"/>
        <w:spacing w:line="360" w:lineRule="auto"/>
        <w:ind w:firstLine="420" w:firstLineChars="200"/>
        <w:rPr>
          <w:rFonts w:cs="宋体"/>
          <w:bCs/>
          <w:color w:val="auto"/>
          <w:sz w:val="21"/>
          <w:szCs w:val="21"/>
        </w:rPr>
      </w:pPr>
      <w:r>
        <w:rPr>
          <w:rFonts w:hint="eastAsia" w:cs="宋体"/>
          <w:bCs/>
          <w:color w:val="auto"/>
          <w:sz w:val="21"/>
          <w:szCs w:val="21"/>
        </w:rPr>
        <w:t>1. 发包人承诺按照法律规定履行项目审批手续、筹集工程建设资金并按照合同约定的期限和方式支付合同价款。</w:t>
      </w:r>
    </w:p>
    <w:p w14:paraId="6661EB2B">
      <w:pPr>
        <w:snapToGrid w:val="0"/>
        <w:spacing w:line="360" w:lineRule="auto"/>
        <w:ind w:firstLine="420" w:firstLineChars="200"/>
        <w:rPr>
          <w:rFonts w:cs="宋体"/>
          <w:bCs/>
          <w:color w:val="auto"/>
          <w:sz w:val="21"/>
          <w:szCs w:val="21"/>
        </w:rPr>
      </w:pPr>
      <w:r>
        <w:rPr>
          <w:rFonts w:hint="eastAsia" w:cs="宋体"/>
          <w:bCs/>
          <w:color w:val="auto"/>
          <w:sz w:val="21"/>
          <w:szCs w:val="21"/>
        </w:rPr>
        <w:t>2. 承包人承诺按照法律规定及合同约定组织完成工程施工，确保工程质量和安全，不进行转包及违法分包，并在缺陷责任期及保修期内承担相应的工程维修责任。</w:t>
      </w:r>
    </w:p>
    <w:p w14:paraId="6F4C620F">
      <w:pPr>
        <w:snapToGrid w:val="0"/>
        <w:spacing w:line="360" w:lineRule="auto"/>
        <w:ind w:firstLine="420" w:firstLineChars="200"/>
        <w:rPr>
          <w:rFonts w:cs="宋体"/>
          <w:bCs/>
          <w:color w:val="auto"/>
          <w:sz w:val="21"/>
          <w:szCs w:val="21"/>
        </w:rPr>
      </w:pPr>
      <w:r>
        <w:rPr>
          <w:rFonts w:hint="eastAsia" w:cs="宋体"/>
          <w:bCs/>
          <w:color w:val="auto"/>
          <w:sz w:val="21"/>
          <w:szCs w:val="21"/>
        </w:rPr>
        <w:t>3. 发包人和承包人通过招投标形式签订合同的，双方理解并承诺不再就同一工程另行签订与合同实质性内容相背离的协议。</w:t>
      </w:r>
    </w:p>
    <w:p w14:paraId="70808D2C">
      <w:pPr>
        <w:snapToGrid w:val="0"/>
        <w:spacing w:line="360" w:lineRule="auto"/>
        <w:ind w:firstLine="422" w:firstLineChars="200"/>
        <w:rPr>
          <w:rFonts w:cs="宋体"/>
          <w:b/>
          <w:color w:val="auto"/>
          <w:sz w:val="21"/>
          <w:szCs w:val="21"/>
        </w:rPr>
      </w:pPr>
      <w:bookmarkStart w:id="62" w:name="_Toc351203488"/>
      <w:r>
        <w:rPr>
          <w:rFonts w:hint="eastAsia" w:cs="宋体"/>
          <w:b/>
          <w:color w:val="auto"/>
          <w:sz w:val="21"/>
          <w:szCs w:val="21"/>
        </w:rPr>
        <w:t>八、词语含义</w:t>
      </w:r>
      <w:bookmarkEnd w:id="62"/>
    </w:p>
    <w:p w14:paraId="5A28711B">
      <w:pPr>
        <w:snapToGrid w:val="0"/>
        <w:spacing w:line="360" w:lineRule="auto"/>
        <w:ind w:firstLine="420" w:firstLineChars="200"/>
        <w:rPr>
          <w:rFonts w:cs="宋体"/>
          <w:bCs/>
          <w:color w:val="auto"/>
          <w:sz w:val="21"/>
          <w:szCs w:val="21"/>
        </w:rPr>
      </w:pPr>
      <w:r>
        <w:rPr>
          <w:rFonts w:hint="eastAsia" w:cs="宋体"/>
          <w:bCs/>
          <w:color w:val="auto"/>
          <w:sz w:val="21"/>
          <w:szCs w:val="21"/>
        </w:rPr>
        <w:t>本协议书中词语含义与第二部分通用合同条款中赋予的含义相同。</w:t>
      </w:r>
    </w:p>
    <w:p w14:paraId="19FAEF7C">
      <w:pPr>
        <w:snapToGrid w:val="0"/>
        <w:spacing w:line="360" w:lineRule="auto"/>
        <w:ind w:firstLine="422" w:firstLineChars="200"/>
        <w:rPr>
          <w:rFonts w:cs="宋体"/>
          <w:b/>
          <w:color w:val="auto"/>
          <w:sz w:val="21"/>
          <w:szCs w:val="21"/>
        </w:rPr>
      </w:pPr>
      <w:bookmarkStart w:id="63" w:name="_Toc351203489"/>
      <w:r>
        <w:rPr>
          <w:rFonts w:hint="eastAsia" w:cs="宋体"/>
          <w:b/>
          <w:color w:val="auto"/>
          <w:sz w:val="21"/>
          <w:szCs w:val="21"/>
        </w:rPr>
        <w:t>九、签订时间</w:t>
      </w:r>
      <w:bookmarkEnd w:id="63"/>
    </w:p>
    <w:p w14:paraId="755C5063">
      <w:pPr>
        <w:snapToGrid w:val="0"/>
        <w:spacing w:line="360" w:lineRule="auto"/>
        <w:ind w:firstLine="420" w:firstLineChars="200"/>
        <w:rPr>
          <w:rFonts w:cs="宋体"/>
          <w:bCs/>
          <w:color w:val="auto"/>
          <w:sz w:val="21"/>
          <w:szCs w:val="21"/>
        </w:rPr>
      </w:pPr>
      <w:r>
        <w:rPr>
          <w:rFonts w:hint="eastAsia" w:cs="宋体"/>
          <w:bCs/>
          <w:color w:val="auto"/>
          <w:sz w:val="21"/>
          <w:szCs w:val="21"/>
        </w:rPr>
        <w:t>本合同于</w:t>
      </w:r>
      <w:r>
        <w:rPr>
          <w:rFonts w:hint="eastAsia" w:cs="宋体"/>
          <w:bCs/>
          <w:color w:val="auto"/>
          <w:sz w:val="21"/>
          <w:szCs w:val="21"/>
          <w:u w:val="single"/>
        </w:rPr>
        <w:t xml:space="preserve">         </w:t>
      </w:r>
      <w:r>
        <w:rPr>
          <w:rFonts w:hint="eastAsia" w:cs="宋体"/>
          <w:bCs/>
          <w:color w:val="auto"/>
          <w:sz w:val="21"/>
          <w:szCs w:val="21"/>
        </w:rPr>
        <w:t>年</w:t>
      </w:r>
      <w:r>
        <w:rPr>
          <w:rFonts w:hint="eastAsia" w:cs="宋体"/>
          <w:bCs/>
          <w:color w:val="auto"/>
          <w:sz w:val="21"/>
          <w:szCs w:val="21"/>
          <w:u w:val="single"/>
        </w:rPr>
        <w:t xml:space="preserve">    </w:t>
      </w:r>
      <w:r>
        <w:rPr>
          <w:rFonts w:hint="eastAsia" w:cs="宋体"/>
          <w:bCs/>
          <w:color w:val="auto"/>
          <w:sz w:val="21"/>
          <w:szCs w:val="21"/>
        </w:rPr>
        <w:t>月</w:t>
      </w:r>
      <w:r>
        <w:rPr>
          <w:rFonts w:hint="eastAsia" w:cs="宋体"/>
          <w:bCs/>
          <w:color w:val="auto"/>
          <w:sz w:val="21"/>
          <w:szCs w:val="21"/>
          <w:u w:val="single"/>
        </w:rPr>
        <w:t xml:space="preserve">    </w:t>
      </w:r>
      <w:r>
        <w:rPr>
          <w:rFonts w:hint="eastAsia" w:cs="宋体"/>
          <w:bCs/>
          <w:color w:val="auto"/>
          <w:sz w:val="21"/>
          <w:szCs w:val="21"/>
        </w:rPr>
        <w:t>日签订。</w:t>
      </w:r>
    </w:p>
    <w:p w14:paraId="5DBD6C20">
      <w:pPr>
        <w:snapToGrid w:val="0"/>
        <w:spacing w:line="360" w:lineRule="auto"/>
        <w:ind w:firstLine="422" w:firstLineChars="200"/>
        <w:rPr>
          <w:rFonts w:cs="宋体"/>
          <w:b/>
          <w:color w:val="auto"/>
          <w:sz w:val="21"/>
          <w:szCs w:val="21"/>
        </w:rPr>
      </w:pPr>
      <w:bookmarkStart w:id="64" w:name="_Toc351203490"/>
      <w:r>
        <w:rPr>
          <w:rFonts w:hint="eastAsia" w:cs="宋体"/>
          <w:b/>
          <w:color w:val="auto"/>
          <w:sz w:val="21"/>
          <w:szCs w:val="21"/>
        </w:rPr>
        <w:t>十、签订地点</w:t>
      </w:r>
      <w:bookmarkEnd w:id="64"/>
    </w:p>
    <w:p w14:paraId="422ECBDB">
      <w:pPr>
        <w:snapToGrid w:val="0"/>
        <w:spacing w:line="360" w:lineRule="auto"/>
        <w:ind w:firstLine="420" w:firstLineChars="200"/>
        <w:rPr>
          <w:rFonts w:cs="宋体"/>
          <w:bCs/>
          <w:color w:val="auto"/>
          <w:sz w:val="21"/>
          <w:szCs w:val="21"/>
        </w:rPr>
      </w:pPr>
      <w:r>
        <w:rPr>
          <w:rFonts w:hint="eastAsia" w:cs="宋体"/>
          <w:bCs/>
          <w:color w:val="auto"/>
          <w:sz w:val="21"/>
          <w:szCs w:val="21"/>
        </w:rPr>
        <w:t>本合同在</w:t>
      </w:r>
      <w:r>
        <w:rPr>
          <w:rFonts w:hint="eastAsia" w:cs="宋体"/>
          <w:bCs/>
          <w:color w:val="auto"/>
          <w:sz w:val="21"/>
          <w:szCs w:val="21"/>
          <w:u w:val="single"/>
        </w:rPr>
        <w:t xml:space="preserve">                                    </w:t>
      </w:r>
      <w:r>
        <w:rPr>
          <w:rFonts w:hint="eastAsia" w:cs="宋体"/>
          <w:bCs/>
          <w:color w:val="auto"/>
          <w:sz w:val="21"/>
          <w:szCs w:val="21"/>
        </w:rPr>
        <w:t>签订。</w:t>
      </w:r>
    </w:p>
    <w:p w14:paraId="5ADCDDFC">
      <w:pPr>
        <w:snapToGrid w:val="0"/>
        <w:spacing w:line="360" w:lineRule="auto"/>
        <w:ind w:firstLine="422" w:firstLineChars="200"/>
        <w:rPr>
          <w:rFonts w:cs="宋体"/>
          <w:b/>
          <w:color w:val="auto"/>
          <w:sz w:val="21"/>
          <w:szCs w:val="21"/>
        </w:rPr>
      </w:pPr>
      <w:bookmarkStart w:id="65" w:name="_Toc351203491"/>
      <w:r>
        <w:rPr>
          <w:rFonts w:hint="eastAsia" w:cs="宋体"/>
          <w:b/>
          <w:color w:val="auto"/>
          <w:sz w:val="21"/>
          <w:szCs w:val="21"/>
        </w:rPr>
        <w:t>十一、补充协议</w:t>
      </w:r>
      <w:bookmarkEnd w:id="65"/>
    </w:p>
    <w:p w14:paraId="1D684C95">
      <w:pPr>
        <w:snapToGrid w:val="0"/>
        <w:spacing w:line="360" w:lineRule="auto"/>
        <w:ind w:firstLine="420" w:firstLineChars="200"/>
        <w:rPr>
          <w:rFonts w:cs="宋体"/>
          <w:b/>
          <w:bCs/>
          <w:color w:val="auto"/>
          <w:sz w:val="21"/>
          <w:szCs w:val="21"/>
        </w:rPr>
      </w:pPr>
      <w:r>
        <w:rPr>
          <w:rFonts w:hint="eastAsia" w:cs="宋体"/>
          <w:bCs/>
          <w:color w:val="auto"/>
          <w:sz w:val="21"/>
          <w:szCs w:val="21"/>
        </w:rPr>
        <w:t>合同未尽事宜，合同当事人另行签订补充协议，补充协议是合同的组成部分。</w:t>
      </w:r>
    </w:p>
    <w:p w14:paraId="0C15B2F6">
      <w:pPr>
        <w:snapToGrid w:val="0"/>
        <w:spacing w:line="360" w:lineRule="auto"/>
        <w:ind w:firstLine="422" w:firstLineChars="200"/>
        <w:rPr>
          <w:rFonts w:cs="宋体"/>
          <w:b/>
          <w:color w:val="auto"/>
          <w:sz w:val="21"/>
          <w:szCs w:val="21"/>
        </w:rPr>
      </w:pPr>
      <w:bookmarkStart w:id="66" w:name="_Toc351203492"/>
      <w:r>
        <w:rPr>
          <w:rFonts w:hint="eastAsia" w:cs="宋体"/>
          <w:b/>
          <w:color w:val="auto"/>
          <w:sz w:val="21"/>
          <w:szCs w:val="21"/>
        </w:rPr>
        <w:t>十二、合同生效</w:t>
      </w:r>
      <w:bookmarkEnd w:id="66"/>
    </w:p>
    <w:p w14:paraId="79BE98A0">
      <w:pPr>
        <w:snapToGrid w:val="0"/>
        <w:spacing w:line="360" w:lineRule="auto"/>
        <w:ind w:firstLine="420" w:firstLineChars="200"/>
        <w:rPr>
          <w:rFonts w:cs="宋体"/>
          <w:bCs/>
          <w:color w:val="auto"/>
          <w:sz w:val="21"/>
          <w:szCs w:val="21"/>
        </w:rPr>
      </w:pPr>
      <w:r>
        <w:rPr>
          <w:rFonts w:hint="eastAsia" w:cs="宋体"/>
          <w:bCs/>
          <w:color w:val="auto"/>
          <w:sz w:val="21"/>
          <w:szCs w:val="21"/>
        </w:rPr>
        <w:t>本合同自</w:t>
      </w:r>
      <w:r>
        <w:rPr>
          <w:rFonts w:hint="eastAsia" w:cs="宋体"/>
          <w:bCs/>
          <w:color w:val="auto"/>
          <w:sz w:val="21"/>
          <w:szCs w:val="21"/>
          <w:u w:val="single"/>
        </w:rPr>
        <w:t xml:space="preserve">                                   </w:t>
      </w:r>
      <w:r>
        <w:rPr>
          <w:rFonts w:hint="eastAsia" w:cs="宋体"/>
          <w:bCs/>
          <w:color w:val="auto"/>
          <w:sz w:val="21"/>
          <w:szCs w:val="21"/>
        </w:rPr>
        <w:t>生效。</w:t>
      </w:r>
    </w:p>
    <w:p w14:paraId="15B728FA">
      <w:pPr>
        <w:snapToGrid w:val="0"/>
        <w:spacing w:line="360" w:lineRule="auto"/>
        <w:ind w:firstLine="422" w:firstLineChars="200"/>
        <w:rPr>
          <w:rFonts w:cs="宋体"/>
          <w:b/>
          <w:color w:val="auto"/>
          <w:sz w:val="21"/>
          <w:szCs w:val="21"/>
        </w:rPr>
      </w:pPr>
      <w:bookmarkStart w:id="67" w:name="_Toc351203493"/>
      <w:r>
        <w:rPr>
          <w:rFonts w:hint="eastAsia" w:cs="宋体"/>
          <w:b/>
          <w:color w:val="auto"/>
          <w:sz w:val="21"/>
          <w:szCs w:val="21"/>
        </w:rPr>
        <w:t>十三、合同份数</w:t>
      </w:r>
      <w:bookmarkEnd w:id="67"/>
    </w:p>
    <w:p w14:paraId="7BC6C8A5">
      <w:pPr>
        <w:snapToGrid w:val="0"/>
        <w:spacing w:line="360" w:lineRule="auto"/>
        <w:ind w:firstLine="420" w:firstLineChars="200"/>
        <w:rPr>
          <w:rFonts w:cs="宋体"/>
          <w:bCs/>
          <w:color w:val="auto"/>
          <w:sz w:val="21"/>
          <w:szCs w:val="21"/>
        </w:rPr>
      </w:pPr>
      <w:r>
        <w:rPr>
          <w:rFonts w:hint="eastAsia" w:cs="宋体"/>
          <w:bCs/>
          <w:color w:val="auto"/>
          <w:sz w:val="21"/>
          <w:szCs w:val="21"/>
        </w:rPr>
        <w:t>本合同一式</w:t>
      </w:r>
      <w:r>
        <w:rPr>
          <w:rFonts w:hint="eastAsia" w:cs="宋体"/>
          <w:bCs/>
          <w:color w:val="auto"/>
          <w:sz w:val="21"/>
          <w:szCs w:val="21"/>
          <w:u w:val="single"/>
        </w:rPr>
        <w:t xml:space="preserve">    </w:t>
      </w:r>
      <w:r>
        <w:rPr>
          <w:rFonts w:hint="eastAsia" w:cs="宋体"/>
          <w:bCs/>
          <w:color w:val="auto"/>
          <w:sz w:val="21"/>
          <w:szCs w:val="21"/>
        </w:rPr>
        <w:t>份，均具有同等法律效力，发包人执</w:t>
      </w:r>
      <w:r>
        <w:rPr>
          <w:rFonts w:hint="eastAsia" w:cs="宋体"/>
          <w:bCs/>
          <w:color w:val="auto"/>
          <w:sz w:val="21"/>
          <w:szCs w:val="21"/>
          <w:u w:val="single"/>
        </w:rPr>
        <w:t xml:space="preserve">    </w:t>
      </w:r>
      <w:r>
        <w:rPr>
          <w:rFonts w:hint="eastAsia" w:cs="宋体"/>
          <w:bCs/>
          <w:color w:val="auto"/>
          <w:sz w:val="21"/>
          <w:szCs w:val="21"/>
        </w:rPr>
        <w:t>份，承包人执</w:t>
      </w:r>
      <w:r>
        <w:rPr>
          <w:rFonts w:hint="eastAsia" w:cs="宋体"/>
          <w:bCs/>
          <w:color w:val="auto"/>
          <w:sz w:val="21"/>
          <w:szCs w:val="21"/>
          <w:u w:val="single"/>
        </w:rPr>
        <w:t xml:space="preserve">    </w:t>
      </w:r>
      <w:r>
        <w:rPr>
          <w:rFonts w:hint="eastAsia" w:cs="宋体"/>
          <w:bCs/>
          <w:color w:val="auto"/>
          <w:sz w:val="21"/>
          <w:szCs w:val="21"/>
        </w:rPr>
        <w:t>份。</w:t>
      </w:r>
    </w:p>
    <w:p w14:paraId="11DAAB49">
      <w:pPr>
        <w:snapToGrid w:val="0"/>
        <w:spacing w:line="360" w:lineRule="auto"/>
        <w:rPr>
          <w:rFonts w:cs="宋体"/>
          <w:bCs/>
          <w:color w:val="auto"/>
          <w:sz w:val="21"/>
          <w:szCs w:val="21"/>
        </w:rPr>
      </w:pPr>
    </w:p>
    <w:p w14:paraId="015F2C42">
      <w:pPr>
        <w:snapToGrid w:val="0"/>
        <w:spacing w:line="360" w:lineRule="auto"/>
        <w:rPr>
          <w:rFonts w:cs="宋体"/>
          <w:color w:val="auto"/>
          <w:sz w:val="21"/>
          <w:szCs w:val="21"/>
        </w:rPr>
      </w:pPr>
      <w:r>
        <w:rPr>
          <w:rFonts w:hint="eastAsia" w:cs="宋体"/>
          <w:color w:val="auto"/>
          <w:sz w:val="21"/>
          <w:szCs w:val="21"/>
        </w:rPr>
        <w:t>发包人：</w:t>
      </w:r>
      <w:r>
        <w:rPr>
          <w:rFonts w:hint="eastAsia" w:cs="宋体"/>
          <w:color w:val="auto"/>
          <w:sz w:val="21"/>
          <w:szCs w:val="21"/>
          <w:u w:val="single"/>
        </w:rPr>
        <w:t>      （</w:t>
      </w:r>
      <w:r>
        <w:rPr>
          <w:rFonts w:hint="eastAsia" w:cs="宋体"/>
          <w:color w:val="auto"/>
          <w:sz w:val="21"/>
          <w:szCs w:val="21"/>
        </w:rPr>
        <w:t>公章）                 承包人：</w:t>
      </w:r>
      <w:r>
        <w:rPr>
          <w:rFonts w:hint="eastAsia" w:cs="宋体"/>
          <w:color w:val="auto"/>
          <w:sz w:val="21"/>
          <w:szCs w:val="21"/>
          <w:u w:val="single"/>
        </w:rPr>
        <w:t>        （</w:t>
      </w:r>
      <w:r>
        <w:rPr>
          <w:rFonts w:hint="eastAsia" w:cs="宋体"/>
          <w:color w:val="auto"/>
          <w:sz w:val="21"/>
          <w:szCs w:val="21"/>
        </w:rPr>
        <w:t>公章）</w:t>
      </w:r>
    </w:p>
    <w:p w14:paraId="4A631306">
      <w:pPr>
        <w:snapToGrid w:val="0"/>
        <w:spacing w:line="360" w:lineRule="auto"/>
        <w:rPr>
          <w:rFonts w:cs="宋体"/>
          <w:color w:val="auto"/>
          <w:sz w:val="21"/>
          <w:szCs w:val="21"/>
        </w:rPr>
      </w:pPr>
      <w:r>
        <w:rPr>
          <w:rFonts w:hint="eastAsia" w:cs="宋体"/>
          <w:color w:val="auto"/>
          <w:sz w:val="21"/>
          <w:szCs w:val="21"/>
        </w:rPr>
        <w:t>法定代表人或其委托代理人：                 法定代表人或其委托代理人：</w:t>
      </w:r>
    </w:p>
    <w:p w14:paraId="321E9661">
      <w:pPr>
        <w:snapToGrid w:val="0"/>
        <w:spacing w:line="360" w:lineRule="auto"/>
        <w:rPr>
          <w:rFonts w:cs="宋体"/>
          <w:color w:val="auto"/>
          <w:sz w:val="21"/>
          <w:szCs w:val="21"/>
        </w:rPr>
      </w:pPr>
      <w:r>
        <w:rPr>
          <w:rFonts w:hint="eastAsia" w:cs="宋体"/>
          <w:color w:val="auto"/>
          <w:sz w:val="21"/>
          <w:szCs w:val="21"/>
        </w:rPr>
        <w:t>（签字）</w:t>
      </w:r>
      <w:r>
        <w:rPr>
          <w:rFonts w:hint="eastAsia" w:cs="宋体"/>
          <w:color w:val="auto"/>
          <w:sz w:val="21"/>
          <w:szCs w:val="21"/>
          <w:u w:val="single"/>
        </w:rPr>
        <w:t xml:space="preserve">                    </w:t>
      </w:r>
      <w:r>
        <w:rPr>
          <w:rFonts w:hint="eastAsia" w:cs="宋体"/>
          <w:color w:val="auto"/>
          <w:sz w:val="21"/>
          <w:szCs w:val="21"/>
        </w:rPr>
        <w:t xml:space="preserve">              （签字）</w:t>
      </w:r>
      <w:r>
        <w:rPr>
          <w:rFonts w:hint="eastAsia" w:cs="宋体"/>
          <w:color w:val="auto"/>
          <w:sz w:val="21"/>
          <w:szCs w:val="21"/>
          <w:u w:val="single"/>
        </w:rPr>
        <w:t xml:space="preserve">                   </w:t>
      </w:r>
    </w:p>
    <w:p w14:paraId="3FF6850C">
      <w:pPr>
        <w:tabs>
          <w:tab w:val="left" w:pos="4410"/>
        </w:tabs>
        <w:snapToGrid w:val="0"/>
        <w:spacing w:line="360" w:lineRule="auto"/>
        <w:rPr>
          <w:rFonts w:cs="宋体"/>
          <w:color w:val="auto"/>
          <w:sz w:val="21"/>
          <w:szCs w:val="21"/>
        </w:rPr>
      </w:pPr>
      <w:r>
        <w:rPr>
          <w:rFonts w:hint="eastAsia" w:cs="宋体"/>
          <w:color w:val="auto"/>
          <w:sz w:val="21"/>
          <w:szCs w:val="21"/>
        </w:rPr>
        <w:t>组织机构代码：</w:t>
      </w:r>
      <w:r>
        <w:rPr>
          <w:rFonts w:hint="eastAsia" w:cs="宋体"/>
          <w:color w:val="auto"/>
          <w:sz w:val="21"/>
          <w:szCs w:val="21"/>
          <w:u w:val="single"/>
        </w:rPr>
        <w:t xml:space="preserve">       </w:t>
      </w:r>
      <w:r>
        <w:rPr>
          <w:rFonts w:hint="eastAsia" w:cs="宋体"/>
          <w:color w:val="auto"/>
          <w:sz w:val="21"/>
          <w:szCs w:val="21"/>
        </w:rPr>
        <w:t xml:space="preserve">                组织机构代码：</w:t>
      </w:r>
      <w:r>
        <w:rPr>
          <w:rFonts w:hint="eastAsia" w:cs="宋体"/>
          <w:color w:val="auto"/>
          <w:sz w:val="21"/>
          <w:szCs w:val="21"/>
          <w:u w:val="single"/>
        </w:rPr>
        <w:t xml:space="preserve">        </w:t>
      </w:r>
    </w:p>
    <w:p w14:paraId="23934C23">
      <w:pPr>
        <w:snapToGrid w:val="0"/>
        <w:spacing w:line="360" w:lineRule="auto"/>
        <w:rPr>
          <w:rFonts w:cs="宋体"/>
          <w:color w:val="auto"/>
          <w:sz w:val="21"/>
          <w:szCs w:val="21"/>
        </w:rPr>
      </w:pPr>
      <w:r>
        <w:rPr>
          <w:rFonts w:hint="eastAsia" w:cs="宋体"/>
          <w:color w:val="auto"/>
          <w:sz w:val="21"/>
          <w:szCs w:val="21"/>
        </w:rPr>
        <w:t>地  址：</w:t>
      </w:r>
      <w:r>
        <w:rPr>
          <w:rFonts w:hint="eastAsia" w:cs="宋体"/>
          <w:color w:val="auto"/>
          <w:sz w:val="21"/>
          <w:szCs w:val="21"/>
          <w:u w:val="single"/>
        </w:rPr>
        <w:t xml:space="preserve">     </w:t>
      </w:r>
      <w:r>
        <w:rPr>
          <w:rFonts w:hint="eastAsia" w:cs="宋体"/>
          <w:color w:val="auto"/>
          <w:sz w:val="21"/>
          <w:szCs w:val="21"/>
        </w:rPr>
        <w:t xml:space="preserve">                地  址：</w:t>
      </w:r>
      <w:r>
        <w:rPr>
          <w:rFonts w:hint="eastAsia" w:cs="宋体"/>
          <w:color w:val="auto"/>
          <w:sz w:val="21"/>
          <w:szCs w:val="21"/>
          <w:u w:val="single"/>
        </w:rPr>
        <w:t xml:space="preserve">     </w:t>
      </w:r>
    </w:p>
    <w:p w14:paraId="5251D47B">
      <w:pPr>
        <w:snapToGrid w:val="0"/>
        <w:spacing w:line="360" w:lineRule="auto"/>
        <w:rPr>
          <w:rFonts w:cs="宋体"/>
          <w:color w:val="auto"/>
          <w:sz w:val="21"/>
          <w:szCs w:val="21"/>
        </w:rPr>
      </w:pPr>
      <w:r>
        <w:rPr>
          <w:rFonts w:hint="eastAsia" w:cs="宋体"/>
          <w:color w:val="auto"/>
          <w:sz w:val="21"/>
          <w:szCs w:val="21"/>
        </w:rPr>
        <w:t>邮政编码：</w:t>
      </w:r>
      <w:r>
        <w:rPr>
          <w:rFonts w:hint="eastAsia" w:cs="宋体"/>
          <w:color w:val="auto"/>
          <w:sz w:val="21"/>
          <w:szCs w:val="21"/>
          <w:u w:val="single"/>
        </w:rPr>
        <w:t xml:space="preserve">      </w:t>
      </w:r>
      <w:r>
        <w:rPr>
          <w:rFonts w:hint="eastAsia" w:cs="宋体"/>
          <w:color w:val="auto"/>
          <w:sz w:val="21"/>
          <w:szCs w:val="21"/>
        </w:rPr>
        <w:t xml:space="preserve">               邮政编码：</w:t>
      </w:r>
      <w:r>
        <w:rPr>
          <w:rFonts w:hint="eastAsia" w:cs="宋体"/>
          <w:color w:val="auto"/>
          <w:sz w:val="21"/>
          <w:szCs w:val="21"/>
          <w:u w:val="single"/>
        </w:rPr>
        <w:t xml:space="preserve"> </w:t>
      </w:r>
    </w:p>
    <w:p w14:paraId="7D22BF15">
      <w:pPr>
        <w:snapToGrid w:val="0"/>
        <w:spacing w:line="360" w:lineRule="auto"/>
        <w:rPr>
          <w:rFonts w:cs="宋体"/>
          <w:color w:val="auto"/>
          <w:sz w:val="21"/>
          <w:szCs w:val="21"/>
        </w:rPr>
      </w:pPr>
      <w:r>
        <w:rPr>
          <w:rFonts w:hint="eastAsia" w:cs="宋体"/>
          <w:color w:val="auto"/>
          <w:sz w:val="21"/>
          <w:szCs w:val="21"/>
        </w:rPr>
        <w:t>法定代表人：</w:t>
      </w:r>
      <w:r>
        <w:rPr>
          <w:rFonts w:hint="eastAsia" w:cs="宋体"/>
          <w:color w:val="auto"/>
          <w:sz w:val="21"/>
          <w:szCs w:val="21"/>
          <w:u w:val="single"/>
        </w:rPr>
        <w:t xml:space="preserve">           </w:t>
      </w:r>
      <w:r>
        <w:rPr>
          <w:rFonts w:hint="eastAsia" w:cs="宋体"/>
          <w:color w:val="auto"/>
          <w:sz w:val="21"/>
          <w:szCs w:val="21"/>
        </w:rPr>
        <w:t xml:space="preserve">                法定代表人：</w:t>
      </w:r>
      <w:r>
        <w:rPr>
          <w:rFonts w:hint="eastAsia" w:cs="宋体"/>
          <w:color w:val="auto"/>
          <w:sz w:val="21"/>
          <w:szCs w:val="21"/>
          <w:u w:val="single"/>
        </w:rPr>
        <w:t xml:space="preserve">          </w:t>
      </w:r>
    </w:p>
    <w:p w14:paraId="3E517AF6">
      <w:pPr>
        <w:snapToGrid w:val="0"/>
        <w:spacing w:line="360" w:lineRule="auto"/>
        <w:rPr>
          <w:rFonts w:cs="宋体"/>
          <w:color w:val="auto"/>
          <w:sz w:val="21"/>
          <w:szCs w:val="21"/>
        </w:rPr>
      </w:pPr>
      <w:r>
        <w:rPr>
          <w:rFonts w:hint="eastAsia" w:cs="宋体"/>
          <w:color w:val="auto"/>
          <w:sz w:val="21"/>
          <w:szCs w:val="21"/>
        </w:rPr>
        <w:t>委托代理人：</w:t>
      </w:r>
      <w:r>
        <w:rPr>
          <w:rFonts w:hint="eastAsia" w:cs="宋体"/>
          <w:color w:val="auto"/>
          <w:sz w:val="21"/>
          <w:szCs w:val="21"/>
          <w:u w:val="single"/>
        </w:rPr>
        <w:t xml:space="preserve">           </w:t>
      </w:r>
      <w:r>
        <w:rPr>
          <w:rFonts w:hint="eastAsia" w:cs="宋体"/>
          <w:color w:val="auto"/>
          <w:sz w:val="21"/>
          <w:szCs w:val="21"/>
        </w:rPr>
        <w:t xml:space="preserve">                委托代理人：</w:t>
      </w:r>
      <w:r>
        <w:rPr>
          <w:rFonts w:hint="eastAsia" w:cs="宋体"/>
          <w:color w:val="auto"/>
          <w:sz w:val="21"/>
          <w:szCs w:val="21"/>
          <w:u w:val="single"/>
        </w:rPr>
        <w:t xml:space="preserve">          </w:t>
      </w:r>
    </w:p>
    <w:p w14:paraId="242791A1">
      <w:pPr>
        <w:snapToGrid w:val="0"/>
        <w:spacing w:line="360" w:lineRule="auto"/>
        <w:rPr>
          <w:rFonts w:cs="宋体"/>
          <w:color w:val="auto"/>
          <w:sz w:val="21"/>
          <w:szCs w:val="21"/>
        </w:rPr>
      </w:pPr>
      <w:r>
        <w:rPr>
          <w:rFonts w:hint="eastAsia" w:cs="宋体"/>
          <w:color w:val="auto"/>
          <w:sz w:val="21"/>
          <w:szCs w:val="21"/>
        </w:rPr>
        <w:t>电  话：</w:t>
      </w:r>
      <w:r>
        <w:rPr>
          <w:rFonts w:hint="eastAsia" w:cs="宋体"/>
          <w:color w:val="auto"/>
          <w:sz w:val="21"/>
          <w:szCs w:val="21"/>
          <w:u w:val="single"/>
        </w:rPr>
        <w:t xml:space="preserve">   </w:t>
      </w:r>
      <w:r>
        <w:rPr>
          <w:rFonts w:hint="eastAsia" w:cs="宋体"/>
          <w:color w:val="auto"/>
          <w:sz w:val="21"/>
          <w:szCs w:val="21"/>
        </w:rPr>
        <w:t xml:space="preserve">                电  话：</w:t>
      </w:r>
      <w:r>
        <w:rPr>
          <w:rFonts w:hint="eastAsia" w:cs="宋体"/>
          <w:color w:val="auto"/>
          <w:sz w:val="21"/>
          <w:szCs w:val="21"/>
          <w:u w:val="single"/>
        </w:rPr>
        <w:t xml:space="preserve">  </w:t>
      </w:r>
    </w:p>
    <w:p w14:paraId="504B6BE6">
      <w:pPr>
        <w:snapToGrid w:val="0"/>
        <w:spacing w:line="360" w:lineRule="auto"/>
        <w:rPr>
          <w:rFonts w:cs="宋体"/>
          <w:color w:val="auto"/>
          <w:sz w:val="21"/>
          <w:szCs w:val="21"/>
        </w:rPr>
      </w:pPr>
      <w:r>
        <w:rPr>
          <w:rFonts w:hint="eastAsia" w:cs="宋体"/>
          <w:color w:val="auto"/>
          <w:sz w:val="21"/>
          <w:szCs w:val="21"/>
        </w:rPr>
        <w:t>传  真：</w:t>
      </w:r>
      <w:r>
        <w:rPr>
          <w:rFonts w:hint="eastAsia" w:cs="宋体"/>
          <w:color w:val="auto"/>
          <w:sz w:val="21"/>
          <w:szCs w:val="21"/>
          <w:u w:val="single"/>
        </w:rPr>
        <w:t xml:space="preserve">   </w:t>
      </w:r>
      <w:r>
        <w:rPr>
          <w:rFonts w:hint="eastAsia" w:cs="宋体"/>
          <w:color w:val="auto"/>
          <w:sz w:val="21"/>
          <w:szCs w:val="21"/>
        </w:rPr>
        <w:t xml:space="preserve">                传  真：</w:t>
      </w:r>
      <w:r>
        <w:rPr>
          <w:rFonts w:hint="eastAsia" w:cs="宋体"/>
          <w:color w:val="auto"/>
          <w:sz w:val="21"/>
          <w:szCs w:val="21"/>
          <w:u w:val="single"/>
        </w:rPr>
        <w:t>  </w:t>
      </w:r>
    </w:p>
    <w:p w14:paraId="1834CC59">
      <w:pPr>
        <w:snapToGrid w:val="0"/>
        <w:spacing w:line="360" w:lineRule="auto"/>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rPr>
        <w:t xml:space="preserve">                电子信箱：</w:t>
      </w:r>
      <w:r>
        <w:rPr>
          <w:rFonts w:hint="eastAsia" w:cs="宋体"/>
          <w:color w:val="auto"/>
          <w:sz w:val="21"/>
          <w:szCs w:val="21"/>
          <w:u w:val="single"/>
        </w:rPr>
        <w:t></w:t>
      </w:r>
    </w:p>
    <w:p w14:paraId="3559DBA1">
      <w:pPr>
        <w:snapToGrid w:val="0"/>
        <w:spacing w:line="360" w:lineRule="auto"/>
        <w:rPr>
          <w:rFonts w:cs="宋体"/>
          <w:color w:val="auto"/>
          <w:sz w:val="21"/>
          <w:szCs w:val="21"/>
        </w:rPr>
      </w:pPr>
      <w:r>
        <w:rPr>
          <w:rFonts w:hint="eastAsia" w:cs="宋体"/>
          <w:color w:val="auto"/>
          <w:sz w:val="21"/>
          <w:szCs w:val="21"/>
        </w:rPr>
        <w:t>开户银行：</w:t>
      </w:r>
      <w:r>
        <w:rPr>
          <w:rFonts w:hint="eastAsia" w:cs="宋体"/>
          <w:color w:val="auto"/>
          <w:sz w:val="21"/>
          <w:szCs w:val="21"/>
          <w:u w:val="single"/>
        </w:rPr>
        <w:t xml:space="preserve">   </w:t>
      </w:r>
      <w:r>
        <w:rPr>
          <w:rFonts w:hint="eastAsia" w:cs="宋体"/>
          <w:color w:val="auto"/>
          <w:sz w:val="21"/>
          <w:szCs w:val="21"/>
        </w:rPr>
        <w:t xml:space="preserve">                开户银行：</w:t>
      </w:r>
      <w:r>
        <w:rPr>
          <w:rFonts w:hint="eastAsia" w:cs="宋体"/>
          <w:color w:val="auto"/>
          <w:sz w:val="21"/>
          <w:szCs w:val="21"/>
          <w:u w:val="single"/>
        </w:rPr>
        <w:t></w:t>
      </w:r>
    </w:p>
    <w:p w14:paraId="580EFDF5">
      <w:pPr>
        <w:snapToGrid w:val="0"/>
        <w:spacing w:line="360" w:lineRule="auto"/>
        <w:rPr>
          <w:rFonts w:cs="宋体"/>
          <w:color w:val="auto"/>
          <w:sz w:val="21"/>
          <w:szCs w:val="21"/>
        </w:rPr>
      </w:pPr>
      <w:r>
        <w:rPr>
          <w:rFonts w:hint="eastAsia" w:cs="宋体"/>
          <w:color w:val="auto"/>
          <w:sz w:val="21"/>
          <w:szCs w:val="21"/>
        </w:rPr>
        <w:t>账  号：</w:t>
      </w:r>
      <w:r>
        <w:rPr>
          <w:rFonts w:hint="eastAsia" w:cs="宋体"/>
          <w:color w:val="auto"/>
          <w:sz w:val="21"/>
          <w:szCs w:val="21"/>
          <w:u w:val="single"/>
        </w:rPr>
        <w:t xml:space="preserve">       </w:t>
      </w:r>
      <w:r>
        <w:rPr>
          <w:rFonts w:hint="eastAsia" w:cs="宋体"/>
          <w:color w:val="auto"/>
          <w:sz w:val="21"/>
          <w:szCs w:val="21"/>
        </w:rPr>
        <w:t xml:space="preserve">                账  号：</w:t>
      </w:r>
      <w:r>
        <w:rPr>
          <w:rFonts w:hint="eastAsia" w:cs="宋体"/>
          <w:color w:val="auto"/>
          <w:sz w:val="21"/>
          <w:szCs w:val="21"/>
          <w:u w:val="single"/>
        </w:rPr>
        <w:t xml:space="preserve">   </w:t>
      </w:r>
    </w:p>
    <w:p w14:paraId="2F925E6F">
      <w:pPr>
        <w:keepNext/>
        <w:keepLines/>
        <w:snapToGrid w:val="0"/>
        <w:spacing w:before="312" w:beforeLines="100" w:after="312" w:afterLines="100" w:line="360" w:lineRule="auto"/>
        <w:jc w:val="center"/>
        <w:outlineLvl w:val="1"/>
        <w:rPr>
          <w:rFonts w:cs="宋体"/>
          <w:bCs/>
          <w:color w:val="auto"/>
          <w:sz w:val="21"/>
          <w:szCs w:val="21"/>
        </w:rPr>
      </w:pPr>
      <w:r>
        <w:rPr>
          <w:rFonts w:hint="eastAsia" w:cs="宋体"/>
          <w:b/>
          <w:bCs/>
          <w:color w:val="auto"/>
          <w:sz w:val="21"/>
          <w:szCs w:val="21"/>
        </w:rPr>
        <w:br w:type="page"/>
      </w:r>
      <w:bookmarkStart w:id="68" w:name="_Toc19767"/>
      <w:bookmarkStart w:id="69" w:name="_Toc28799377"/>
      <w:bookmarkStart w:id="70" w:name="_Toc130919121"/>
      <w:bookmarkStart w:id="71" w:name="_Toc30550"/>
      <w:r>
        <w:rPr>
          <w:rFonts w:hint="eastAsia" w:ascii="等线" w:hAnsi="等线" w:eastAsia="等线" w:cs="@仿宋_GB2312"/>
          <w:b/>
          <w:color w:val="auto"/>
          <w:kern w:val="2"/>
          <w:sz w:val="24"/>
        </w:rPr>
        <w:t>第二节  通用合同条款</w:t>
      </w:r>
      <w:bookmarkEnd w:id="68"/>
      <w:bookmarkEnd w:id="69"/>
      <w:bookmarkEnd w:id="70"/>
      <w:bookmarkEnd w:id="71"/>
    </w:p>
    <w:p w14:paraId="36E70C0A">
      <w:pPr>
        <w:spacing w:line="360" w:lineRule="auto"/>
        <w:ind w:firstLine="560" w:firstLineChars="200"/>
        <w:rPr>
          <w:rFonts w:cs="Times New Roman"/>
          <w:snapToGrid w:val="0"/>
          <w:color w:val="auto"/>
          <w:sz w:val="28"/>
          <w:szCs w:val="24"/>
        </w:rPr>
      </w:pPr>
      <w:r>
        <w:rPr>
          <w:rFonts w:hint="eastAsia" w:cs="Times New Roman"/>
          <w:snapToGrid w:val="0"/>
          <w:color w:val="auto"/>
          <w:sz w:val="28"/>
          <w:szCs w:val="24"/>
        </w:rPr>
        <w:t>采用《建设工程施工合同（示范文本）》（GF-2017-0201）中通用合同条款。上述资料由承包人自行准备。</w:t>
      </w:r>
    </w:p>
    <w:p w14:paraId="50E0964B">
      <w:pPr>
        <w:keepNext/>
        <w:keepLines/>
        <w:snapToGrid w:val="0"/>
        <w:spacing w:before="312" w:beforeLines="100" w:after="312" w:afterLines="100" w:line="360" w:lineRule="auto"/>
        <w:jc w:val="center"/>
        <w:outlineLvl w:val="1"/>
        <w:rPr>
          <w:rFonts w:cs="宋体"/>
          <w:bCs/>
          <w:color w:val="auto"/>
          <w:sz w:val="21"/>
          <w:szCs w:val="21"/>
        </w:rPr>
      </w:pPr>
      <w:r>
        <w:rPr>
          <w:rFonts w:hint="eastAsia" w:cs="宋体"/>
          <w:b/>
          <w:bCs/>
          <w:color w:val="auto"/>
          <w:sz w:val="21"/>
          <w:szCs w:val="21"/>
        </w:rPr>
        <w:br w:type="page"/>
      </w:r>
      <w:bookmarkStart w:id="72" w:name="_Toc31931"/>
      <w:bookmarkStart w:id="73" w:name="_Toc7700"/>
      <w:bookmarkStart w:id="74" w:name="_Toc28799378"/>
      <w:bookmarkStart w:id="75" w:name="_Toc130919122"/>
      <w:r>
        <w:rPr>
          <w:rFonts w:hint="eastAsia" w:ascii="等线" w:hAnsi="等线" w:eastAsia="等线" w:cs="@仿宋_GB2312"/>
          <w:b/>
          <w:color w:val="auto"/>
          <w:kern w:val="2"/>
          <w:sz w:val="24"/>
        </w:rPr>
        <w:t>第三节  专用合同条款</w:t>
      </w:r>
      <w:bookmarkEnd w:id="72"/>
      <w:bookmarkEnd w:id="73"/>
      <w:bookmarkEnd w:id="74"/>
      <w:bookmarkEnd w:id="75"/>
    </w:p>
    <w:p w14:paraId="1E9F9BBF">
      <w:pPr>
        <w:snapToGrid w:val="0"/>
        <w:spacing w:before="312" w:beforeLines="100" w:after="312" w:afterLines="100" w:line="360" w:lineRule="auto"/>
        <w:jc w:val="center"/>
        <w:outlineLvl w:val="2"/>
        <w:rPr>
          <w:rFonts w:cs="宋体"/>
          <w:color w:val="auto"/>
          <w:sz w:val="21"/>
          <w:szCs w:val="21"/>
        </w:rPr>
      </w:pPr>
      <w:bookmarkStart w:id="76" w:name="_Toc351203633"/>
      <w:r>
        <w:rPr>
          <w:rFonts w:hint="eastAsia" w:cs="宋体"/>
          <w:color w:val="auto"/>
          <w:sz w:val="21"/>
          <w:szCs w:val="21"/>
        </w:rPr>
        <w:t>专用合同条款数据表</w:t>
      </w:r>
    </w:p>
    <w:p w14:paraId="2BBC12A2">
      <w:pPr>
        <w:pStyle w:val="3"/>
        <w:snapToGrid w:val="0"/>
        <w:spacing w:line="360" w:lineRule="auto"/>
        <w:ind w:left="400" w:firstLine="480"/>
        <w:rPr>
          <w:rFonts w:ascii="宋体" w:hAnsi="宋体" w:cs="宋体"/>
          <w:color w:val="auto"/>
          <w:szCs w:val="21"/>
        </w:rPr>
      </w:pPr>
      <w:r>
        <w:rPr>
          <w:rFonts w:hint="eastAsia" w:ascii="宋体" w:hAnsi="宋体" w:cs="宋体"/>
          <w:color w:val="auto"/>
          <w:szCs w:val="21"/>
        </w:rPr>
        <w:t>说明：本数据表是项目专用合同条款中适用于本招标项目的信息和数据的归纳与提示，是项目专用合同条款的组成部分。</w:t>
      </w:r>
    </w:p>
    <w:tbl>
      <w:tblPr>
        <w:tblStyle w:val="55"/>
        <w:tblW w:w="87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1111"/>
        <w:gridCol w:w="6982"/>
      </w:tblGrid>
      <w:tr w14:paraId="033F2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629" w:type="dxa"/>
            <w:vAlign w:val="center"/>
          </w:tcPr>
          <w:p w14:paraId="67FC75F4">
            <w:pPr>
              <w:snapToGrid w:val="0"/>
              <w:spacing w:before="100" w:beforeAutospacing="1" w:line="360" w:lineRule="auto"/>
              <w:ind w:left="-100" w:leftChars="-50" w:right="-100" w:rightChars="-50"/>
              <w:jc w:val="center"/>
              <w:rPr>
                <w:rFonts w:cs="宋体"/>
                <w:b/>
                <w:color w:val="auto"/>
                <w:sz w:val="21"/>
                <w:szCs w:val="21"/>
              </w:rPr>
            </w:pPr>
            <w:r>
              <w:rPr>
                <w:rFonts w:hint="eastAsia" w:cs="宋体"/>
                <w:b/>
                <w:color w:val="auto"/>
                <w:sz w:val="21"/>
                <w:szCs w:val="21"/>
              </w:rPr>
              <w:t>序号</w:t>
            </w:r>
          </w:p>
        </w:tc>
        <w:tc>
          <w:tcPr>
            <w:tcW w:w="1111" w:type="dxa"/>
            <w:vAlign w:val="center"/>
          </w:tcPr>
          <w:p w14:paraId="7275F1FB">
            <w:pPr>
              <w:snapToGrid w:val="0"/>
              <w:spacing w:line="360" w:lineRule="auto"/>
              <w:ind w:left="-100" w:leftChars="-50" w:right="-100" w:rightChars="-50"/>
              <w:jc w:val="center"/>
              <w:rPr>
                <w:rFonts w:cs="宋体"/>
                <w:b/>
                <w:color w:val="auto"/>
                <w:sz w:val="21"/>
                <w:szCs w:val="21"/>
              </w:rPr>
            </w:pPr>
            <w:r>
              <w:rPr>
                <w:rFonts w:hint="eastAsia" w:cs="宋体"/>
                <w:b/>
                <w:color w:val="auto"/>
                <w:sz w:val="21"/>
                <w:szCs w:val="21"/>
              </w:rPr>
              <w:t>条目号</w:t>
            </w:r>
          </w:p>
        </w:tc>
        <w:tc>
          <w:tcPr>
            <w:tcW w:w="6982" w:type="dxa"/>
            <w:vAlign w:val="center"/>
          </w:tcPr>
          <w:p w14:paraId="0282168A">
            <w:pPr>
              <w:snapToGrid w:val="0"/>
              <w:spacing w:line="360" w:lineRule="auto"/>
              <w:jc w:val="center"/>
              <w:rPr>
                <w:rFonts w:cs="宋体"/>
                <w:b/>
                <w:color w:val="auto"/>
                <w:sz w:val="21"/>
                <w:szCs w:val="21"/>
              </w:rPr>
            </w:pPr>
            <w:r>
              <w:rPr>
                <w:rFonts w:hint="eastAsia" w:cs="宋体"/>
                <w:b/>
                <w:color w:val="auto"/>
                <w:sz w:val="21"/>
                <w:szCs w:val="21"/>
              </w:rPr>
              <w:t>信息或数据</w:t>
            </w:r>
          </w:p>
        </w:tc>
      </w:tr>
      <w:tr w14:paraId="77078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7EEFC91A">
            <w:pPr>
              <w:numPr>
                <w:ilvl w:val="0"/>
                <w:numId w:val="3"/>
              </w:numPr>
              <w:snapToGrid w:val="0"/>
              <w:spacing w:line="360" w:lineRule="auto"/>
              <w:jc w:val="center"/>
              <w:rPr>
                <w:rFonts w:cs="宋体"/>
                <w:bCs/>
                <w:color w:val="auto"/>
                <w:kern w:val="2"/>
                <w:sz w:val="21"/>
                <w:szCs w:val="21"/>
              </w:rPr>
            </w:pPr>
          </w:p>
        </w:tc>
        <w:tc>
          <w:tcPr>
            <w:tcW w:w="1111" w:type="dxa"/>
            <w:vAlign w:val="center"/>
          </w:tcPr>
          <w:p w14:paraId="0913DED1">
            <w:pPr>
              <w:snapToGrid w:val="0"/>
              <w:spacing w:line="360" w:lineRule="auto"/>
              <w:jc w:val="center"/>
              <w:rPr>
                <w:rFonts w:cs="宋体"/>
                <w:bCs/>
                <w:color w:val="auto"/>
                <w:sz w:val="21"/>
                <w:szCs w:val="21"/>
              </w:rPr>
            </w:pPr>
            <w:r>
              <w:rPr>
                <w:rFonts w:hint="eastAsia" w:cs="宋体"/>
                <w:bCs/>
                <w:color w:val="auto"/>
                <w:sz w:val="21"/>
                <w:szCs w:val="21"/>
              </w:rPr>
              <w:t>2.5</w:t>
            </w:r>
          </w:p>
        </w:tc>
        <w:tc>
          <w:tcPr>
            <w:tcW w:w="6982" w:type="dxa"/>
            <w:vAlign w:val="center"/>
          </w:tcPr>
          <w:p w14:paraId="2C6BEA3E">
            <w:pPr>
              <w:snapToGrid w:val="0"/>
              <w:spacing w:line="360" w:lineRule="auto"/>
              <w:rPr>
                <w:rFonts w:cs="宋体"/>
                <w:bCs/>
                <w:color w:val="auto"/>
                <w:sz w:val="21"/>
                <w:szCs w:val="21"/>
                <w:u w:val="single"/>
              </w:rPr>
            </w:pPr>
            <w:r>
              <w:rPr>
                <w:rFonts w:hint="eastAsia" w:cs="宋体"/>
                <w:bCs/>
                <w:color w:val="auto"/>
                <w:sz w:val="21"/>
                <w:szCs w:val="21"/>
              </w:rPr>
              <w:t xml:space="preserve">发包人提供资金来源证明的期限要求： </w:t>
            </w:r>
            <w:r>
              <w:rPr>
                <w:rFonts w:hint="eastAsia" w:cs="宋体"/>
                <w:bCs/>
                <w:color w:val="auto"/>
                <w:sz w:val="21"/>
                <w:szCs w:val="21"/>
                <w:u w:val="single"/>
              </w:rPr>
              <w:t xml:space="preserve">         </w:t>
            </w:r>
          </w:p>
          <w:p w14:paraId="3DF8E748">
            <w:pPr>
              <w:snapToGrid w:val="0"/>
              <w:spacing w:line="360" w:lineRule="auto"/>
              <w:rPr>
                <w:rFonts w:cs="宋体"/>
                <w:bCs/>
                <w:color w:val="auto"/>
                <w:sz w:val="21"/>
                <w:szCs w:val="21"/>
              </w:rPr>
            </w:pPr>
            <w:r>
              <w:rPr>
                <w:rFonts w:hint="eastAsia" w:cs="宋体"/>
                <w:bCs/>
                <w:color w:val="auto"/>
                <w:sz w:val="21"/>
                <w:szCs w:val="21"/>
              </w:rPr>
              <w:t xml:space="preserve">发包人是否提供支付担保：  </w:t>
            </w:r>
            <w:r>
              <w:rPr>
                <w:rFonts w:hint="eastAsia" w:cs="宋体"/>
                <w:bCs/>
                <w:color w:val="auto"/>
                <w:sz w:val="21"/>
                <w:szCs w:val="21"/>
                <w:u w:val="single"/>
              </w:rPr>
              <w:t xml:space="preserve">        </w:t>
            </w:r>
          </w:p>
          <w:p w14:paraId="501E4FC9">
            <w:pPr>
              <w:snapToGrid w:val="0"/>
              <w:spacing w:line="360" w:lineRule="auto"/>
              <w:rPr>
                <w:rFonts w:cs="宋体"/>
                <w:bCs/>
                <w:color w:val="auto"/>
                <w:sz w:val="21"/>
                <w:szCs w:val="21"/>
                <w:u w:val="single"/>
              </w:rPr>
            </w:pPr>
            <w:r>
              <w:rPr>
                <w:rFonts w:hint="eastAsia" w:cs="宋体"/>
                <w:bCs/>
                <w:color w:val="auto"/>
                <w:sz w:val="21"/>
                <w:szCs w:val="21"/>
              </w:rPr>
              <w:t>发包人提供支付担保的形式：</w:t>
            </w:r>
            <w:r>
              <w:rPr>
                <w:rFonts w:hint="eastAsia" w:cs="宋体"/>
                <w:bCs/>
                <w:color w:val="auto"/>
                <w:sz w:val="21"/>
                <w:szCs w:val="21"/>
                <w:u w:val="single"/>
              </w:rPr>
              <w:t xml:space="preserve">          </w:t>
            </w:r>
          </w:p>
        </w:tc>
      </w:tr>
      <w:tr w14:paraId="5CF36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0F814D62">
            <w:pPr>
              <w:numPr>
                <w:ilvl w:val="0"/>
                <w:numId w:val="3"/>
              </w:numPr>
              <w:snapToGrid w:val="0"/>
              <w:spacing w:line="360" w:lineRule="auto"/>
              <w:jc w:val="center"/>
              <w:rPr>
                <w:rFonts w:cs="宋体"/>
                <w:bCs/>
                <w:color w:val="auto"/>
                <w:kern w:val="2"/>
                <w:sz w:val="21"/>
                <w:szCs w:val="21"/>
              </w:rPr>
            </w:pPr>
          </w:p>
        </w:tc>
        <w:tc>
          <w:tcPr>
            <w:tcW w:w="1111" w:type="dxa"/>
            <w:vAlign w:val="center"/>
          </w:tcPr>
          <w:p w14:paraId="6ADBA4E4">
            <w:pPr>
              <w:snapToGrid w:val="0"/>
              <w:spacing w:line="360" w:lineRule="auto"/>
              <w:jc w:val="center"/>
              <w:rPr>
                <w:rFonts w:cs="宋体"/>
                <w:bCs/>
                <w:color w:val="auto"/>
                <w:kern w:val="2"/>
                <w:sz w:val="21"/>
                <w:szCs w:val="21"/>
              </w:rPr>
            </w:pPr>
            <w:r>
              <w:rPr>
                <w:rFonts w:hint="eastAsia" w:cs="宋体"/>
                <w:bCs/>
                <w:color w:val="auto"/>
                <w:sz w:val="21"/>
                <w:szCs w:val="21"/>
              </w:rPr>
              <w:t>3.2.1</w:t>
            </w:r>
          </w:p>
        </w:tc>
        <w:tc>
          <w:tcPr>
            <w:tcW w:w="6982" w:type="dxa"/>
            <w:vAlign w:val="center"/>
          </w:tcPr>
          <w:p w14:paraId="72184E84">
            <w:pPr>
              <w:snapToGrid w:val="0"/>
              <w:spacing w:line="360" w:lineRule="auto"/>
              <w:rPr>
                <w:rFonts w:cs="宋体"/>
                <w:bCs/>
                <w:color w:val="auto"/>
                <w:sz w:val="21"/>
                <w:szCs w:val="21"/>
              </w:rPr>
            </w:pPr>
            <w:r>
              <w:rPr>
                <w:rFonts w:hint="eastAsia" w:cs="宋体"/>
                <w:bCs/>
                <w:color w:val="auto"/>
                <w:sz w:val="21"/>
                <w:szCs w:val="21"/>
              </w:rPr>
              <w:t>项目经理</w:t>
            </w:r>
          </w:p>
          <w:p w14:paraId="4A44D364">
            <w:pPr>
              <w:snapToGrid w:val="0"/>
              <w:spacing w:line="360" w:lineRule="auto"/>
              <w:rPr>
                <w:rFonts w:cs="宋体"/>
                <w:bCs/>
                <w:color w:val="auto"/>
                <w:sz w:val="21"/>
                <w:szCs w:val="21"/>
              </w:rPr>
            </w:pPr>
            <w:r>
              <w:rPr>
                <w:rFonts w:hint="eastAsia" w:cs="宋体"/>
                <w:bCs/>
                <w:color w:val="auto"/>
                <w:sz w:val="21"/>
                <w:szCs w:val="21"/>
              </w:rPr>
              <w:t>姓    名：</w:t>
            </w:r>
            <w:r>
              <w:rPr>
                <w:rFonts w:hint="eastAsia" w:cs="宋体"/>
                <w:bCs/>
                <w:color w:val="auto"/>
                <w:sz w:val="21"/>
                <w:szCs w:val="21"/>
                <w:u w:val="single"/>
              </w:rPr>
              <w:t xml:space="preserve">          </w:t>
            </w:r>
          </w:p>
          <w:p w14:paraId="7D1AD72A">
            <w:pPr>
              <w:snapToGrid w:val="0"/>
              <w:spacing w:line="360" w:lineRule="auto"/>
              <w:rPr>
                <w:rFonts w:cs="宋体"/>
                <w:bCs/>
                <w:color w:val="auto"/>
                <w:sz w:val="21"/>
                <w:szCs w:val="21"/>
              </w:rPr>
            </w:pPr>
            <w:r>
              <w:rPr>
                <w:rFonts w:hint="eastAsia" w:cs="宋体"/>
                <w:bCs/>
                <w:color w:val="auto"/>
                <w:sz w:val="21"/>
                <w:szCs w:val="21"/>
              </w:rPr>
              <w:t>身份证号：</w:t>
            </w:r>
            <w:r>
              <w:rPr>
                <w:rFonts w:hint="eastAsia" w:cs="宋体"/>
                <w:bCs/>
                <w:color w:val="auto"/>
                <w:sz w:val="21"/>
                <w:szCs w:val="21"/>
                <w:u w:val="single"/>
              </w:rPr>
              <w:t xml:space="preserve">          </w:t>
            </w:r>
          </w:p>
          <w:p w14:paraId="51765052">
            <w:pPr>
              <w:snapToGrid w:val="0"/>
              <w:spacing w:line="360" w:lineRule="auto"/>
              <w:rPr>
                <w:rFonts w:cs="宋体"/>
                <w:bCs/>
                <w:color w:val="auto"/>
                <w:sz w:val="21"/>
                <w:szCs w:val="21"/>
              </w:rPr>
            </w:pPr>
            <w:r>
              <w:rPr>
                <w:rFonts w:hint="eastAsia" w:cs="宋体"/>
                <w:bCs/>
                <w:color w:val="auto"/>
                <w:sz w:val="21"/>
                <w:szCs w:val="21"/>
              </w:rPr>
              <w:t>建造师执业资格等级：</w:t>
            </w:r>
            <w:r>
              <w:rPr>
                <w:rFonts w:hint="eastAsia" w:cs="宋体"/>
                <w:bCs/>
                <w:color w:val="auto"/>
                <w:sz w:val="21"/>
                <w:szCs w:val="21"/>
                <w:u w:val="single"/>
              </w:rPr>
              <w:t xml:space="preserve">          </w:t>
            </w:r>
          </w:p>
          <w:p w14:paraId="00D25E21">
            <w:pPr>
              <w:snapToGrid w:val="0"/>
              <w:spacing w:line="360" w:lineRule="auto"/>
              <w:rPr>
                <w:rFonts w:cs="宋体"/>
                <w:bCs/>
                <w:color w:val="auto"/>
                <w:sz w:val="21"/>
                <w:szCs w:val="21"/>
              </w:rPr>
            </w:pPr>
            <w:r>
              <w:rPr>
                <w:rFonts w:hint="eastAsia" w:cs="宋体"/>
                <w:bCs/>
                <w:color w:val="auto"/>
                <w:sz w:val="21"/>
                <w:szCs w:val="21"/>
              </w:rPr>
              <w:t>建造师注册证书号：</w:t>
            </w:r>
            <w:r>
              <w:rPr>
                <w:rFonts w:hint="eastAsia" w:cs="宋体"/>
                <w:bCs/>
                <w:color w:val="auto"/>
                <w:sz w:val="21"/>
                <w:szCs w:val="21"/>
                <w:u w:val="single"/>
              </w:rPr>
              <w:t xml:space="preserve">            </w:t>
            </w:r>
          </w:p>
          <w:p w14:paraId="65E554E4">
            <w:pPr>
              <w:snapToGrid w:val="0"/>
              <w:spacing w:line="360" w:lineRule="auto"/>
              <w:rPr>
                <w:rFonts w:cs="宋体"/>
                <w:bCs/>
                <w:color w:val="auto"/>
                <w:sz w:val="21"/>
                <w:szCs w:val="21"/>
                <w:u w:val="single"/>
              </w:rPr>
            </w:pPr>
            <w:r>
              <w:rPr>
                <w:rFonts w:hint="eastAsia" w:cs="宋体"/>
                <w:bCs/>
                <w:color w:val="auto"/>
                <w:sz w:val="21"/>
                <w:szCs w:val="21"/>
              </w:rPr>
              <w:t>承包人对项目经理的授权范围如下：</w:t>
            </w:r>
            <w:r>
              <w:rPr>
                <w:rFonts w:hint="eastAsia" w:cs="宋体"/>
                <w:bCs/>
                <w:color w:val="auto"/>
                <w:sz w:val="21"/>
                <w:szCs w:val="21"/>
                <w:u w:val="single"/>
              </w:rPr>
              <w:t xml:space="preserve">            </w:t>
            </w:r>
          </w:p>
          <w:p w14:paraId="6E097960">
            <w:pPr>
              <w:snapToGrid w:val="0"/>
              <w:spacing w:line="360" w:lineRule="auto"/>
              <w:rPr>
                <w:rFonts w:cs="宋体"/>
                <w:bCs/>
                <w:color w:val="auto"/>
                <w:kern w:val="2"/>
                <w:sz w:val="21"/>
                <w:szCs w:val="21"/>
              </w:rPr>
            </w:pPr>
            <w:r>
              <w:rPr>
                <w:rFonts w:hint="eastAsia" w:cs="宋体"/>
                <w:bCs/>
                <w:color w:val="auto"/>
                <w:sz w:val="21"/>
                <w:szCs w:val="21"/>
              </w:rPr>
              <w:t>承包人项目经理每月在施工现场的时间：驻场时间每月不少于</w:t>
            </w:r>
            <w:r>
              <w:rPr>
                <w:rFonts w:hint="eastAsia" w:cs="宋体"/>
                <w:bCs/>
                <w:color w:val="auto"/>
                <w:sz w:val="21"/>
                <w:szCs w:val="21"/>
                <w:u w:val="single"/>
                <w:lang w:val="en-US" w:eastAsia="zh-CN"/>
              </w:rPr>
              <w:t>22</w:t>
            </w:r>
            <w:r>
              <w:rPr>
                <w:rFonts w:hint="eastAsia" w:cs="宋体"/>
                <w:bCs/>
                <w:color w:val="auto"/>
                <w:sz w:val="21"/>
                <w:szCs w:val="21"/>
              </w:rPr>
              <w:t>天，每天在岗工作时间不得少于</w:t>
            </w:r>
            <w:r>
              <w:rPr>
                <w:rFonts w:hint="eastAsia" w:cs="宋体"/>
                <w:bCs/>
                <w:color w:val="auto"/>
                <w:sz w:val="21"/>
                <w:szCs w:val="21"/>
                <w:u w:val="single"/>
                <w:lang w:val="en-US" w:eastAsia="zh-CN"/>
              </w:rPr>
              <w:t>8</w:t>
            </w:r>
            <w:r>
              <w:rPr>
                <w:rFonts w:hint="eastAsia" w:cs="宋体"/>
                <w:bCs/>
                <w:color w:val="auto"/>
                <w:sz w:val="21"/>
                <w:szCs w:val="21"/>
                <w:u w:val="single"/>
              </w:rPr>
              <w:t xml:space="preserve"> </w:t>
            </w:r>
            <w:r>
              <w:rPr>
                <w:rFonts w:hint="eastAsia" w:cs="宋体"/>
                <w:bCs/>
                <w:color w:val="auto"/>
                <w:sz w:val="21"/>
                <w:szCs w:val="21"/>
              </w:rPr>
              <w:t>小时。</w:t>
            </w:r>
          </w:p>
        </w:tc>
      </w:tr>
      <w:tr w14:paraId="19DF4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492431B3">
            <w:pPr>
              <w:numPr>
                <w:ilvl w:val="0"/>
                <w:numId w:val="3"/>
              </w:numPr>
              <w:snapToGrid w:val="0"/>
              <w:spacing w:line="360" w:lineRule="auto"/>
              <w:jc w:val="center"/>
              <w:rPr>
                <w:rFonts w:cs="宋体"/>
                <w:bCs/>
                <w:color w:val="auto"/>
                <w:kern w:val="2"/>
                <w:sz w:val="21"/>
                <w:szCs w:val="21"/>
              </w:rPr>
            </w:pPr>
          </w:p>
        </w:tc>
        <w:tc>
          <w:tcPr>
            <w:tcW w:w="1111" w:type="dxa"/>
            <w:vAlign w:val="center"/>
          </w:tcPr>
          <w:p w14:paraId="6E4A6CDB">
            <w:pPr>
              <w:snapToGrid w:val="0"/>
              <w:spacing w:line="360" w:lineRule="auto"/>
              <w:jc w:val="center"/>
              <w:rPr>
                <w:rFonts w:cs="宋体"/>
                <w:bCs/>
                <w:color w:val="auto"/>
                <w:kern w:val="2"/>
                <w:sz w:val="21"/>
                <w:szCs w:val="21"/>
              </w:rPr>
            </w:pPr>
            <w:r>
              <w:rPr>
                <w:rFonts w:hint="eastAsia" w:cs="宋体"/>
                <w:bCs/>
                <w:color w:val="auto"/>
                <w:sz w:val="21"/>
                <w:szCs w:val="21"/>
              </w:rPr>
              <w:t>3.7</w:t>
            </w:r>
          </w:p>
        </w:tc>
        <w:tc>
          <w:tcPr>
            <w:tcW w:w="6982" w:type="dxa"/>
            <w:vAlign w:val="center"/>
          </w:tcPr>
          <w:p w14:paraId="3084B9B6">
            <w:pPr>
              <w:snapToGrid w:val="0"/>
              <w:spacing w:line="360" w:lineRule="auto"/>
              <w:rPr>
                <w:rFonts w:cs="宋体"/>
                <w:bCs/>
                <w:color w:val="auto"/>
                <w:sz w:val="21"/>
                <w:szCs w:val="21"/>
              </w:rPr>
            </w:pPr>
            <w:r>
              <w:rPr>
                <w:rFonts w:hint="eastAsia" w:cs="宋体"/>
                <w:bCs/>
                <w:color w:val="auto"/>
                <w:sz w:val="21"/>
                <w:szCs w:val="21"/>
              </w:rPr>
              <w:t>承包人是否提供履约保证金：</w:t>
            </w:r>
            <w:r>
              <w:rPr>
                <w:rFonts w:hint="eastAsia" w:cs="宋体"/>
                <w:bCs/>
                <w:color w:val="auto"/>
                <w:sz w:val="21"/>
                <w:szCs w:val="21"/>
                <w:u w:val="single"/>
              </w:rPr>
              <w:t xml:space="preserve"> </w:t>
            </w:r>
            <w:r>
              <w:rPr>
                <w:rFonts w:hint="eastAsia" w:cs="宋体"/>
                <w:bCs/>
                <w:color w:val="auto"/>
                <w:sz w:val="21"/>
                <w:szCs w:val="21"/>
                <w:u w:val="single"/>
                <w:lang w:val="en-US" w:eastAsia="zh-CN"/>
              </w:rPr>
              <w:t xml:space="preserve">免收 </w:t>
            </w:r>
            <w:r>
              <w:rPr>
                <w:rFonts w:hint="eastAsia" w:cs="宋体"/>
                <w:bCs/>
                <w:color w:val="auto"/>
                <w:sz w:val="21"/>
                <w:szCs w:val="21"/>
              </w:rPr>
              <w:t>。</w:t>
            </w:r>
          </w:p>
          <w:p w14:paraId="748DEE65">
            <w:pPr>
              <w:snapToGrid w:val="0"/>
              <w:spacing w:line="360" w:lineRule="auto"/>
              <w:rPr>
                <w:rFonts w:cs="宋体"/>
                <w:bCs/>
                <w:color w:val="auto"/>
                <w:sz w:val="21"/>
                <w:szCs w:val="21"/>
              </w:rPr>
            </w:pPr>
            <w:r>
              <w:rPr>
                <w:rFonts w:hint="eastAsia" w:cs="宋体"/>
                <w:bCs/>
                <w:color w:val="auto"/>
                <w:sz w:val="21"/>
                <w:szCs w:val="21"/>
              </w:rPr>
              <w:t>承包人提供履约保证金的形式：</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07370995">
            <w:pPr>
              <w:snapToGrid w:val="0"/>
              <w:spacing w:line="360" w:lineRule="auto"/>
              <w:rPr>
                <w:rFonts w:cs="宋体"/>
                <w:bCs/>
                <w:color w:val="auto"/>
                <w:sz w:val="21"/>
                <w:szCs w:val="21"/>
              </w:rPr>
            </w:pPr>
            <w:r>
              <w:rPr>
                <w:rFonts w:hint="eastAsia" w:cs="宋体"/>
                <w:bCs/>
                <w:color w:val="auto"/>
                <w:sz w:val="21"/>
                <w:szCs w:val="21"/>
              </w:rPr>
              <w:t>履约保证金的金额：中标合同金额的</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0A50375F">
            <w:pPr>
              <w:snapToGrid w:val="0"/>
              <w:spacing w:line="360" w:lineRule="auto"/>
              <w:rPr>
                <w:rFonts w:cs="宋体"/>
                <w:bCs/>
                <w:color w:val="auto"/>
                <w:sz w:val="21"/>
                <w:szCs w:val="21"/>
              </w:rPr>
            </w:pPr>
            <w:r>
              <w:rPr>
                <w:rFonts w:hint="eastAsia" w:cs="宋体"/>
                <w:bCs/>
                <w:color w:val="auto"/>
                <w:sz w:val="21"/>
                <w:szCs w:val="21"/>
              </w:rPr>
              <w:t>履约保证金提交期限的要求：</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4FBC424B">
            <w:pPr>
              <w:snapToGrid w:val="0"/>
              <w:spacing w:line="360" w:lineRule="auto"/>
              <w:rPr>
                <w:rFonts w:cs="宋体"/>
                <w:bCs/>
                <w:color w:val="auto"/>
                <w:kern w:val="2"/>
                <w:sz w:val="21"/>
                <w:szCs w:val="21"/>
              </w:rPr>
            </w:pPr>
            <w:r>
              <w:rPr>
                <w:rFonts w:hint="eastAsia" w:cs="宋体"/>
                <w:bCs/>
                <w:color w:val="auto"/>
                <w:sz w:val="21"/>
                <w:szCs w:val="21"/>
              </w:rPr>
              <w:t>履约保证金退还时限：</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tc>
      </w:tr>
      <w:tr w14:paraId="53A44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17EB7165">
            <w:pPr>
              <w:numPr>
                <w:ilvl w:val="0"/>
                <w:numId w:val="3"/>
              </w:numPr>
              <w:snapToGrid w:val="0"/>
              <w:spacing w:line="360" w:lineRule="auto"/>
              <w:jc w:val="center"/>
              <w:rPr>
                <w:rFonts w:cs="宋体"/>
                <w:bCs/>
                <w:color w:val="auto"/>
                <w:sz w:val="21"/>
                <w:szCs w:val="21"/>
              </w:rPr>
            </w:pPr>
          </w:p>
        </w:tc>
        <w:tc>
          <w:tcPr>
            <w:tcW w:w="1111" w:type="dxa"/>
            <w:vAlign w:val="center"/>
          </w:tcPr>
          <w:p w14:paraId="4EC34A9E">
            <w:pPr>
              <w:snapToGrid w:val="0"/>
              <w:spacing w:line="360" w:lineRule="auto"/>
              <w:jc w:val="center"/>
              <w:rPr>
                <w:rFonts w:cs="宋体"/>
                <w:bCs/>
                <w:color w:val="auto"/>
                <w:sz w:val="21"/>
                <w:szCs w:val="21"/>
              </w:rPr>
            </w:pPr>
            <w:r>
              <w:rPr>
                <w:rFonts w:hint="eastAsia" w:cs="宋体"/>
                <w:bCs/>
                <w:color w:val="auto"/>
                <w:sz w:val="21"/>
                <w:szCs w:val="21"/>
              </w:rPr>
              <w:t>5.1.1</w:t>
            </w:r>
          </w:p>
        </w:tc>
        <w:tc>
          <w:tcPr>
            <w:tcW w:w="6982" w:type="dxa"/>
            <w:vAlign w:val="center"/>
          </w:tcPr>
          <w:p w14:paraId="089464FE">
            <w:pPr>
              <w:snapToGrid w:val="0"/>
              <w:spacing w:line="360" w:lineRule="auto"/>
              <w:rPr>
                <w:rFonts w:cs="宋体"/>
                <w:bCs/>
                <w:color w:val="auto"/>
                <w:sz w:val="21"/>
                <w:szCs w:val="21"/>
              </w:rPr>
            </w:pPr>
            <w:r>
              <w:rPr>
                <w:rFonts w:hint="eastAsia" w:cs="宋体"/>
                <w:bCs/>
                <w:color w:val="auto"/>
                <w:sz w:val="21"/>
                <w:szCs w:val="21"/>
              </w:rPr>
              <w:t>5.1.1 特殊质量标准和要求：</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19DB7AEB">
            <w:pPr>
              <w:snapToGrid w:val="0"/>
              <w:spacing w:line="360" w:lineRule="auto"/>
              <w:rPr>
                <w:rFonts w:cs="宋体"/>
                <w:bCs/>
                <w:color w:val="auto"/>
                <w:sz w:val="21"/>
                <w:szCs w:val="21"/>
              </w:rPr>
            </w:pPr>
            <w:r>
              <w:rPr>
                <w:rFonts w:hint="eastAsia" w:cs="宋体"/>
                <w:bCs/>
                <w:color w:val="auto"/>
                <w:sz w:val="21"/>
                <w:szCs w:val="21"/>
              </w:rPr>
              <w:t>关于工程奖项的约定：</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3A5D0F0F">
            <w:pPr>
              <w:snapToGrid w:val="0"/>
              <w:spacing w:line="360" w:lineRule="auto"/>
              <w:rPr>
                <w:rFonts w:cs="宋体"/>
                <w:bCs/>
                <w:color w:val="auto"/>
                <w:sz w:val="21"/>
                <w:szCs w:val="21"/>
              </w:rPr>
            </w:pPr>
            <w:r>
              <w:rPr>
                <w:rFonts w:hint="eastAsia" w:cs="宋体"/>
                <w:bCs/>
                <w:color w:val="auto"/>
                <w:sz w:val="21"/>
                <w:szCs w:val="21"/>
              </w:rPr>
              <w:t>关于建造要求：</w:t>
            </w:r>
          </w:p>
          <w:p w14:paraId="4C9A2920">
            <w:pPr>
              <w:snapToGrid w:val="0"/>
              <w:spacing w:line="360" w:lineRule="auto"/>
              <w:rPr>
                <w:rFonts w:cs="宋体"/>
                <w:bCs/>
                <w:color w:val="auto"/>
                <w:sz w:val="21"/>
                <w:szCs w:val="21"/>
              </w:rPr>
            </w:pPr>
            <w:r>
              <w:rPr>
                <w:rFonts w:hint="eastAsia" w:cs="宋体"/>
                <w:bCs/>
                <w:color w:val="auto"/>
                <w:sz w:val="21"/>
                <w:szCs w:val="21"/>
              </w:rPr>
              <w:t>（1）绿色建筑等级要求：</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1CC280D2">
            <w:pPr>
              <w:snapToGrid w:val="0"/>
              <w:spacing w:line="360" w:lineRule="auto"/>
              <w:rPr>
                <w:rFonts w:cs="宋体"/>
                <w:bCs/>
                <w:color w:val="auto"/>
                <w:sz w:val="21"/>
                <w:szCs w:val="21"/>
              </w:rPr>
            </w:pPr>
            <w:r>
              <w:rPr>
                <w:rFonts w:hint="eastAsia" w:cs="宋体"/>
                <w:bCs/>
                <w:color w:val="auto"/>
                <w:sz w:val="21"/>
                <w:szCs w:val="21"/>
              </w:rPr>
              <w:t>（2）智慧工地管理要求：</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4BE6D94D">
            <w:pPr>
              <w:snapToGrid w:val="0"/>
              <w:spacing w:line="360" w:lineRule="auto"/>
              <w:rPr>
                <w:rFonts w:cs="宋体"/>
                <w:bCs/>
                <w:color w:val="auto"/>
                <w:sz w:val="21"/>
                <w:szCs w:val="21"/>
              </w:rPr>
            </w:pPr>
            <w:r>
              <w:rPr>
                <w:rFonts w:hint="eastAsia" w:cs="宋体"/>
                <w:bCs/>
                <w:color w:val="auto"/>
                <w:sz w:val="21"/>
                <w:szCs w:val="21"/>
              </w:rPr>
              <w:t>（3）建筑垃圾减量化目标：</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6F3367A5">
            <w:pPr>
              <w:snapToGrid w:val="0"/>
              <w:spacing w:line="360" w:lineRule="auto"/>
              <w:rPr>
                <w:rFonts w:cs="宋体"/>
                <w:bCs/>
                <w:color w:val="auto"/>
                <w:sz w:val="21"/>
                <w:szCs w:val="21"/>
              </w:rPr>
            </w:pPr>
            <w:r>
              <w:rPr>
                <w:rFonts w:hint="eastAsia" w:cs="宋体"/>
                <w:bCs/>
                <w:color w:val="auto"/>
                <w:sz w:val="21"/>
                <w:szCs w:val="21"/>
              </w:rPr>
              <w:t>（4）装配式建筑装配率要求：</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42B25686">
            <w:pPr>
              <w:snapToGrid w:val="0"/>
              <w:spacing w:line="360" w:lineRule="auto"/>
              <w:rPr>
                <w:rFonts w:cs="宋体"/>
                <w:bCs/>
                <w:color w:val="auto"/>
                <w:sz w:val="21"/>
                <w:szCs w:val="21"/>
              </w:rPr>
            </w:pPr>
            <w:r>
              <w:rPr>
                <w:rFonts w:hint="eastAsia" w:cs="宋体"/>
                <w:bCs/>
                <w:color w:val="auto"/>
                <w:sz w:val="21"/>
                <w:szCs w:val="21"/>
              </w:rPr>
              <w:t>（5）</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tc>
      </w:tr>
      <w:tr w14:paraId="62739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6D19B9C3">
            <w:pPr>
              <w:numPr>
                <w:ilvl w:val="0"/>
                <w:numId w:val="3"/>
              </w:numPr>
              <w:snapToGrid w:val="0"/>
              <w:spacing w:line="360" w:lineRule="auto"/>
              <w:jc w:val="center"/>
              <w:rPr>
                <w:rFonts w:cs="宋体"/>
                <w:bCs/>
                <w:color w:val="auto"/>
                <w:kern w:val="2"/>
                <w:sz w:val="21"/>
                <w:szCs w:val="21"/>
              </w:rPr>
            </w:pPr>
          </w:p>
        </w:tc>
        <w:tc>
          <w:tcPr>
            <w:tcW w:w="1111" w:type="dxa"/>
            <w:vAlign w:val="center"/>
          </w:tcPr>
          <w:p w14:paraId="61ACC022">
            <w:pPr>
              <w:snapToGrid w:val="0"/>
              <w:spacing w:line="360" w:lineRule="auto"/>
              <w:jc w:val="center"/>
              <w:rPr>
                <w:rFonts w:cs="宋体"/>
                <w:bCs/>
                <w:color w:val="auto"/>
                <w:kern w:val="2"/>
                <w:sz w:val="21"/>
                <w:szCs w:val="21"/>
              </w:rPr>
            </w:pPr>
            <w:r>
              <w:rPr>
                <w:rFonts w:hint="eastAsia" w:cs="宋体"/>
                <w:bCs/>
                <w:color w:val="auto"/>
                <w:sz w:val="21"/>
                <w:szCs w:val="21"/>
              </w:rPr>
              <w:t>7.5.2</w:t>
            </w:r>
          </w:p>
        </w:tc>
        <w:tc>
          <w:tcPr>
            <w:tcW w:w="6982" w:type="dxa"/>
            <w:tcBorders>
              <w:bottom w:val="single" w:color="auto" w:sz="4" w:space="0"/>
            </w:tcBorders>
            <w:vAlign w:val="center"/>
          </w:tcPr>
          <w:p w14:paraId="07A5DD03">
            <w:pPr>
              <w:keepNext w:val="0"/>
              <w:keepLines w:val="0"/>
              <w:widowControl/>
              <w:suppressLineNumbers w:val="0"/>
              <w:jc w:val="left"/>
              <w:rPr>
                <w:rFonts w:cs="宋体"/>
                <w:bCs/>
                <w:color w:val="auto"/>
                <w:kern w:val="2"/>
                <w:sz w:val="21"/>
                <w:szCs w:val="21"/>
              </w:rPr>
            </w:pPr>
            <w:r>
              <w:rPr>
                <w:rFonts w:hint="eastAsia" w:cs="宋体"/>
                <w:bCs/>
                <w:color w:val="auto"/>
                <w:kern w:val="2"/>
                <w:sz w:val="21"/>
                <w:szCs w:val="21"/>
              </w:rPr>
              <w:t>因承包人原因造成工期延误，逾期竣工违约金的计算方法为：</w:t>
            </w:r>
            <w:r>
              <w:rPr>
                <w:rFonts w:hint="eastAsia" w:ascii="宋体" w:hAnsi="宋体" w:eastAsia="宋体" w:cs="宋体"/>
                <w:i w:val="0"/>
                <w:iCs w:val="0"/>
                <w:color w:val="000000"/>
                <w:kern w:val="0"/>
                <w:sz w:val="21"/>
                <w:szCs w:val="21"/>
                <w:u w:val="single"/>
                <w:lang w:val="en-US" w:eastAsia="zh-CN" w:bidi="ar"/>
              </w:rPr>
              <w:t>工程每延期竣工一天，承包人支付发包人</w:t>
            </w:r>
            <w:r>
              <w:rPr>
                <w:rFonts w:hint="eastAsia" w:ascii="Calibri" w:hAnsi="Calibri" w:cs="Calibri"/>
                <w:i w:val="0"/>
                <w:iCs w:val="0"/>
                <w:color w:val="000000"/>
                <w:kern w:val="0"/>
                <w:sz w:val="21"/>
                <w:szCs w:val="21"/>
                <w:u w:val="single"/>
                <w:lang w:val="en-US" w:eastAsia="zh-CN" w:bidi="ar"/>
              </w:rPr>
              <w:t>2000</w:t>
            </w:r>
            <w:r>
              <w:rPr>
                <w:rFonts w:ascii="Calibri" w:hAnsi="Calibri" w:eastAsia="宋体" w:cs="Calibri"/>
                <w:i w:val="0"/>
                <w:iCs w:val="0"/>
                <w:color w:val="000000"/>
                <w:kern w:val="0"/>
                <w:sz w:val="21"/>
                <w:szCs w:val="21"/>
                <w:u w:val="single"/>
                <w:lang w:val="en-US" w:eastAsia="zh-CN" w:bidi="ar"/>
              </w:rPr>
              <w:t xml:space="preserve"> </w:t>
            </w:r>
            <w:r>
              <w:rPr>
                <w:rFonts w:hint="eastAsia" w:ascii="宋体" w:hAnsi="宋体" w:eastAsia="宋体" w:cs="宋体"/>
                <w:i w:val="0"/>
                <w:iCs w:val="0"/>
                <w:color w:val="000000"/>
                <w:kern w:val="0"/>
                <w:sz w:val="21"/>
                <w:szCs w:val="21"/>
                <w:u w:val="single"/>
                <w:lang w:val="en-US" w:eastAsia="zh-CN" w:bidi="ar"/>
              </w:rPr>
              <w:t>元违约金；延期竣工</w:t>
            </w:r>
            <w:r>
              <w:rPr>
                <w:rFonts w:hint="default" w:ascii="Calibri" w:hAnsi="Calibri" w:eastAsia="宋体" w:cs="Calibri"/>
                <w:i w:val="0"/>
                <w:iCs w:val="0"/>
                <w:color w:val="000000"/>
                <w:kern w:val="0"/>
                <w:sz w:val="21"/>
                <w:szCs w:val="21"/>
                <w:u w:val="single"/>
                <w:lang w:val="en-US" w:eastAsia="zh-CN" w:bidi="ar"/>
              </w:rPr>
              <w:t>10</w:t>
            </w:r>
            <w:r>
              <w:rPr>
                <w:rFonts w:hint="eastAsia" w:ascii="宋体" w:hAnsi="宋体" w:eastAsia="宋体" w:cs="宋体"/>
                <w:i w:val="0"/>
                <w:iCs w:val="0"/>
                <w:color w:val="000000"/>
                <w:kern w:val="0"/>
                <w:sz w:val="21"/>
                <w:szCs w:val="21"/>
                <w:u w:val="single"/>
                <w:lang w:val="en-US" w:eastAsia="zh-CN" w:bidi="ar"/>
              </w:rPr>
              <w:t>日以上（含</w:t>
            </w:r>
            <w:r>
              <w:rPr>
                <w:rFonts w:hint="default" w:ascii="Calibri" w:hAnsi="Calibri" w:eastAsia="宋体" w:cs="Calibri"/>
                <w:i w:val="0"/>
                <w:iCs w:val="0"/>
                <w:color w:val="000000"/>
                <w:kern w:val="0"/>
                <w:sz w:val="21"/>
                <w:szCs w:val="21"/>
                <w:u w:val="single"/>
                <w:lang w:val="en-US" w:eastAsia="zh-CN" w:bidi="ar"/>
              </w:rPr>
              <w:t>10</w:t>
            </w:r>
            <w:r>
              <w:rPr>
                <w:rFonts w:hint="eastAsia" w:ascii="宋体" w:hAnsi="宋体" w:eastAsia="宋体" w:cs="宋体"/>
                <w:i w:val="0"/>
                <w:iCs w:val="0"/>
                <w:color w:val="000000"/>
                <w:kern w:val="0"/>
                <w:sz w:val="21"/>
                <w:szCs w:val="21"/>
                <w:u w:val="single"/>
                <w:lang w:val="en-US" w:eastAsia="zh-CN" w:bidi="ar"/>
              </w:rPr>
              <w:t>日）的，承包人每日按</w:t>
            </w:r>
            <w:r>
              <w:rPr>
                <w:rFonts w:hint="eastAsia" w:ascii="Calibri" w:hAnsi="Calibri" w:cs="Calibri"/>
                <w:i w:val="0"/>
                <w:iCs w:val="0"/>
                <w:color w:val="000000"/>
                <w:kern w:val="0"/>
                <w:sz w:val="21"/>
                <w:szCs w:val="21"/>
                <w:u w:val="single"/>
                <w:lang w:val="en-US" w:eastAsia="zh-CN" w:bidi="ar"/>
              </w:rPr>
              <w:t>5000</w:t>
            </w:r>
            <w:r>
              <w:rPr>
                <w:rFonts w:hint="eastAsia" w:ascii="宋体" w:hAnsi="宋体" w:eastAsia="宋体" w:cs="宋体"/>
                <w:i w:val="0"/>
                <w:iCs w:val="0"/>
                <w:color w:val="000000"/>
                <w:kern w:val="0"/>
                <w:sz w:val="21"/>
                <w:szCs w:val="21"/>
                <w:u w:val="single"/>
                <w:lang w:val="en-US" w:eastAsia="zh-CN" w:bidi="ar"/>
              </w:rPr>
              <w:t>元支付违约金；延期竣工</w:t>
            </w:r>
            <w:r>
              <w:rPr>
                <w:rFonts w:hint="default" w:ascii="Calibri" w:hAnsi="Calibri" w:eastAsia="宋体" w:cs="Calibri"/>
                <w:i w:val="0"/>
                <w:iCs w:val="0"/>
                <w:color w:val="000000"/>
                <w:kern w:val="0"/>
                <w:sz w:val="21"/>
                <w:szCs w:val="21"/>
                <w:u w:val="single"/>
                <w:lang w:val="en-US" w:eastAsia="zh-CN" w:bidi="ar"/>
              </w:rPr>
              <w:t>30</w:t>
            </w:r>
            <w:r>
              <w:rPr>
                <w:rFonts w:hint="eastAsia" w:ascii="宋体" w:hAnsi="宋体" w:eastAsia="宋体" w:cs="宋体"/>
                <w:i w:val="0"/>
                <w:iCs w:val="0"/>
                <w:color w:val="000000"/>
                <w:kern w:val="0"/>
                <w:sz w:val="21"/>
                <w:szCs w:val="21"/>
                <w:u w:val="single"/>
                <w:lang w:val="en-US" w:eastAsia="zh-CN" w:bidi="ar"/>
              </w:rPr>
              <w:t>天以上的，承包人每日按</w:t>
            </w:r>
            <w:r>
              <w:rPr>
                <w:rFonts w:hint="eastAsia" w:ascii="Calibri" w:hAnsi="Calibri" w:cs="Calibri"/>
                <w:i w:val="0"/>
                <w:iCs w:val="0"/>
                <w:color w:val="000000"/>
                <w:kern w:val="0"/>
                <w:sz w:val="21"/>
                <w:szCs w:val="21"/>
                <w:u w:val="single"/>
                <w:lang w:val="en-US" w:eastAsia="zh-CN" w:bidi="ar"/>
              </w:rPr>
              <w:t>10000</w:t>
            </w:r>
            <w:r>
              <w:rPr>
                <w:rFonts w:hint="eastAsia" w:ascii="宋体" w:hAnsi="宋体" w:eastAsia="宋体" w:cs="宋体"/>
                <w:i w:val="0"/>
                <w:iCs w:val="0"/>
                <w:color w:val="000000"/>
                <w:kern w:val="0"/>
                <w:sz w:val="21"/>
                <w:szCs w:val="21"/>
                <w:u w:val="single"/>
                <w:lang w:val="en-US" w:eastAsia="zh-CN" w:bidi="ar"/>
              </w:rPr>
              <w:t>元支付违约金，不予退还其履约保证金并且发包人有权解除合同，并要求承包人赔偿所有损失</w:t>
            </w:r>
            <w:r>
              <w:rPr>
                <w:rFonts w:hint="eastAsia" w:ascii="宋体" w:hAnsi="宋体" w:eastAsia="宋体" w:cs="宋体"/>
                <w:color w:val="000000"/>
                <w:kern w:val="0"/>
                <w:sz w:val="21"/>
                <w:szCs w:val="21"/>
                <w:lang w:val="en-US" w:eastAsia="zh-CN" w:bidi="ar"/>
              </w:rPr>
              <w:t>。</w:t>
            </w:r>
          </w:p>
          <w:p w14:paraId="0D5617D2">
            <w:pPr>
              <w:snapToGrid w:val="0"/>
              <w:spacing w:line="360" w:lineRule="auto"/>
              <w:rPr>
                <w:rFonts w:cs="宋体"/>
                <w:bCs/>
                <w:color w:val="auto"/>
                <w:kern w:val="2"/>
                <w:sz w:val="21"/>
                <w:szCs w:val="21"/>
              </w:rPr>
            </w:pPr>
            <w:r>
              <w:rPr>
                <w:rFonts w:hint="eastAsia" w:cs="宋体"/>
                <w:bCs/>
                <w:color w:val="auto"/>
                <w:kern w:val="2"/>
                <w:sz w:val="21"/>
                <w:szCs w:val="21"/>
              </w:rPr>
              <w:t>因承包人原因造成工期延误，逾期竣工违约金的上限：</w:t>
            </w:r>
            <w:r>
              <w:rPr>
                <w:rFonts w:hint="eastAsia" w:cs="宋体"/>
                <w:bCs/>
                <w:color w:val="auto"/>
                <w:kern w:val="2"/>
                <w:sz w:val="21"/>
                <w:szCs w:val="21"/>
                <w:u w:val="single"/>
              </w:rPr>
              <w:t xml:space="preserve">  </w:t>
            </w:r>
            <w:r>
              <w:rPr>
                <w:rFonts w:hint="eastAsia" w:cs="宋体"/>
                <w:bCs/>
                <w:color w:val="auto"/>
                <w:kern w:val="2"/>
                <w:sz w:val="21"/>
                <w:szCs w:val="21"/>
                <w:u w:val="single"/>
                <w:lang w:val="en-US" w:eastAsia="zh-CN"/>
              </w:rPr>
              <w:t>/</w:t>
            </w:r>
            <w:r>
              <w:rPr>
                <w:rFonts w:hint="eastAsia" w:cs="宋体"/>
                <w:bCs/>
                <w:color w:val="auto"/>
                <w:kern w:val="2"/>
                <w:sz w:val="21"/>
                <w:szCs w:val="21"/>
                <w:u w:val="single"/>
              </w:rPr>
              <w:t xml:space="preserve">     </w:t>
            </w:r>
            <w:r>
              <w:rPr>
                <w:rFonts w:hint="eastAsia" w:cs="宋体"/>
                <w:bCs/>
                <w:color w:val="auto"/>
                <w:kern w:val="2"/>
                <w:sz w:val="21"/>
                <w:szCs w:val="21"/>
              </w:rPr>
              <w:t>。</w:t>
            </w:r>
          </w:p>
        </w:tc>
      </w:tr>
      <w:tr w14:paraId="46B3D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7B0757CC">
            <w:pPr>
              <w:numPr>
                <w:ilvl w:val="0"/>
                <w:numId w:val="3"/>
              </w:numPr>
              <w:snapToGrid w:val="0"/>
              <w:spacing w:line="360" w:lineRule="auto"/>
              <w:jc w:val="center"/>
              <w:rPr>
                <w:rFonts w:cs="宋体"/>
                <w:bCs/>
                <w:color w:val="auto"/>
                <w:kern w:val="2"/>
                <w:sz w:val="21"/>
                <w:szCs w:val="21"/>
              </w:rPr>
            </w:pPr>
          </w:p>
        </w:tc>
        <w:tc>
          <w:tcPr>
            <w:tcW w:w="1111" w:type="dxa"/>
            <w:vAlign w:val="center"/>
          </w:tcPr>
          <w:p w14:paraId="5FF8447F">
            <w:pPr>
              <w:snapToGrid w:val="0"/>
              <w:spacing w:line="360" w:lineRule="auto"/>
              <w:jc w:val="center"/>
              <w:rPr>
                <w:rFonts w:cs="宋体"/>
                <w:bCs/>
                <w:color w:val="auto"/>
                <w:kern w:val="2"/>
                <w:sz w:val="21"/>
                <w:szCs w:val="21"/>
              </w:rPr>
            </w:pPr>
            <w:r>
              <w:rPr>
                <w:rFonts w:hint="eastAsia" w:cs="宋体"/>
                <w:bCs/>
                <w:color w:val="auto"/>
                <w:sz w:val="21"/>
                <w:szCs w:val="21"/>
              </w:rPr>
              <w:t>7.9.2</w:t>
            </w:r>
          </w:p>
        </w:tc>
        <w:tc>
          <w:tcPr>
            <w:tcW w:w="6982" w:type="dxa"/>
            <w:tcBorders>
              <w:bottom w:val="single" w:color="auto" w:sz="4" w:space="0"/>
            </w:tcBorders>
            <w:vAlign w:val="center"/>
          </w:tcPr>
          <w:p w14:paraId="40DD5809">
            <w:pPr>
              <w:snapToGrid w:val="0"/>
              <w:spacing w:line="360" w:lineRule="auto"/>
              <w:rPr>
                <w:rFonts w:cs="宋体"/>
                <w:bCs/>
                <w:color w:val="auto"/>
                <w:kern w:val="2"/>
                <w:sz w:val="21"/>
                <w:szCs w:val="21"/>
              </w:rPr>
            </w:pPr>
            <w:r>
              <w:rPr>
                <w:rFonts w:hint="eastAsia" w:cs="宋体"/>
                <w:color w:val="auto"/>
                <w:sz w:val="21"/>
                <w:szCs w:val="21"/>
              </w:rPr>
              <w:t>提前竣工的奖励：</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tc>
      </w:tr>
      <w:tr w14:paraId="01C61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5D81433B">
            <w:pPr>
              <w:numPr>
                <w:ilvl w:val="0"/>
                <w:numId w:val="3"/>
              </w:numPr>
              <w:snapToGrid w:val="0"/>
              <w:spacing w:line="360" w:lineRule="auto"/>
              <w:jc w:val="center"/>
              <w:rPr>
                <w:rFonts w:cs="宋体"/>
                <w:bCs/>
                <w:color w:val="auto"/>
                <w:kern w:val="2"/>
                <w:sz w:val="21"/>
                <w:szCs w:val="21"/>
              </w:rPr>
            </w:pPr>
          </w:p>
        </w:tc>
        <w:tc>
          <w:tcPr>
            <w:tcW w:w="1111" w:type="dxa"/>
            <w:vAlign w:val="center"/>
          </w:tcPr>
          <w:p w14:paraId="1927ABCA">
            <w:pPr>
              <w:snapToGrid w:val="0"/>
              <w:spacing w:line="360" w:lineRule="auto"/>
              <w:jc w:val="center"/>
              <w:rPr>
                <w:rFonts w:cs="宋体"/>
                <w:bCs/>
                <w:color w:val="auto"/>
                <w:kern w:val="2"/>
                <w:sz w:val="21"/>
                <w:szCs w:val="21"/>
              </w:rPr>
            </w:pPr>
            <w:r>
              <w:rPr>
                <w:rFonts w:hint="eastAsia" w:cs="宋体"/>
                <w:bCs/>
                <w:color w:val="auto"/>
                <w:sz w:val="21"/>
                <w:szCs w:val="21"/>
              </w:rPr>
              <w:t>11.1</w:t>
            </w:r>
          </w:p>
        </w:tc>
        <w:tc>
          <w:tcPr>
            <w:tcW w:w="6982" w:type="dxa"/>
            <w:tcBorders>
              <w:bottom w:val="single" w:color="auto" w:sz="4" w:space="0"/>
            </w:tcBorders>
            <w:vAlign w:val="center"/>
          </w:tcPr>
          <w:p w14:paraId="67052442">
            <w:pPr>
              <w:keepNext w:val="0"/>
              <w:keepLines w:val="0"/>
              <w:widowControl/>
              <w:suppressLineNumbers w:val="0"/>
              <w:jc w:val="left"/>
              <w:rPr>
                <w:rFonts w:cs="宋体"/>
                <w:bCs/>
                <w:color w:val="auto"/>
                <w:kern w:val="2"/>
                <w:sz w:val="21"/>
                <w:szCs w:val="21"/>
              </w:rPr>
            </w:pPr>
            <w:r>
              <w:rPr>
                <w:rFonts w:hint="eastAsia" w:cs="宋体"/>
                <w:bCs/>
                <w:color w:val="auto"/>
                <w:kern w:val="2"/>
                <w:sz w:val="21"/>
                <w:szCs w:val="21"/>
              </w:rPr>
              <w:t>市场价格波动是否调整合同价格的约定：</w:t>
            </w:r>
            <w:r>
              <w:rPr>
                <w:rFonts w:hint="eastAsia" w:ascii="宋体" w:hAnsi="宋体" w:eastAsia="宋体" w:cs="宋体"/>
                <w:color w:val="000000"/>
                <w:kern w:val="0"/>
                <w:sz w:val="21"/>
                <w:szCs w:val="21"/>
                <w:u w:val="single"/>
                <w:lang w:val="en-US" w:eastAsia="zh-CN" w:bidi="ar"/>
              </w:rPr>
              <w:t>不予调整</w:t>
            </w:r>
            <w:r>
              <w:rPr>
                <w:rFonts w:hint="eastAsia" w:cs="宋体"/>
                <w:bCs/>
                <w:color w:val="auto"/>
                <w:kern w:val="2"/>
                <w:sz w:val="21"/>
                <w:szCs w:val="21"/>
              </w:rPr>
              <w:t>。</w:t>
            </w:r>
          </w:p>
        </w:tc>
      </w:tr>
      <w:tr w14:paraId="3F8F5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493D348C">
            <w:pPr>
              <w:numPr>
                <w:ilvl w:val="0"/>
                <w:numId w:val="3"/>
              </w:numPr>
              <w:snapToGrid w:val="0"/>
              <w:spacing w:line="360" w:lineRule="auto"/>
              <w:jc w:val="center"/>
              <w:rPr>
                <w:rFonts w:cs="宋体"/>
                <w:bCs/>
                <w:color w:val="auto"/>
                <w:sz w:val="21"/>
                <w:szCs w:val="21"/>
              </w:rPr>
            </w:pPr>
          </w:p>
        </w:tc>
        <w:tc>
          <w:tcPr>
            <w:tcW w:w="1111" w:type="dxa"/>
            <w:vAlign w:val="center"/>
          </w:tcPr>
          <w:p w14:paraId="7811F370">
            <w:pPr>
              <w:snapToGrid w:val="0"/>
              <w:spacing w:line="360" w:lineRule="auto"/>
              <w:jc w:val="center"/>
              <w:rPr>
                <w:rFonts w:cs="宋体"/>
                <w:bCs/>
                <w:color w:val="auto"/>
                <w:sz w:val="21"/>
                <w:szCs w:val="21"/>
              </w:rPr>
            </w:pPr>
            <w:r>
              <w:rPr>
                <w:rFonts w:hint="eastAsia" w:cs="宋体"/>
                <w:bCs/>
                <w:color w:val="auto"/>
                <w:sz w:val="21"/>
                <w:szCs w:val="21"/>
              </w:rPr>
              <w:t>12.1</w:t>
            </w:r>
          </w:p>
        </w:tc>
        <w:tc>
          <w:tcPr>
            <w:tcW w:w="6982" w:type="dxa"/>
            <w:tcBorders>
              <w:bottom w:val="single" w:color="auto" w:sz="4" w:space="0"/>
            </w:tcBorders>
            <w:vAlign w:val="center"/>
          </w:tcPr>
          <w:p w14:paraId="17E29C2C">
            <w:pPr>
              <w:pStyle w:val="34"/>
              <w:tabs>
                <w:tab w:val="clear" w:pos="4153"/>
                <w:tab w:val="clear" w:pos="8306"/>
              </w:tabs>
              <w:spacing w:line="360" w:lineRule="auto"/>
              <w:rPr>
                <w:rFonts w:cs="宋体"/>
                <w:bCs/>
                <w:color w:val="auto"/>
                <w:sz w:val="21"/>
                <w:szCs w:val="21"/>
              </w:rPr>
            </w:pPr>
            <w:r>
              <w:rPr>
                <w:rFonts w:hint="eastAsia" w:cs="宋体"/>
                <w:bCs/>
                <w:color w:val="auto"/>
                <w:sz w:val="21"/>
                <w:szCs w:val="21"/>
              </w:rPr>
              <w:t>合同价格形式</w:t>
            </w:r>
          </w:p>
          <w:p w14:paraId="2CB04244">
            <w:pPr>
              <w:pStyle w:val="34"/>
              <w:tabs>
                <w:tab w:val="clear" w:pos="4153"/>
                <w:tab w:val="clear" w:pos="8306"/>
              </w:tabs>
              <w:spacing w:line="360" w:lineRule="auto"/>
              <w:rPr>
                <w:rFonts w:cs="宋体"/>
                <w:bCs/>
                <w:color w:val="auto"/>
                <w:sz w:val="21"/>
                <w:szCs w:val="21"/>
              </w:rPr>
            </w:pPr>
            <w:r>
              <w:rPr>
                <w:rFonts w:hint="eastAsia" w:cs="宋体"/>
                <w:bCs/>
                <w:color w:val="auto"/>
                <w:sz w:val="21"/>
                <w:szCs w:val="21"/>
              </w:rPr>
              <w:t>(1)单价合同。</w:t>
            </w:r>
          </w:p>
          <w:p w14:paraId="0E27D0BB">
            <w:pPr>
              <w:pStyle w:val="34"/>
              <w:tabs>
                <w:tab w:val="clear" w:pos="4153"/>
                <w:tab w:val="clear" w:pos="8306"/>
              </w:tabs>
              <w:spacing w:line="360" w:lineRule="auto"/>
              <w:rPr>
                <w:rFonts w:cs="宋体"/>
                <w:bCs/>
                <w:color w:val="auto"/>
                <w:sz w:val="21"/>
                <w:szCs w:val="21"/>
              </w:rPr>
            </w:pPr>
            <w:r>
              <w:rPr>
                <w:rFonts w:hint="eastAsia" w:cs="宋体"/>
                <w:bCs/>
                <w:color w:val="auto"/>
                <w:sz w:val="21"/>
                <w:szCs w:val="21"/>
              </w:rPr>
              <w:t>综合单价包含的风险范围：</w:t>
            </w:r>
            <w:r>
              <w:rPr>
                <w:rFonts w:hint="eastAsia" w:cs="宋体"/>
                <w:bCs/>
                <w:color w:val="auto"/>
                <w:sz w:val="21"/>
                <w:szCs w:val="21"/>
                <w:u w:val="single"/>
              </w:rPr>
              <w:t xml:space="preserve">          /                    </w:t>
            </w:r>
            <w:r>
              <w:rPr>
                <w:rFonts w:hint="eastAsia" w:cs="宋体"/>
                <w:bCs/>
                <w:color w:val="auto"/>
                <w:sz w:val="21"/>
                <w:szCs w:val="21"/>
              </w:rPr>
              <w:t>。</w:t>
            </w:r>
          </w:p>
          <w:p w14:paraId="7579168E">
            <w:pPr>
              <w:pStyle w:val="34"/>
              <w:tabs>
                <w:tab w:val="clear" w:pos="4153"/>
                <w:tab w:val="clear" w:pos="8306"/>
              </w:tabs>
              <w:spacing w:line="360" w:lineRule="auto"/>
              <w:rPr>
                <w:rFonts w:cs="宋体"/>
                <w:bCs/>
                <w:color w:val="auto"/>
                <w:sz w:val="21"/>
                <w:szCs w:val="21"/>
              </w:rPr>
            </w:pPr>
            <w:r>
              <w:rPr>
                <w:rFonts w:hint="eastAsia" w:cs="宋体"/>
                <w:bCs/>
                <w:color w:val="auto"/>
                <w:sz w:val="21"/>
                <w:szCs w:val="21"/>
              </w:rPr>
              <w:t>风险费用的计算方法：</w:t>
            </w:r>
            <w:r>
              <w:rPr>
                <w:rFonts w:hint="eastAsia" w:cs="宋体"/>
                <w:bCs/>
                <w:color w:val="auto"/>
                <w:sz w:val="21"/>
                <w:szCs w:val="21"/>
                <w:u w:val="single"/>
              </w:rPr>
              <w:t xml:space="preserve">              /                    </w:t>
            </w:r>
            <w:r>
              <w:rPr>
                <w:rFonts w:hint="eastAsia" w:cs="宋体"/>
                <w:bCs/>
                <w:color w:val="auto"/>
                <w:sz w:val="21"/>
                <w:szCs w:val="21"/>
              </w:rPr>
              <w:t>。</w:t>
            </w:r>
          </w:p>
          <w:p w14:paraId="7515D17F">
            <w:pPr>
              <w:pStyle w:val="34"/>
              <w:tabs>
                <w:tab w:val="clear" w:pos="4153"/>
                <w:tab w:val="clear" w:pos="8306"/>
              </w:tabs>
              <w:spacing w:line="360" w:lineRule="auto"/>
              <w:rPr>
                <w:rFonts w:cs="宋体"/>
                <w:bCs/>
                <w:color w:val="auto"/>
                <w:sz w:val="21"/>
                <w:szCs w:val="21"/>
              </w:rPr>
            </w:pPr>
            <w:r>
              <w:rPr>
                <w:rFonts w:hint="eastAsia" w:cs="宋体"/>
                <w:bCs/>
                <w:color w:val="auto"/>
                <w:sz w:val="21"/>
                <w:szCs w:val="21"/>
              </w:rPr>
              <w:t>风险范围以外合同价格的调整方法：</w:t>
            </w:r>
            <w:r>
              <w:rPr>
                <w:rFonts w:hint="eastAsia" w:cs="宋体"/>
                <w:bCs/>
                <w:color w:val="auto"/>
                <w:sz w:val="21"/>
                <w:szCs w:val="21"/>
                <w:u w:val="single"/>
              </w:rPr>
              <w:t xml:space="preserve">     /                 </w:t>
            </w:r>
            <w:r>
              <w:rPr>
                <w:rFonts w:hint="eastAsia" w:cs="宋体"/>
                <w:bCs/>
                <w:color w:val="auto"/>
                <w:sz w:val="21"/>
                <w:szCs w:val="21"/>
              </w:rPr>
              <w:t>。</w:t>
            </w:r>
          </w:p>
          <w:p w14:paraId="68EF7BB6">
            <w:pPr>
              <w:pStyle w:val="34"/>
              <w:tabs>
                <w:tab w:val="clear" w:pos="4153"/>
                <w:tab w:val="clear" w:pos="8306"/>
              </w:tabs>
              <w:spacing w:line="360" w:lineRule="auto"/>
              <w:rPr>
                <w:rFonts w:cs="宋体"/>
                <w:bCs/>
                <w:color w:val="auto"/>
                <w:sz w:val="21"/>
                <w:szCs w:val="21"/>
              </w:rPr>
            </w:pPr>
            <w:r>
              <w:rPr>
                <w:rFonts w:hint="eastAsia" w:cs="宋体"/>
                <w:bCs/>
                <w:color w:val="auto"/>
                <w:sz w:val="21"/>
                <w:szCs w:val="21"/>
              </w:rPr>
              <w:t>(2)总价合同。</w:t>
            </w:r>
          </w:p>
          <w:p w14:paraId="48DDF11F">
            <w:pPr>
              <w:pStyle w:val="34"/>
              <w:tabs>
                <w:tab w:val="clear" w:pos="4153"/>
                <w:tab w:val="clear" w:pos="8306"/>
              </w:tabs>
              <w:spacing w:line="360" w:lineRule="auto"/>
              <w:rPr>
                <w:rFonts w:cs="宋体"/>
                <w:bCs/>
                <w:color w:val="auto"/>
                <w:sz w:val="21"/>
                <w:szCs w:val="21"/>
              </w:rPr>
            </w:pPr>
            <w:r>
              <w:rPr>
                <w:rFonts w:hint="eastAsia" w:cs="宋体"/>
                <w:bCs/>
                <w:color w:val="auto"/>
                <w:sz w:val="21"/>
                <w:szCs w:val="21"/>
              </w:rPr>
              <w:t>总价包含的风险范围：</w:t>
            </w:r>
            <w:r>
              <w:rPr>
                <w:rFonts w:hint="eastAsia" w:cs="宋体"/>
                <w:bCs/>
                <w:color w:val="auto"/>
                <w:sz w:val="21"/>
                <w:szCs w:val="21"/>
                <w:u w:val="single"/>
              </w:rPr>
              <w:t xml:space="preserve">                                    </w:t>
            </w:r>
          </w:p>
          <w:p w14:paraId="43FA6825">
            <w:pPr>
              <w:pStyle w:val="34"/>
              <w:tabs>
                <w:tab w:val="clear" w:pos="4153"/>
                <w:tab w:val="clear" w:pos="8306"/>
              </w:tabs>
              <w:spacing w:line="360" w:lineRule="auto"/>
              <w:rPr>
                <w:rFonts w:cs="宋体"/>
                <w:bCs/>
                <w:color w:val="auto"/>
                <w:sz w:val="21"/>
                <w:szCs w:val="21"/>
              </w:rPr>
            </w:pPr>
            <w:r>
              <w:rPr>
                <w:rFonts w:hint="eastAsia" w:cs="宋体"/>
                <w:bCs/>
                <w:color w:val="auto"/>
                <w:sz w:val="21"/>
                <w:szCs w:val="21"/>
              </w:rPr>
              <w:t>风险费用的计算方法：</w:t>
            </w:r>
            <w:r>
              <w:rPr>
                <w:rFonts w:hint="eastAsia" w:cs="宋体"/>
                <w:bCs/>
                <w:color w:val="auto"/>
                <w:sz w:val="21"/>
                <w:szCs w:val="21"/>
                <w:u w:val="single"/>
              </w:rPr>
              <w:t xml:space="preserve">                     </w:t>
            </w:r>
            <w:r>
              <w:rPr>
                <w:rFonts w:hint="eastAsia" w:cs="宋体"/>
                <w:bCs/>
                <w:color w:val="auto"/>
                <w:sz w:val="21"/>
                <w:szCs w:val="21"/>
              </w:rPr>
              <w:t>。</w:t>
            </w:r>
          </w:p>
          <w:p w14:paraId="08D98FD7">
            <w:pPr>
              <w:pStyle w:val="34"/>
              <w:tabs>
                <w:tab w:val="clear" w:pos="4153"/>
                <w:tab w:val="clear" w:pos="8306"/>
              </w:tabs>
              <w:spacing w:line="360" w:lineRule="auto"/>
              <w:rPr>
                <w:rFonts w:cs="宋体"/>
                <w:bCs/>
                <w:color w:val="auto"/>
                <w:sz w:val="21"/>
                <w:szCs w:val="21"/>
              </w:rPr>
            </w:pPr>
            <w:r>
              <w:rPr>
                <w:rFonts w:hint="eastAsia" w:cs="宋体"/>
                <w:bCs/>
                <w:color w:val="auto"/>
                <w:sz w:val="21"/>
                <w:szCs w:val="21"/>
              </w:rPr>
              <w:t>风险范围以外合同价格的调整方法：</w:t>
            </w:r>
            <w:r>
              <w:rPr>
                <w:rFonts w:hint="eastAsia" w:cs="宋体"/>
                <w:bCs/>
                <w:color w:val="auto"/>
                <w:sz w:val="21"/>
                <w:szCs w:val="21"/>
                <w:u w:val="single"/>
              </w:rPr>
              <w:t xml:space="preserve">         </w:t>
            </w:r>
            <w:r>
              <w:rPr>
                <w:rFonts w:hint="eastAsia" w:cs="宋体"/>
                <w:bCs/>
                <w:color w:val="auto"/>
                <w:sz w:val="21"/>
                <w:szCs w:val="21"/>
              </w:rPr>
              <w:t>。</w:t>
            </w:r>
          </w:p>
          <w:p w14:paraId="190CA811">
            <w:pPr>
              <w:pStyle w:val="34"/>
              <w:tabs>
                <w:tab w:val="clear" w:pos="4153"/>
                <w:tab w:val="clear" w:pos="8306"/>
              </w:tabs>
              <w:spacing w:line="360" w:lineRule="auto"/>
              <w:rPr>
                <w:rFonts w:cs="宋体"/>
                <w:bCs/>
                <w:color w:val="auto"/>
                <w:sz w:val="21"/>
                <w:szCs w:val="21"/>
              </w:rPr>
            </w:pPr>
            <w:r>
              <w:rPr>
                <w:rFonts w:hint="eastAsia" w:cs="宋体"/>
                <w:bCs/>
                <w:color w:val="auto"/>
                <w:sz w:val="21"/>
                <w:szCs w:val="21"/>
              </w:rPr>
              <w:t>（3）其他价格方式：</w:t>
            </w:r>
            <w:r>
              <w:rPr>
                <w:rFonts w:hint="eastAsia" w:cs="宋体"/>
                <w:bCs/>
                <w:color w:val="auto"/>
                <w:sz w:val="21"/>
                <w:szCs w:val="21"/>
                <w:u w:val="single"/>
              </w:rPr>
              <w:t xml:space="preserve">                                     </w:t>
            </w:r>
            <w:r>
              <w:rPr>
                <w:rFonts w:hint="eastAsia" w:cs="宋体"/>
                <w:bCs/>
                <w:color w:val="auto"/>
                <w:sz w:val="21"/>
                <w:szCs w:val="21"/>
              </w:rPr>
              <w:t>。</w:t>
            </w:r>
          </w:p>
        </w:tc>
      </w:tr>
      <w:tr w14:paraId="1C5BC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1F53F407">
            <w:pPr>
              <w:numPr>
                <w:ilvl w:val="0"/>
                <w:numId w:val="3"/>
              </w:numPr>
              <w:snapToGrid w:val="0"/>
              <w:spacing w:line="360" w:lineRule="auto"/>
              <w:jc w:val="center"/>
              <w:rPr>
                <w:rFonts w:cs="宋体"/>
                <w:bCs/>
                <w:color w:val="auto"/>
                <w:kern w:val="2"/>
                <w:sz w:val="21"/>
                <w:szCs w:val="21"/>
              </w:rPr>
            </w:pPr>
          </w:p>
        </w:tc>
        <w:tc>
          <w:tcPr>
            <w:tcW w:w="1111" w:type="dxa"/>
            <w:vAlign w:val="center"/>
          </w:tcPr>
          <w:p w14:paraId="58057837">
            <w:pPr>
              <w:snapToGrid w:val="0"/>
              <w:spacing w:line="360" w:lineRule="auto"/>
              <w:jc w:val="center"/>
              <w:rPr>
                <w:rFonts w:cs="宋体"/>
                <w:bCs/>
                <w:color w:val="auto"/>
                <w:kern w:val="2"/>
                <w:sz w:val="21"/>
                <w:szCs w:val="21"/>
              </w:rPr>
            </w:pPr>
            <w:r>
              <w:rPr>
                <w:rFonts w:hint="eastAsia" w:cs="宋体"/>
                <w:bCs/>
                <w:color w:val="auto"/>
                <w:sz w:val="21"/>
                <w:szCs w:val="21"/>
              </w:rPr>
              <w:t xml:space="preserve">12.2.1 </w:t>
            </w:r>
          </w:p>
        </w:tc>
        <w:tc>
          <w:tcPr>
            <w:tcW w:w="6982" w:type="dxa"/>
            <w:tcBorders>
              <w:bottom w:val="single" w:color="auto" w:sz="4" w:space="0"/>
            </w:tcBorders>
            <w:vAlign w:val="center"/>
          </w:tcPr>
          <w:p w14:paraId="7AFEF523">
            <w:pPr>
              <w:adjustRightInd w:val="0"/>
              <w:snapToGrid w:val="0"/>
              <w:spacing w:line="360" w:lineRule="auto"/>
              <w:rPr>
                <w:rFonts w:cs="宋体"/>
                <w:bCs/>
                <w:color w:val="auto"/>
                <w:sz w:val="21"/>
                <w:szCs w:val="21"/>
              </w:rPr>
            </w:pPr>
            <w:r>
              <w:rPr>
                <w:rFonts w:hint="eastAsia" w:cs="宋体"/>
                <w:bCs/>
                <w:color w:val="auto"/>
                <w:sz w:val="21"/>
                <w:szCs w:val="21"/>
              </w:rPr>
              <w:t>预付款的支付</w:t>
            </w:r>
          </w:p>
          <w:p w14:paraId="08F03364">
            <w:pPr>
              <w:adjustRightInd w:val="0"/>
              <w:snapToGrid w:val="0"/>
              <w:spacing w:line="360" w:lineRule="auto"/>
              <w:rPr>
                <w:rFonts w:cs="宋体"/>
                <w:bCs/>
                <w:color w:val="auto"/>
                <w:sz w:val="21"/>
                <w:szCs w:val="21"/>
              </w:rPr>
            </w:pPr>
            <w:r>
              <w:rPr>
                <w:rFonts w:hint="eastAsia" w:cs="宋体"/>
                <w:bCs/>
                <w:color w:val="auto"/>
                <w:sz w:val="21"/>
                <w:szCs w:val="21"/>
              </w:rPr>
              <w:t>预付款支付比例或金额：</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p>
          <w:p w14:paraId="386256E0">
            <w:pPr>
              <w:adjustRightInd w:val="0"/>
              <w:snapToGrid w:val="0"/>
              <w:spacing w:line="360" w:lineRule="auto"/>
              <w:rPr>
                <w:rFonts w:cs="宋体"/>
                <w:bCs/>
                <w:color w:val="auto"/>
                <w:sz w:val="21"/>
                <w:szCs w:val="21"/>
              </w:rPr>
            </w:pPr>
            <w:r>
              <w:rPr>
                <w:rFonts w:hint="eastAsia" w:cs="宋体"/>
                <w:bCs/>
                <w:color w:val="auto"/>
                <w:sz w:val="21"/>
                <w:szCs w:val="21"/>
              </w:rPr>
              <w:t>预付款支付期限：</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p>
          <w:p w14:paraId="124DF58E">
            <w:pPr>
              <w:adjustRightInd w:val="0"/>
              <w:snapToGrid w:val="0"/>
              <w:spacing w:line="360" w:lineRule="auto"/>
              <w:rPr>
                <w:rFonts w:cs="宋体"/>
                <w:bCs/>
                <w:color w:val="auto"/>
                <w:kern w:val="2"/>
                <w:sz w:val="21"/>
                <w:szCs w:val="21"/>
              </w:rPr>
            </w:pPr>
            <w:r>
              <w:rPr>
                <w:rFonts w:hint="eastAsia" w:cs="宋体"/>
                <w:bCs/>
                <w:color w:val="auto"/>
                <w:sz w:val="21"/>
                <w:szCs w:val="21"/>
              </w:rPr>
              <w:t>预付款扣回的方式：</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p>
        </w:tc>
      </w:tr>
      <w:tr w14:paraId="28641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 w:hRule="atLeast"/>
        </w:trPr>
        <w:tc>
          <w:tcPr>
            <w:tcW w:w="629" w:type="dxa"/>
            <w:vAlign w:val="center"/>
          </w:tcPr>
          <w:p w14:paraId="33259947">
            <w:pPr>
              <w:numPr>
                <w:ilvl w:val="0"/>
                <w:numId w:val="3"/>
              </w:numPr>
              <w:snapToGrid w:val="0"/>
              <w:spacing w:line="360" w:lineRule="auto"/>
              <w:jc w:val="center"/>
              <w:rPr>
                <w:rFonts w:cs="宋体"/>
                <w:bCs/>
                <w:color w:val="auto"/>
                <w:kern w:val="2"/>
                <w:sz w:val="21"/>
                <w:szCs w:val="21"/>
              </w:rPr>
            </w:pPr>
          </w:p>
        </w:tc>
        <w:tc>
          <w:tcPr>
            <w:tcW w:w="1111" w:type="dxa"/>
            <w:vAlign w:val="center"/>
          </w:tcPr>
          <w:p w14:paraId="7C7FF87C">
            <w:pPr>
              <w:snapToGrid w:val="0"/>
              <w:spacing w:line="360" w:lineRule="auto"/>
              <w:jc w:val="center"/>
              <w:rPr>
                <w:rFonts w:cs="宋体"/>
                <w:bCs/>
                <w:color w:val="auto"/>
                <w:kern w:val="2"/>
                <w:sz w:val="21"/>
                <w:szCs w:val="21"/>
              </w:rPr>
            </w:pPr>
            <w:r>
              <w:rPr>
                <w:rFonts w:hint="eastAsia" w:cs="宋体"/>
                <w:bCs/>
                <w:color w:val="auto"/>
                <w:sz w:val="21"/>
                <w:szCs w:val="21"/>
              </w:rPr>
              <w:t>12.2.2</w:t>
            </w:r>
          </w:p>
        </w:tc>
        <w:tc>
          <w:tcPr>
            <w:tcW w:w="6982" w:type="dxa"/>
            <w:tcBorders>
              <w:bottom w:val="single" w:color="auto" w:sz="4" w:space="0"/>
            </w:tcBorders>
            <w:vAlign w:val="center"/>
          </w:tcPr>
          <w:p w14:paraId="02ACB820">
            <w:pPr>
              <w:adjustRightInd w:val="0"/>
              <w:snapToGrid w:val="0"/>
              <w:spacing w:line="360" w:lineRule="auto"/>
              <w:rPr>
                <w:rFonts w:cs="宋体"/>
                <w:bCs/>
                <w:color w:val="auto"/>
                <w:sz w:val="21"/>
                <w:szCs w:val="21"/>
              </w:rPr>
            </w:pPr>
            <w:r>
              <w:rPr>
                <w:rFonts w:hint="eastAsia" w:cs="宋体"/>
                <w:bCs/>
                <w:color w:val="auto"/>
                <w:sz w:val="21"/>
                <w:szCs w:val="21"/>
              </w:rPr>
              <w:t>预付款担保</w:t>
            </w:r>
          </w:p>
          <w:p w14:paraId="15E144B4">
            <w:pPr>
              <w:adjustRightInd w:val="0"/>
              <w:snapToGrid w:val="0"/>
              <w:spacing w:line="360" w:lineRule="auto"/>
              <w:rPr>
                <w:rFonts w:cs="宋体"/>
                <w:bCs/>
                <w:color w:val="auto"/>
                <w:sz w:val="21"/>
                <w:szCs w:val="21"/>
              </w:rPr>
            </w:pPr>
            <w:r>
              <w:rPr>
                <w:rFonts w:hint="eastAsia" w:cs="宋体"/>
                <w:bCs/>
                <w:color w:val="auto"/>
                <w:sz w:val="21"/>
                <w:szCs w:val="21"/>
              </w:rPr>
              <w:t>承包人提交预付款担保的期限：</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p>
          <w:p w14:paraId="23FE0983">
            <w:pPr>
              <w:adjustRightInd w:val="0"/>
              <w:snapToGrid w:val="0"/>
              <w:spacing w:line="360" w:lineRule="auto"/>
              <w:rPr>
                <w:rFonts w:cs="宋体"/>
                <w:bCs/>
                <w:color w:val="auto"/>
                <w:kern w:val="2"/>
                <w:sz w:val="21"/>
                <w:szCs w:val="21"/>
              </w:rPr>
            </w:pPr>
            <w:r>
              <w:rPr>
                <w:rFonts w:hint="eastAsia" w:cs="宋体"/>
                <w:bCs/>
                <w:color w:val="auto"/>
                <w:sz w:val="21"/>
                <w:szCs w:val="21"/>
              </w:rPr>
              <w:t>预付款担保的形式为：</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p>
        </w:tc>
      </w:tr>
      <w:tr w14:paraId="1F1C7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58E17B62">
            <w:pPr>
              <w:numPr>
                <w:ilvl w:val="0"/>
                <w:numId w:val="3"/>
              </w:numPr>
              <w:snapToGrid w:val="0"/>
              <w:spacing w:line="360" w:lineRule="auto"/>
              <w:jc w:val="center"/>
              <w:rPr>
                <w:rFonts w:cs="宋体"/>
                <w:bCs/>
                <w:color w:val="auto"/>
                <w:kern w:val="2"/>
                <w:sz w:val="21"/>
                <w:szCs w:val="21"/>
              </w:rPr>
            </w:pPr>
          </w:p>
        </w:tc>
        <w:tc>
          <w:tcPr>
            <w:tcW w:w="1111" w:type="dxa"/>
            <w:vAlign w:val="center"/>
          </w:tcPr>
          <w:p w14:paraId="2C46F02D">
            <w:pPr>
              <w:snapToGrid w:val="0"/>
              <w:spacing w:line="360" w:lineRule="auto"/>
              <w:jc w:val="center"/>
              <w:rPr>
                <w:rFonts w:cs="宋体"/>
                <w:bCs/>
                <w:color w:val="auto"/>
                <w:sz w:val="21"/>
                <w:szCs w:val="21"/>
              </w:rPr>
            </w:pPr>
            <w:r>
              <w:rPr>
                <w:rFonts w:hint="eastAsia" w:cs="宋体"/>
                <w:bCs/>
                <w:color w:val="auto"/>
                <w:sz w:val="21"/>
                <w:szCs w:val="21"/>
              </w:rPr>
              <w:t>12.4.1</w:t>
            </w:r>
          </w:p>
        </w:tc>
        <w:tc>
          <w:tcPr>
            <w:tcW w:w="6982" w:type="dxa"/>
            <w:tcBorders>
              <w:bottom w:val="single" w:color="auto" w:sz="4" w:space="0"/>
            </w:tcBorders>
            <w:vAlign w:val="center"/>
          </w:tcPr>
          <w:p w14:paraId="421E7340">
            <w:pPr>
              <w:adjustRightInd w:val="0"/>
              <w:snapToGrid w:val="0"/>
              <w:spacing w:line="360" w:lineRule="auto"/>
              <w:rPr>
                <w:rFonts w:cs="宋体"/>
                <w:bCs/>
                <w:color w:val="auto"/>
                <w:sz w:val="21"/>
                <w:szCs w:val="21"/>
              </w:rPr>
            </w:pPr>
            <w:r>
              <w:rPr>
                <w:rFonts w:hint="eastAsia" w:cs="宋体"/>
                <w:bCs/>
                <w:color w:val="auto"/>
                <w:sz w:val="21"/>
                <w:szCs w:val="21"/>
              </w:rPr>
              <w:t>付款周期</w:t>
            </w:r>
          </w:p>
          <w:p w14:paraId="1F2A2D58">
            <w:pPr>
              <w:keepNext w:val="0"/>
              <w:keepLines w:val="0"/>
              <w:widowControl/>
              <w:suppressLineNumbers w:val="0"/>
              <w:jc w:val="left"/>
              <w:rPr>
                <w:rFonts w:hint="eastAsia" w:cs="宋体"/>
                <w:bCs/>
                <w:color w:val="auto"/>
                <w:sz w:val="21"/>
                <w:szCs w:val="21"/>
              </w:rPr>
            </w:pPr>
            <w:r>
              <w:rPr>
                <w:rFonts w:hint="eastAsia" w:cs="宋体"/>
                <w:bCs/>
                <w:color w:val="auto"/>
                <w:sz w:val="21"/>
                <w:szCs w:val="21"/>
              </w:rPr>
              <w:t>关于付款周期的约定：</w:t>
            </w:r>
            <w:r>
              <w:rPr>
                <w:rFonts w:hint="eastAsia" w:cs="宋体"/>
                <w:bCs/>
                <w:color w:val="auto"/>
                <w:sz w:val="21"/>
                <w:szCs w:val="21"/>
                <w:lang w:val="en-US" w:eastAsia="zh-CN"/>
              </w:rPr>
              <w:t>工程全部完工且竣工验收合格后付至合同价款80%，工程经结算审核后付至审核价的</w:t>
            </w:r>
            <w:r>
              <w:rPr>
                <w:rFonts w:hint="default" w:cs="宋体"/>
                <w:bCs/>
                <w:color w:val="auto"/>
                <w:sz w:val="21"/>
                <w:szCs w:val="21"/>
                <w:lang w:val="en-US" w:eastAsia="zh-CN"/>
              </w:rPr>
              <w:t>97%</w:t>
            </w:r>
            <w:r>
              <w:rPr>
                <w:rFonts w:hint="eastAsia" w:cs="宋体"/>
                <w:bCs/>
                <w:color w:val="auto"/>
                <w:sz w:val="21"/>
                <w:szCs w:val="21"/>
                <w:lang w:val="en-US" w:eastAsia="zh-CN"/>
              </w:rPr>
              <w:t>，余款</w:t>
            </w:r>
            <w:r>
              <w:rPr>
                <w:rFonts w:hint="default" w:cs="宋体"/>
                <w:bCs/>
                <w:color w:val="auto"/>
                <w:sz w:val="21"/>
                <w:szCs w:val="21"/>
                <w:lang w:val="en-US" w:eastAsia="zh-CN"/>
              </w:rPr>
              <w:t>3%</w:t>
            </w:r>
            <w:r>
              <w:rPr>
                <w:rFonts w:hint="eastAsia" w:cs="宋体"/>
                <w:bCs/>
                <w:color w:val="auto"/>
                <w:sz w:val="21"/>
                <w:szCs w:val="21"/>
                <w:lang w:val="en-US" w:eastAsia="zh-CN"/>
              </w:rPr>
              <w:t xml:space="preserve">作为质保金（如成交人选择以支票、汇票、本票、保险、保函、银行转账等非现金形式缴纳质保金的， </w:t>
            </w:r>
          </w:p>
          <w:p w14:paraId="71B266CE">
            <w:pPr>
              <w:keepNext w:val="0"/>
              <w:keepLines w:val="0"/>
              <w:widowControl/>
              <w:suppressLineNumbers w:val="0"/>
              <w:jc w:val="left"/>
              <w:rPr>
                <w:rFonts w:cs="宋体"/>
                <w:bCs/>
                <w:color w:val="auto"/>
                <w:sz w:val="21"/>
                <w:szCs w:val="21"/>
              </w:rPr>
            </w:pPr>
            <w:r>
              <w:rPr>
                <w:rFonts w:hint="eastAsia" w:cs="宋体"/>
                <w:bCs/>
                <w:color w:val="auto"/>
                <w:sz w:val="21"/>
                <w:szCs w:val="21"/>
                <w:lang w:val="en-US" w:eastAsia="zh-CN"/>
              </w:rPr>
              <w:t>采购人付至审核价款的</w:t>
            </w:r>
            <w:r>
              <w:rPr>
                <w:rFonts w:hint="default" w:cs="宋体"/>
                <w:bCs/>
                <w:color w:val="auto"/>
                <w:sz w:val="21"/>
                <w:szCs w:val="21"/>
                <w:lang w:val="en-US" w:eastAsia="zh-CN"/>
              </w:rPr>
              <w:t>100%</w:t>
            </w:r>
            <w:r>
              <w:rPr>
                <w:rFonts w:hint="eastAsia" w:cs="宋体"/>
                <w:bCs/>
                <w:color w:val="auto"/>
                <w:sz w:val="21"/>
                <w:szCs w:val="21"/>
                <w:lang w:val="en-US" w:eastAsia="zh-CN"/>
              </w:rPr>
              <w:t xml:space="preserve">）；缺陷责任期满后付清工程余款。采用现金方式缴纳质量保证金的，退还保证金本金和银行同期存款利息。 </w:t>
            </w:r>
          </w:p>
        </w:tc>
      </w:tr>
      <w:tr w14:paraId="6857B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171AE2E3">
            <w:pPr>
              <w:numPr>
                <w:ilvl w:val="0"/>
                <w:numId w:val="3"/>
              </w:numPr>
              <w:snapToGrid w:val="0"/>
              <w:spacing w:line="360" w:lineRule="auto"/>
              <w:jc w:val="center"/>
              <w:rPr>
                <w:rFonts w:cs="宋体"/>
                <w:bCs/>
                <w:color w:val="auto"/>
                <w:kern w:val="2"/>
                <w:sz w:val="21"/>
                <w:szCs w:val="21"/>
              </w:rPr>
            </w:pPr>
          </w:p>
        </w:tc>
        <w:tc>
          <w:tcPr>
            <w:tcW w:w="1111" w:type="dxa"/>
            <w:vAlign w:val="center"/>
          </w:tcPr>
          <w:p w14:paraId="2711265B">
            <w:pPr>
              <w:snapToGrid w:val="0"/>
              <w:spacing w:line="360" w:lineRule="auto"/>
              <w:jc w:val="center"/>
              <w:rPr>
                <w:rFonts w:cs="宋体"/>
                <w:bCs/>
                <w:color w:val="auto"/>
                <w:kern w:val="2"/>
                <w:sz w:val="21"/>
                <w:szCs w:val="21"/>
              </w:rPr>
            </w:pPr>
            <w:r>
              <w:rPr>
                <w:rFonts w:hint="eastAsia" w:cs="宋体"/>
                <w:bCs/>
                <w:color w:val="auto"/>
                <w:sz w:val="21"/>
                <w:szCs w:val="21"/>
              </w:rPr>
              <w:t>15.2.1</w:t>
            </w:r>
          </w:p>
        </w:tc>
        <w:tc>
          <w:tcPr>
            <w:tcW w:w="6982" w:type="dxa"/>
            <w:vAlign w:val="center"/>
          </w:tcPr>
          <w:p w14:paraId="4EDCE4F4">
            <w:pPr>
              <w:snapToGrid w:val="0"/>
              <w:spacing w:line="360" w:lineRule="auto"/>
              <w:rPr>
                <w:rFonts w:cs="宋体"/>
                <w:bCs/>
                <w:color w:val="auto"/>
                <w:kern w:val="2"/>
                <w:sz w:val="21"/>
                <w:szCs w:val="21"/>
              </w:rPr>
            </w:pPr>
            <w:r>
              <w:rPr>
                <w:rFonts w:hint="eastAsia" w:cs="宋体"/>
                <w:color w:val="auto"/>
                <w:sz w:val="21"/>
                <w:szCs w:val="21"/>
              </w:rPr>
              <w:t>缺陷责任期的具体期限：</w:t>
            </w:r>
            <w:r>
              <w:rPr>
                <w:rFonts w:hint="eastAsia" w:cs="宋体"/>
                <w:color w:val="auto"/>
                <w:sz w:val="21"/>
                <w:szCs w:val="21"/>
                <w:u w:val="single"/>
                <w:lang w:val="en-US" w:eastAsia="zh-CN"/>
              </w:rPr>
              <w:t>12个月</w:t>
            </w:r>
            <w:r>
              <w:rPr>
                <w:rFonts w:hint="eastAsia" w:cs="宋体"/>
                <w:color w:val="auto"/>
                <w:sz w:val="21"/>
                <w:szCs w:val="21"/>
              </w:rPr>
              <w:t>。</w:t>
            </w:r>
          </w:p>
        </w:tc>
      </w:tr>
      <w:tr w14:paraId="5F480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4C26D886">
            <w:pPr>
              <w:numPr>
                <w:ilvl w:val="0"/>
                <w:numId w:val="3"/>
              </w:numPr>
              <w:snapToGrid w:val="0"/>
              <w:spacing w:line="360" w:lineRule="auto"/>
              <w:jc w:val="center"/>
              <w:rPr>
                <w:rFonts w:cs="宋体"/>
                <w:bCs/>
                <w:color w:val="auto"/>
                <w:kern w:val="2"/>
                <w:sz w:val="21"/>
                <w:szCs w:val="21"/>
              </w:rPr>
            </w:pPr>
          </w:p>
        </w:tc>
        <w:tc>
          <w:tcPr>
            <w:tcW w:w="1111" w:type="dxa"/>
            <w:vAlign w:val="center"/>
          </w:tcPr>
          <w:p w14:paraId="443F519B">
            <w:pPr>
              <w:snapToGrid w:val="0"/>
              <w:spacing w:line="360" w:lineRule="auto"/>
              <w:jc w:val="center"/>
              <w:rPr>
                <w:rFonts w:cs="宋体"/>
                <w:bCs/>
                <w:color w:val="auto"/>
                <w:kern w:val="2"/>
                <w:sz w:val="21"/>
                <w:szCs w:val="21"/>
              </w:rPr>
            </w:pPr>
            <w:r>
              <w:rPr>
                <w:rFonts w:hint="eastAsia" w:cs="宋体"/>
                <w:bCs/>
                <w:color w:val="auto"/>
                <w:sz w:val="21"/>
                <w:szCs w:val="21"/>
              </w:rPr>
              <w:t>15.3.1</w:t>
            </w:r>
          </w:p>
        </w:tc>
        <w:tc>
          <w:tcPr>
            <w:tcW w:w="6982" w:type="dxa"/>
            <w:vAlign w:val="center"/>
          </w:tcPr>
          <w:p w14:paraId="46B41446">
            <w:pPr>
              <w:adjustRightInd w:val="0"/>
              <w:snapToGrid w:val="0"/>
              <w:spacing w:line="360" w:lineRule="auto"/>
              <w:rPr>
                <w:rFonts w:cs="宋体"/>
                <w:color w:val="auto"/>
                <w:sz w:val="21"/>
                <w:szCs w:val="21"/>
              </w:rPr>
            </w:pPr>
            <w:r>
              <w:rPr>
                <w:rFonts w:hint="eastAsia" w:cs="宋体"/>
                <w:color w:val="auto"/>
                <w:sz w:val="21"/>
                <w:szCs w:val="21"/>
              </w:rPr>
              <w:t>质量保证金可采用以下任意一种方式：</w:t>
            </w:r>
          </w:p>
          <w:p w14:paraId="053A4917">
            <w:pPr>
              <w:adjustRightInd w:val="0"/>
              <w:snapToGrid w:val="0"/>
              <w:spacing w:line="360" w:lineRule="auto"/>
              <w:rPr>
                <w:rFonts w:hint="eastAsia" w:cs="宋体"/>
                <w:color w:val="auto"/>
                <w:sz w:val="21"/>
                <w:szCs w:val="21"/>
                <w:u w:val="single"/>
              </w:rPr>
            </w:pPr>
            <w:r>
              <w:rPr>
                <w:rFonts w:hint="eastAsia" w:cs="宋体"/>
                <w:color w:val="auto"/>
                <w:sz w:val="21"/>
                <w:szCs w:val="21"/>
              </w:rPr>
              <w:t>（1）由银行业金融机构、工程担保公司、保险机构出具银行保函、工程质量保险等担保方式，担保/保证金额为：</w:t>
            </w:r>
            <w:r>
              <w:rPr>
                <w:rFonts w:hint="eastAsia" w:ascii="宋体" w:hAnsi="宋体" w:eastAsia="宋体" w:cs="宋体"/>
                <w:color w:val="000000"/>
                <w:kern w:val="0"/>
                <w:sz w:val="21"/>
                <w:szCs w:val="21"/>
                <w:u w:val="single"/>
                <w:lang w:val="en-US" w:eastAsia="zh-CN" w:bidi="ar"/>
              </w:rPr>
              <w:t>3%的工程款。如使用金融机构保函形式提供担保，必须是见索即付保函</w:t>
            </w:r>
            <w:r>
              <w:rPr>
                <w:rFonts w:hint="eastAsia" w:cs="宋体"/>
                <w:color w:val="auto"/>
                <w:sz w:val="21"/>
                <w:szCs w:val="21"/>
                <w:u w:val="single"/>
              </w:rPr>
              <w:t>；</w:t>
            </w:r>
          </w:p>
          <w:p w14:paraId="6AEC5C75">
            <w:pPr>
              <w:keepNext w:val="0"/>
              <w:keepLines w:val="0"/>
              <w:widowControl/>
              <w:suppressLineNumbers w:val="0"/>
              <w:jc w:val="left"/>
              <w:rPr>
                <w:rFonts w:cs="宋体"/>
                <w:color w:val="auto"/>
                <w:sz w:val="21"/>
                <w:szCs w:val="21"/>
              </w:rPr>
            </w:pPr>
            <w:r>
              <w:rPr>
                <w:rFonts w:hint="eastAsia" w:cs="宋体"/>
                <w:color w:val="auto"/>
                <w:sz w:val="21"/>
                <w:szCs w:val="21"/>
              </w:rPr>
              <w:t xml:space="preserve">（2） </w:t>
            </w:r>
            <w:r>
              <w:rPr>
                <w:rFonts w:hint="eastAsia" w:cs="宋体"/>
                <w:color w:val="auto"/>
                <w:sz w:val="21"/>
                <w:szCs w:val="21"/>
                <w:u w:val="single"/>
                <w:lang w:val="en-US" w:eastAsia="zh-CN"/>
              </w:rPr>
              <w:t>3%的工程款</w:t>
            </w:r>
            <w:r>
              <w:rPr>
                <w:rFonts w:hint="eastAsia" w:cs="宋体"/>
                <w:color w:val="auto"/>
                <w:sz w:val="21"/>
                <w:szCs w:val="21"/>
                <w:u w:val="single"/>
              </w:rPr>
              <w:t>；</w:t>
            </w:r>
          </w:p>
          <w:p w14:paraId="749C3A35">
            <w:pPr>
              <w:adjustRightInd w:val="0"/>
              <w:snapToGrid w:val="0"/>
              <w:spacing w:line="360" w:lineRule="auto"/>
              <w:rPr>
                <w:rFonts w:hint="eastAsia" w:cs="宋体"/>
                <w:color w:val="auto"/>
                <w:sz w:val="21"/>
                <w:szCs w:val="21"/>
                <w:u w:val="single"/>
                <w:lang w:val="en-US" w:eastAsia="zh-CN"/>
              </w:rPr>
            </w:pPr>
            <w:r>
              <w:rPr>
                <w:rFonts w:hint="eastAsia" w:cs="宋体"/>
                <w:color w:val="auto"/>
                <w:sz w:val="21"/>
                <w:szCs w:val="21"/>
              </w:rPr>
              <w:t>（3）其他方式：</w:t>
            </w:r>
            <w:r>
              <w:rPr>
                <w:rFonts w:hint="eastAsia" w:cs="宋体"/>
                <w:color w:val="auto"/>
                <w:sz w:val="21"/>
                <w:szCs w:val="21"/>
                <w:u w:val="single"/>
                <w:lang w:val="en-US" w:eastAsia="zh-CN"/>
              </w:rPr>
              <w:t>支票或汇票或本票或保险或银行转账或现金:金额为 3%的工程款。如使用金融机构保函形式提供担保，必须是见索即付保函。</w:t>
            </w:r>
          </w:p>
          <w:p w14:paraId="47A3F211">
            <w:pPr>
              <w:pStyle w:val="7"/>
              <w:snapToGrid w:val="0"/>
              <w:spacing w:line="360" w:lineRule="auto"/>
              <w:rPr>
                <w:rFonts w:cs="宋体"/>
                <w:bCs w:val="0"/>
                <w:color w:val="auto"/>
                <w:kern w:val="2"/>
                <w:sz w:val="21"/>
                <w:szCs w:val="21"/>
              </w:rPr>
            </w:pPr>
            <w:r>
              <w:rPr>
                <w:rFonts w:hint="eastAsia" w:cs="宋体"/>
                <w:bCs w:val="0"/>
                <w:color w:val="auto"/>
                <w:sz w:val="21"/>
                <w:szCs w:val="21"/>
              </w:rPr>
              <w:t>注：以现金形式提交质量保证金的（含从工程款中以扣留方式提交的），同时退还银行同期活期存款利息。</w:t>
            </w:r>
          </w:p>
        </w:tc>
      </w:tr>
    </w:tbl>
    <w:p w14:paraId="39246218">
      <w:pPr>
        <w:snapToGrid w:val="0"/>
        <w:spacing w:before="312" w:beforeLines="100" w:after="312" w:afterLines="100" w:line="360" w:lineRule="auto"/>
        <w:outlineLvl w:val="2"/>
        <w:rPr>
          <w:rFonts w:cs="宋体"/>
          <w:color w:val="auto"/>
          <w:sz w:val="21"/>
          <w:szCs w:val="21"/>
        </w:rPr>
      </w:pPr>
      <w:r>
        <w:rPr>
          <w:rFonts w:hint="eastAsia" w:cs="宋体"/>
          <w:color w:val="auto"/>
          <w:sz w:val="21"/>
          <w:szCs w:val="21"/>
        </w:rPr>
        <w:br w:type="page"/>
      </w:r>
      <w:r>
        <w:rPr>
          <w:rFonts w:hint="eastAsia" w:cs="宋体"/>
          <w:color w:val="auto"/>
          <w:sz w:val="21"/>
          <w:szCs w:val="21"/>
        </w:rPr>
        <w:t>1</w:t>
      </w:r>
      <w:bookmarkStart w:id="77" w:name="_Toc292559361"/>
      <w:bookmarkStart w:id="78" w:name="_Toc296890984"/>
      <w:bookmarkStart w:id="79" w:name="_Toc296347155"/>
      <w:bookmarkStart w:id="80" w:name="_Toc297120456"/>
      <w:bookmarkStart w:id="81" w:name="_Toc296944495"/>
      <w:bookmarkStart w:id="82" w:name="_Toc292559866"/>
      <w:bookmarkStart w:id="83" w:name="_Toc296891196"/>
      <w:bookmarkStart w:id="84" w:name="_Toc296346657"/>
      <w:bookmarkStart w:id="85" w:name="_Toc296503156"/>
      <w:bookmarkStart w:id="86" w:name="_Toc297048342"/>
      <w:r>
        <w:rPr>
          <w:rFonts w:hint="eastAsia" w:cs="宋体"/>
          <w:color w:val="auto"/>
          <w:sz w:val="21"/>
          <w:szCs w:val="21"/>
        </w:rPr>
        <w:t>. 一般约定</w:t>
      </w:r>
    </w:p>
    <w:bookmarkEnd w:id="77"/>
    <w:bookmarkEnd w:id="78"/>
    <w:bookmarkEnd w:id="79"/>
    <w:bookmarkEnd w:id="80"/>
    <w:bookmarkEnd w:id="81"/>
    <w:bookmarkEnd w:id="82"/>
    <w:bookmarkEnd w:id="83"/>
    <w:bookmarkEnd w:id="84"/>
    <w:bookmarkEnd w:id="85"/>
    <w:bookmarkEnd w:id="86"/>
    <w:p w14:paraId="25249AF1">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1.1 词语定义与解释</w:t>
      </w:r>
    </w:p>
    <w:p w14:paraId="6C6BCE36">
      <w:pPr>
        <w:adjustRightInd w:val="0"/>
        <w:snapToGrid w:val="0"/>
        <w:spacing w:line="360" w:lineRule="auto"/>
        <w:ind w:firstLine="420" w:firstLineChars="200"/>
        <w:rPr>
          <w:rFonts w:cs="宋体"/>
          <w:color w:val="auto"/>
          <w:sz w:val="21"/>
          <w:szCs w:val="21"/>
        </w:rPr>
      </w:pPr>
      <w:r>
        <w:rPr>
          <w:rFonts w:hint="eastAsia" w:cs="宋体"/>
          <w:color w:val="auto"/>
          <w:sz w:val="21"/>
          <w:szCs w:val="21"/>
        </w:rPr>
        <w:t>1.1.1 合同</w:t>
      </w:r>
    </w:p>
    <w:p w14:paraId="393EBECD">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1.1.1.10 其他合同文件包括：</w:t>
      </w:r>
      <w:r>
        <w:rPr>
          <w:rFonts w:hint="eastAsia" w:cs="宋体"/>
          <w:color w:val="auto"/>
          <w:sz w:val="21"/>
          <w:szCs w:val="21"/>
          <w:u w:val="single"/>
        </w:rPr>
        <w:t xml:space="preserve">                 </w:t>
      </w:r>
    </w:p>
    <w:p w14:paraId="14CC62FC">
      <w:pPr>
        <w:adjustRightInd w:val="0"/>
        <w:snapToGrid w:val="0"/>
        <w:spacing w:line="360" w:lineRule="auto"/>
        <w:ind w:firstLine="420" w:firstLineChars="200"/>
        <w:rPr>
          <w:rFonts w:cs="宋体"/>
          <w:color w:val="auto"/>
          <w:sz w:val="21"/>
          <w:szCs w:val="21"/>
        </w:rPr>
      </w:pPr>
      <w:r>
        <w:rPr>
          <w:rFonts w:hint="eastAsia" w:cs="宋体"/>
          <w:color w:val="auto"/>
          <w:sz w:val="21"/>
          <w:szCs w:val="21"/>
        </w:rPr>
        <w:t>1.1.2 合同当事人及其他相关方</w:t>
      </w:r>
    </w:p>
    <w:p w14:paraId="146BDFCD">
      <w:pPr>
        <w:adjustRightInd w:val="0"/>
        <w:snapToGrid w:val="0"/>
        <w:spacing w:line="360" w:lineRule="auto"/>
        <w:ind w:firstLine="420" w:firstLineChars="200"/>
        <w:rPr>
          <w:rFonts w:cs="宋体"/>
          <w:color w:val="auto"/>
          <w:sz w:val="21"/>
          <w:szCs w:val="21"/>
        </w:rPr>
      </w:pPr>
      <w:r>
        <w:rPr>
          <w:rFonts w:hint="eastAsia" w:cs="宋体"/>
          <w:color w:val="auto"/>
          <w:sz w:val="21"/>
          <w:szCs w:val="21"/>
        </w:rPr>
        <w:t>1.1.2.4 监理人：</w:t>
      </w:r>
    </w:p>
    <w:p w14:paraId="76626704">
      <w:pPr>
        <w:adjustRightInd w:val="0"/>
        <w:snapToGrid w:val="0"/>
        <w:spacing w:line="360" w:lineRule="auto"/>
        <w:ind w:firstLine="420" w:firstLineChars="200"/>
        <w:rPr>
          <w:rFonts w:cs="宋体"/>
          <w:color w:val="auto"/>
          <w:sz w:val="21"/>
          <w:szCs w:val="21"/>
        </w:rPr>
      </w:pPr>
      <w:r>
        <w:rPr>
          <w:rFonts w:hint="eastAsia" w:cs="宋体"/>
          <w:color w:val="auto"/>
          <w:sz w:val="21"/>
          <w:szCs w:val="21"/>
        </w:rPr>
        <w:t>名    称：</w:t>
      </w:r>
      <w:r>
        <w:rPr>
          <w:rFonts w:hint="eastAsia" w:cs="宋体"/>
          <w:color w:val="auto"/>
          <w:sz w:val="21"/>
          <w:szCs w:val="21"/>
          <w:u w:val="single"/>
        </w:rPr>
        <w:t xml:space="preserve">                 </w:t>
      </w:r>
      <w:r>
        <w:rPr>
          <w:rFonts w:hint="eastAsia" w:cs="宋体"/>
          <w:color w:val="auto"/>
          <w:sz w:val="21"/>
          <w:szCs w:val="21"/>
        </w:rPr>
        <w:t>；</w:t>
      </w:r>
    </w:p>
    <w:p w14:paraId="57819E6F">
      <w:pPr>
        <w:adjustRightInd w:val="0"/>
        <w:snapToGrid w:val="0"/>
        <w:spacing w:line="360" w:lineRule="auto"/>
        <w:ind w:firstLine="420" w:firstLineChars="200"/>
        <w:rPr>
          <w:rFonts w:cs="宋体"/>
          <w:color w:val="auto"/>
          <w:sz w:val="21"/>
          <w:szCs w:val="21"/>
        </w:rPr>
      </w:pPr>
      <w:r>
        <w:rPr>
          <w:rFonts w:hint="eastAsia" w:cs="宋体"/>
          <w:color w:val="auto"/>
          <w:sz w:val="21"/>
          <w:szCs w:val="21"/>
        </w:rPr>
        <w:t>资质类别和等级：</w:t>
      </w:r>
      <w:r>
        <w:rPr>
          <w:rFonts w:hint="eastAsia" w:cs="宋体"/>
          <w:color w:val="auto"/>
          <w:sz w:val="21"/>
          <w:szCs w:val="21"/>
          <w:u w:val="single"/>
        </w:rPr>
        <w:t xml:space="preserve">                 </w:t>
      </w:r>
      <w:r>
        <w:rPr>
          <w:rFonts w:hint="eastAsia" w:cs="宋体"/>
          <w:color w:val="auto"/>
          <w:sz w:val="21"/>
          <w:szCs w:val="21"/>
        </w:rPr>
        <w:t>；</w:t>
      </w:r>
    </w:p>
    <w:p w14:paraId="4E7234AB">
      <w:pPr>
        <w:adjustRightInd w:val="0"/>
        <w:snapToGrid w:val="0"/>
        <w:spacing w:line="360" w:lineRule="auto"/>
        <w:ind w:firstLine="420" w:firstLineChars="200"/>
        <w:rPr>
          <w:rFonts w:cs="宋体"/>
          <w:color w:val="auto"/>
          <w:sz w:val="21"/>
          <w:szCs w:val="21"/>
        </w:rPr>
      </w:pPr>
      <w:r>
        <w:rPr>
          <w:rFonts w:hint="eastAsia" w:cs="宋体"/>
          <w:color w:val="auto"/>
          <w:sz w:val="21"/>
          <w:szCs w:val="21"/>
        </w:rPr>
        <w:t>联系电话：</w:t>
      </w:r>
      <w:r>
        <w:rPr>
          <w:rFonts w:hint="eastAsia" w:cs="宋体"/>
          <w:color w:val="auto"/>
          <w:sz w:val="21"/>
          <w:szCs w:val="21"/>
          <w:u w:val="single"/>
        </w:rPr>
        <w:t xml:space="preserve">                 </w:t>
      </w:r>
      <w:r>
        <w:rPr>
          <w:rFonts w:hint="eastAsia" w:cs="宋体"/>
          <w:color w:val="auto"/>
          <w:sz w:val="21"/>
          <w:szCs w:val="21"/>
        </w:rPr>
        <w:t>；</w:t>
      </w:r>
    </w:p>
    <w:p w14:paraId="1495F710">
      <w:pPr>
        <w:adjustRightInd w:val="0"/>
        <w:snapToGrid w:val="0"/>
        <w:spacing w:line="360" w:lineRule="auto"/>
        <w:ind w:firstLine="420" w:firstLineChars="200"/>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rPr>
        <w:t>；</w:t>
      </w:r>
    </w:p>
    <w:p w14:paraId="7A105C36">
      <w:pPr>
        <w:adjustRightInd w:val="0"/>
        <w:snapToGrid w:val="0"/>
        <w:spacing w:line="360" w:lineRule="auto"/>
        <w:ind w:firstLine="420" w:firstLineChars="200"/>
        <w:rPr>
          <w:rFonts w:cs="宋体"/>
          <w:color w:val="auto"/>
          <w:sz w:val="21"/>
          <w:szCs w:val="21"/>
        </w:rPr>
      </w:pPr>
      <w:r>
        <w:rPr>
          <w:rFonts w:hint="eastAsia" w:cs="宋体"/>
          <w:color w:val="auto"/>
          <w:sz w:val="21"/>
          <w:szCs w:val="21"/>
        </w:rPr>
        <w:t>通信地址：</w:t>
      </w:r>
      <w:r>
        <w:rPr>
          <w:rFonts w:hint="eastAsia" w:cs="宋体"/>
          <w:color w:val="auto"/>
          <w:sz w:val="21"/>
          <w:szCs w:val="21"/>
          <w:u w:val="single"/>
        </w:rPr>
        <w:t xml:space="preserve">                 </w:t>
      </w:r>
      <w:r>
        <w:rPr>
          <w:rFonts w:hint="eastAsia" w:cs="宋体"/>
          <w:color w:val="auto"/>
          <w:sz w:val="21"/>
          <w:szCs w:val="21"/>
        </w:rPr>
        <w:t>。</w:t>
      </w:r>
    </w:p>
    <w:p w14:paraId="68999E3E">
      <w:pPr>
        <w:adjustRightInd w:val="0"/>
        <w:snapToGrid w:val="0"/>
        <w:spacing w:line="360" w:lineRule="auto"/>
        <w:ind w:firstLine="420" w:firstLineChars="200"/>
        <w:rPr>
          <w:rFonts w:cs="宋体"/>
          <w:color w:val="auto"/>
          <w:sz w:val="21"/>
          <w:szCs w:val="21"/>
        </w:rPr>
      </w:pPr>
      <w:r>
        <w:rPr>
          <w:rFonts w:hint="eastAsia" w:cs="宋体"/>
          <w:color w:val="auto"/>
          <w:sz w:val="21"/>
          <w:szCs w:val="21"/>
        </w:rPr>
        <w:t>1.1.2.5 设计人：</w:t>
      </w:r>
    </w:p>
    <w:p w14:paraId="1832F09E">
      <w:pPr>
        <w:adjustRightInd w:val="0"/>
        <w:snapToGrid w:val="0"/>
        <w:spacing w:line="360" w:lineRule="auto"/>
        <w:ind w:firstLine="420" w:firstLineChars="200"/>
        <w:rPr>
          <w:rFonts w:cs="宋体"/>
          <w:color w:val="auto"/>
          <w:sz w:val="21"/>
          <w:szCs w:val="21"/>
        </w:rPr>
      </w:pPr>
      <w:r>
        <w:rPr>
          <w:rFonts w:hint="eastAsia" w:cs="宋体"/>
          <w:color w:val="auto"/>
          <w:sz w:val="21"/>
          <w:szCs w:val="21"/>
        </w:rPr>
        <w:t>名    称：</w:t>
      </w:r>
      <w:r>
        <w:rPr>
          <w:rFonts w:hint="eastAsia" w:cs="宋体"/>
          <w:color w:val="auto"/>
          <w:sz w:val="21"/>
          <w:szCs w:val="21"/>
          <w:u w:val="single"/>
        </w:rPr>
        <w:t xml:space="preserve">                 </w:t>
      </w:r>
      <w:r>
        <w:rPr>
          <w:rFonts w:hint="eastAsia" w:cs="宋体"/>
          <w:color w:val="auto"/>
          <w:sz w:val="21"/>
          <w:szCs w:val="21"/>
        </w:rPr>
        <w:t>；</w:t>
      </w:r>
    </w:p>
    <w:p w14:paraId="64867504">
      <w:pPr>
        <w:adjustRightInd w:val="0"/>
        <w:snapToGrid w:val="0"/>
        <w:spacing w:line="360" w:lineRule="auto"/>
        <w:ind w:firstLine="420" w:firstLineChars="200"/>
        <w:rPr>
          <w:rFonts w:cs="宋体"/>
          <w:color w:val="auto"/>
          <w:sz w:val="21"/>
          <w:szCs w:val="21"/>
        </w:rPr>
      </w:pPr>
      <w:r>
        <w:rPr>
          <w:rFonts w:hint="eastAsia" w:cs="宋体"/>
          <w:color w:val="auto"/>
          <w:sz w:val="21"/>
          <w:szCs w:val="21"/>
        </w:rPr>
        <w:t>资质类别和等级：</w:t>
      </w:r>
      <w:r>
        <w:rPr>
          <w:rFonts w:hint="eastAsia" w:cs="宋体"/>
          <w:color w:val="auto"/>
          <w:sz w:val="21"/>
          <w:szCs w:val="21"/>
          <w:u w:val="single"/>
        </w:rPr>
        <w:t xml:space="preserve">                 </w:t>
      </w:r>
      <w:r>
        <w:rPr>
          <w:rFonts w:hint="eastAsia" w:cs="宋体"/>
          <w:color w:val="auto"/>
          <w:sz w:val="21"/>
          <w:szCs w:val="21"/>
        </w:rPr>
        <w:t>；</w:t>
      </w:r>
    </w:p>
    <w:p w14:paraId="1AA90D03">
      <w:pPr>
        <w:adjustRightInd w:val="0"/>
        <w:snapToGrid w:val="0"/>
        <w:spacing w:line="360" w:lineRule="auto"/>
        <w:ind w:firstLine="420" w:firstLineChars="200"/>
        <w:rPr>
          <w:rFonts w:cs="宋体"/>
          <w:color w:val="auto"/>
          <w:sz w:val="21"/>
          <w:szCs w:val="21"/>
        </w:rPr>
      </w:pPr>
      <w:r>
        <w:rPr>
          <w:rFonts w:hint="eastAsia" w:cs="宋体"/>
          <w:color w:val="auto"/>
          <w:sz w:val="21"/>
          <w:szCs w:val="21"/>
        </w:rPr>
        <w:t>联系电话：</w:t>
      </w:r>
      <w:r>
        <w:rPr>
          <w:rFonts w:hint="eastAsia" w:cs="宋体"/>
          <w:color w:val="auto"/>
          <w:sz w:val="21"/>
          <w:szCs w:val="21"/>
          <w:u w:val="single"/>
        </w:rPr>
        <w:t xml:space="preserve">                 </w:t>
      </w:r>
      <w:r>
        <w:rPr>
          <w:rFonts w:hint="eastAsia" w:cs="宋体"/>
          <w:color w:val="auto"/>
          <w:sz w:val="21"/>
          <w:szCs w:val="21"/>
        </w:rPr>
        <w:t>；</w:t>
      </w:r>
    </w:p>
    <w:p w14:paraId="5DAE46CD">
      <w:pPr>
        <w:adjustRightInd w:val="0"/>
        <w:snapToGrid w:val="0"/>
        <w:spacing w:line="360" w:lineRule="auto"/>
        <w:ind w:firstLine="420" w:firstLineChars="200"/>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rPr>
        <w:t>；</w:t>
      </w:r>
    </w:p>
    <w:p w14:paraId="7A68CA9F">
      <w:pPr>
        <w:adjustRightInd w:val="0"/>
        <w:snapToGrid w:val="0"/>
        <w:spacing w:line="360" w:lineRule="auto"/>
        <w:ind w:firstLine="420" w:firstLineChars="200"/>
        <w:rPr>
          <w:rFonts w:cs="宋体"/>
          <w:color w:val="auto"/>
          <w:sz w:val="21"/>
          <w:szCs w:val="21"/>
        </w:rPr>
      </w:pPr>
      <w:r>
        <w:rPr>
          <w:rFonts w:hint="eastAsia" w:cs="宋体"/>
          <w:color w:val="auto"/>
          <w:sz w:val="21"/>
          <w:szCs w:val="21"/>
        </w:rPr>
        <w:t>通信地址：</w:t>
      </w:r>
      <w:r>
        <w:rPr>
          <w:rFonts w:hint="eastAsia" w:cs="宋体"/>
          <w:color w:val="auto"/>
          <w:sz w:val="21"/>
          <w:szCs w:val="21"/>
          <w:u w:val="single"/>
        </w:rPr>
        <w:t xml:space="preserve">                 </w:t>
      </w:r>
      <w:r>
        <w:rPr>
          <w:rFonts w:hint="eastAsia" w:cs="宋体"/>
          <w:color w:val="auto"/>
          <w:sz w:val="21"/>
          <w:szCs w:val="21"/>
        </w:rPr>
        <w:t>。</w:t>
      </w:r>
    </w:p>
    <w:p w14:paraId="09FB35DA">
      <w:pPr>
        <w:adjustRightInd w:val="0"/>
        <w:snapToGrid w:val="0"/>
        <w:spacing w:line="360" w:lineRule="auto"/>
        <w:ind w:firstLine="420" w:firstLineChars="200"/>
        <w:rPr>
          <w:rFonts w:cs="宋体"/>
          <w:color w:val="auto"/>
          <w:sz w:val="21"/>
          <w:szCs w:val="21"/>
        </w:rPr>
      </w:pPr>
      <w:r>
        <w:rPr>
          <w:rFonts w:hint="eastAsia" w:cs="宋体"/>
          <w:color w:val="auto"/>
          <w:sz w:val="21"/>
          <w:szCs w:val="21"/>
        </w:rPr>
        <w:t>1.1.3 工程和设备</w:t>
      </w:r>
    </w:p>
    <w:p w14:paraId="755436D2">
      <w:pPr>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1.1.3.7 作为施工现场组成部分的其他场所包括：</w:t>
      </w:r>
      <w:r>
        <w:rPr>
          <w:rFonts w:hint="eastAsia" w:ascii="宋体" w:hAnsi="宋体" w:eastAsia="宋体" w:cs="宋体"/>
          <w:color w:val="auto"/>
          <w:sz w:val="21"/>
          <w:szCs w:val="21"/>
          <w:u w:val="single"/>
          <w:lang w:val="en-US" w:eastAsia="zh-CN"/>
        </w:rPr>
        <w:t>现场临时办公和施工场地</w:t>
      </w:r>
      <w:r>
        <w:rPr>
          <w:rFonts w:hint="eastAsia" w:ascii="宋体" w:hAnsi="宋体" w:eastAsia="宋体" w:cs="宋体"/>
          <w:color w:val="auto"/>
          <w:sz w:val="21"/>
          <w:szCs w:val="21"/>
        </w:rPr>
        <w:t>。</w:t>
      </w:r>
    </w:p>
    <w:p w14:paraId="13251FD4">
      <w:pPr>
        <w:keepNext w:val="0"/>
        <w:keepLines w:val="0"/>
        <w:widowControl/>
        <w:suppressLineNumbers w:val="0"/>
        <w:ind w:firstLine="420" w:firstLineChars="200"/>
        <w:jc w:val="left"/>
        <w:rPr>
          <w:rFonts w:hint="eastAsia" w:ascii="宋体" w:hAnsi="宋体" w:eastAsia="宋体" w:cs="宋体"/>
          <w:color w:val="auto"/>
          <w:sz w:val="21"/>
          <w:szCs w:val="21"/>
          <w:u w:val="none"/>
        </w:rPr>
      </w:pPr>
      <w:r>
        <w:rPr>
          <w:rFonts w:hint="eastAsia" w:ascii="宋体" w:hAnsi="宋体" w:eastAsia="宋体" w:cs="宋体"/>
          <w:color w:val="auto"/>
          <w:sz w:val="21"/>
          <w:szCs w:val="21"/>
        </w:rPr>
        <w:t>1.1.3.9 永久占地包括：</w:t>
      </w:r>
      <w:r>
        <w:rPr>
          <w:rFonts w:hint="eastAsia" w:ascii="宋体" w:hAnsi="宋体" w:eastAsia="宋体" w:cs="宋体"/>
          <w:color w:val="000000"/>
          <w:kern w:val="0"/>
          <w:sz w:val="21"/>
          <w:szCs w:val="21"/>
          <w:u w:val="single"/>
          <w:lang w:val="en-US" w:eastAsia="zh-CN" w:bidi="ar"/>
        </w:rPr>
        <w:t>实施工程需永久占用的土地</w:t>
      </w:r>
      <w:r>
        <w:rPr>
          <w:rFonts w:hint="eastAsia" w:ascii="宋体" w:hAnsi="宋体" w:eastAsia="宋体" w:cs="宋体"/>
          <w:color w:val="000000"/>
          <w:kern w:val="0"/>
          <w:sz w:val="21"/>
          <w:szCs w:val="21"/>
          <w:u w:val="none"/>
          <w:lang w:val="en-US" w:eastAsia="zh-CN" w:bidi="ar"/>
        </w:rPr>
        <w:t>。</w:t>
      </w:r>
    </w:p>
    <w:p w14:paraId="68FF90A3">
      <w:pPr>
        <w:keepNext w:val="0"/>
        <w:keepLines w:val="0"/>
        <w:widowControl/>
        <w:suppressLineNumbers w:val="0"/>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1.1.3.10 临时占地包括：</w:t>
      </w:r>
      <w:r>
        <w:rPr>
          <w:rFonts w:hint="eastAsia" w:ascii="宋体" w:hAnsi="宋体" w:eastAsia="宋体" w:cs="宋体"/>
          <w:color w:val="000000"/>
          <w:kern w:val="0"/>
          <w:sz w:val="21"/>
          <w:szCs w:val="21"/>
          <w:u w:val="single"/>
          <w:lang w:val="en-US" w:eastAsia="zh-CN" w:bidi="ar"/>
        </w:rPr>
        <w:t>临时设施、施工便道等临时占用的土地</w:t>
      </w:r>
      <w:r>
        <w:rPr>
          <w:rFonts w:hint="eastAsia" w:ascii="宋体" w:hAnsi="宋体" w:eastAsia="宋体" w:cs="宋体"/>
          <w:color w:val="000000"/>
          <w:kern w:val="0"/>
          <w:sz w:val="21"/>
          <w:szCs w:val="21"/>
          <w:lang w:val="en-US" w:eastAsia="zh-CN" w:bidi="ar"/>
        </w:rPr>
        <w:t>。</w:t>
      </w:r>
    </w:p>
    <w:p w14:paraId="7E5AD7E9">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 xml:space="preserve">1.3 法律 </w:t>
      </w:r>
    </w:p>
    <w:p w14:paraId="75447AFB">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适用于合同的其他规范性文件：</w:t>
      </w:r>
      <w:r>
        <w:rPr>
          <w:rFonts w:hint="eastAsia" w:cs="宋体"/>
          <w:color w:val="auto"/>
          <w:sz w:val="21"/>
          <w:szCs w:val="21"/>
          <w:u w:val="single"/>
        </w:rPr>
        <w:t>《中华人民共和国民法典》、《中华人民共和国建筑法》、《中华人民共和国政府采购法》、《中华人民共和国招标投标法》、《建设工程质量管理条例》、《建设工程安全生产管理条例》等国家及工程所在地现行有效的法律法规和规章</w:t>
      </w:r>
      <w:r>
        <w:rPr>
          <w:rFonts w:hint="eastAsia" w:cs="宋体"/>
          <w:color w:val="auto"/>
          <w:sz w:val="21"/>
          <w:szCs w:val="21"/>
        </w:rPr>
        <w:t>。</w:t>
      </w:r>
    </w:p>
    <w:p w14:paraId="4237E81F">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1.4 标准和规范</w:t>
      </w:r>
    </w:p>
    <w:p w14:paraId="7FB43C48">
      <w:pPr>
        <w:adjustRightInd w:val="0"/>
        <w:snapToGrid w:val="0"/>
        <w:spacing w:line="360" w:lineRule="auto"/>
        <w:ind w:firstLine="420" w:firstLineChars="200"/>
        <w:rPr>
          <w:rFonts w:cs="宋体"/>
          <w:color w:val="auto"/>
          <w:sz w:val="21"/>
          <w:szCs w:val="21"/>
        </w:rPr>
      </w:pPr>
      <w:r>
        <w:rPr>
          <w:rFonts w:hint="eastAsia" w:cs="宋体"/>
          <w:color w:val="auto"/>
          <w:sz w:val="21"/>
          <w:szCs w:val="21"/>
        </w:rPr>
        <w:t>1.4.1 适用于工程的标准规范包括：</w:t>
      </w:r>
      <w:r>
        <w:rPr>
          <w:rFonts w:hint="eastAsia" w:ascii="宋体" w:hAnsi="宋体" w:eastAsia="宋体" w:cs="宋体"/>
          <w:color w:val="000000"/>
          <w:kern w:val="0"/>
          <w:sz w:val="21"/>
          <w:szCs w:val="21"/>
          <w:u w:val="single"/>
          <w:lang w:val="en-US" w:eastAsia="zh-CN" w:bidi="ar"/>
        </w:rPr>
        <w:t>现行国家、行业及安徽省、阜阳市有关验收规范和技术标准</w:t>
      </w:r>
      <w:r>
        <w:rPr>
          <w:rFonts w:hint="eastAsia" w:cs="宋体"/>
          <w:color w:val="auto"/>
          <w:sz w:val="21"/>
          <w:szCs w:val="21"/>
        </w:rPr>
        <w:t>。</w:t>
      </w:r>
    </w:p>
    <w:p w14:paraId="074F458C">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1.4.2 发包人提供国外标准、规范的名称：</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4A58622C">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发包人提供国外标准、规范的份数：</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539406FE">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发包人提供国外标准、规范的时间：</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40923E3B">
      <w:pPr>
        <w:adjustRightInd w:val="0"/>
        <w:snapToGrid w:val="0"/>
        <w:spacing w:line="360" w:lineRule="auto"/>
        <w:ind w:firstLine="420" w:firstLineChars="200"/>
        <w:rPr>
          <w:rFonts w:cs="宋体"/>
          <w:color w:val="auto"/>
          <w:sz w:val="21"/>
          <w:szCs w:val="21"/>
        </w:rPr>
      </w:pPr>
      <w:r>
        <w:rPr>
          <w:rFonts w:hint="eastAsia" w:cs="宋体"/>
          <w:color w:val="auto"/>
          <w:sz w:val="21"/>
          <w:szCs w:val="21"/>
        </w:rPr>
        <w:t>1.4.3 发包人对工程的技术标准和功能要求的特殊要求：</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1F61BAB8">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1.5 合同文件的优先顺序</w:t>
      </w:r>
    </w:p>
    <w:p w14:paraId="2A912F57">
      <w:pPr>
        <w:adjustRightInd w:val="0"/>
        <w:snapToGrid w:val="0"/>
        <w:spacing w:line="360" w:lineRule="auto"/>
        <w:ind w:firstLine="420" w:firstLineChars="200"/>
        <w:rPr>
          <w:rFonts w:cs="宋体"/>
          <w:b/>
          <w:color w:val="auto"/>
          <w:sz w:val="21"/>
          <w:szCs w:val="21"/>
          <w:u w:val="single"/>
        </w:rPr>
      </w:pPr>
      <w:r>
        <w:rPr>
          <w:rFonts w:hint="eastAsia" w:cs="宋体"/>
          <w:color w:val="auto"/>
          <w:sz w:val="21"/>
          <w:szCs w:val="21"/>
        </w:rPr>
        <w:t>合同文件组成及优先顺序为：</w:t>
      </w:r>
      <w:r>
        <w:rPr>
          <w:rFonts w:hint="eastAsia" w:cs="宋体"/>
          <w:color w:val="auto"/>
          <w:sz w:val="21"/>
          <w:szCs w:val="21"/>
          <w:u w:val="single"/>
        </w:rPr>
        <w:t>合同文件组成及优先顺序为：</w:t>
      </w:r>
      <w:r>
        <w:rPr>
          <w:rFonts w:hint="eastAsia" w:ascii="宋体" w:hAnsi="宋体" w:eastAsia="宋体" w:cs="宋体"/>
          <w:color w:val="000000"/>
          <w:kern w:val="0"/>
          <w:sz w:val="21"/>
          <w:szCs w:val="21"/>
          <w:u w:val="single"/>
          <w:lang w:val="en-US" w:eastAsia="zh-CN" w:bidi="ar"/>
        </w:rPr>
        <w:t>（1）合同协议书 （2）成交通知书 （3）磋商文件（答疑、澄清文件等） （4）本合同专用条款 （5）本合同通用条款 （6）标准、规范及有关技术文件 （7）磋商响应文件及附件 （8）已标价工程量清单 （9）其他合同文件</w:t>
      </w:r>
      <w:r>
        <w:rPr>
          <w:rFonts w:hint="eastAsia" w:ascii="宋体" w:hAnsi="宋体" w:eastAsia="宋体" w:cs="宋体"/>
          <w:color w:val="000000"/>
          <w:kern w:val="0"/>
          <w:sz w:val="21"/>
          <w:szCs w:val="21"/>
          <w:lang w:val="en-US" w:eastAsia="zh-CN" w:bidi="ar"/>
        </w:rPr>
        <w:t xml:space="preserve">。 </w:t>
      </w:r>
    </w:p>
    <w:p w14:paraId="4790D6ED">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1.6 图纸和承包人文件</w:t>
      </w:r>
      <w:r>
        <w:rPr>
          <w:rFonts w:hint="eastAsia" w:cs="宋体"/>
          <w:bCs/>
          <w:color w:val="auto"/>
          <w:sz w:val="21"/>
          <w:szCs w:val="21"/>
        </w:rPr>
        <w:tab/>
      </w:r>
    </w:p>
    <w:p w14:paraId="50007576">
      <w:pPr>
        <w:adjustRightInd w:val="0"/>
        <w:snapToGrid w:val="0"/>
        <w:spacing w:line="360" w:lineRule="auto"/>
        <w:ind w:firstLine="420" w:firstLineChars="200"/>
        <w:rPr>
          <w:rFonts w:cs="宋体"/>
          <w:color w:val="auto"/>
          <w:sz w:val="21"/>
          <w:szCs w:val="21"/>
        </w:rPr>
      </w:pPr>
      <w:r>
        <w:rPr>
          <w:rFonts w:hint="eastAsia" w:cs="宋体"/>
          <w:color w:val="auto"/>
          <w:sz w:val="21"/>
          <w:szCs w:val="21"/>
        </w:rPr>
        <w:t>1.6.1 图纸的提供和交底</w:t>
      </w:r>
    </w:p>
    <w:p w14:paraId="0FD5D1FB">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发包人向承包人提供图纸的期限：</w:t>
      </w:r>
      <w:r>
        <w:rPr>
          <w:rFonts w:hint="eastAsia" w:cs="宋体"/>
          <w:color w:val="auto"/>
          <w:sz w:val="21"/>
          <w:szCs w:val="21"/>
          <w:u w:val="single"/>
        </w:rPr>
        <w:t xml:space="preserve">          </w:t>
      </w:r>
      <w:r>
        <w:rPr>
          <w:rFonts w:hint="eastAsia" w:cs="宋体"/>
          <w:color w:val="auto"/>
          <w:sz w:val="21"/>
          <w:szCs w:val="21"/>
        </w:rPr>
        <w:t>；</w:t>
      </w:r>
    </w:p>
    <w:p w14:paraId="4CE0270C">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发包人向承包人提供图纸的数量：</w:t>
      </w:r>
      <w:r>
        <w:rPr>
          <w:rFonts w:hint="eastAsia" w:cs="宋体"/>
          <w:color w:val="auto"/>
          <w:sz w:val="21"/>
          <w:szCs w:val="21"/>
          <w:u w:val="single"/>
        </w:rPr>
        <w:t>提供</w:t>
      </w:r>
      <w:r>
        <w:rPr>
          <w:rFonts w:hint="eastAsia" w:cs="宋体"/>
          <w:color w:val="auto"/>
          <w:sz w:val="21"/>
          <w:szCs w:val="21"/>
          <w:u w:val="single"/>
          <w:lang w:val="en-US" w:eastAsia="zh-CN"/>
        </w:rPr>
        <w:t>4</w:t>
      </w:r>
      <w:r>
        <w:rPr>
          <w:rFonts w:hint="eastAsia" w:cs="宋体"/>
          <w:color w:val="auto"/>
          <w:sz w:val="21"/>
          <w:szCs w:val="21"/>
          <w:u w:val="single"/>
        </w:rPr>
        <w:t>套（含竣工图</w:t>
      </w:r>
      <w:r>
        <w:rPr>
          <w:rFonts w:hint="eastAsia" w:cs="宋体"/>
          <w:color w:val="auto"/>
          <w:sz w:val="21"/>
          <w:szCs w:val="21"/>
          <w:u w:val="single"/>
          <w:lang w:val="en-US" w:eastAsia="zh-CN"/>
        </w:rPr>
        <w:t>4</w:t>
      </w:r>
      <w:r>
        <w:rPr>
          <w:rFonts w:hint="eastAsia" w:cs="宋体"/>
          <w:color w:val="auto"/>
          <w:sz w:val="21"/>
          <w:szCs w:val="21"/>
          <w:u w:val="single"/>
        </w:rPr>
        <w:t>套），不足的由承包人自行复制，费用自理；</w:t>
      </w:r>
    </w:p>
    <w:p w14:paraId="32E48325">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发包人向承包人提供图纸的内容：</w:t>
      </w:r>
      <w:r>
        <w:rPr>
          <w:rFonts w:hint="eastAsia" w:cs="宋体"/>
          <w:color w:val="auto"/>
          <w:sz w:val="21"/>
          <w:szCs w:val="21"/>
          <w:u w:val="single"/>
        </w:rPr>
        <w:t xml:space="preserve">          </w:t>
      </w:r>
      <w:r>
        <w:rPr>
          <w:rFonts w:hint="eastAsia" w:cs="宋体"/>
          <w:color w:val="auto"/>
          <w:sz w:val="21"/>
          <w:szCs w:val="21"/>
        </w:rPr>
        <w:t>。</w:t>
      </w:r>
    </w:p>
    <w:p w14:paraId="108753A8">
      <w:pPr>
        <w:adjustRightInd w:val="0"/>
        <w:snapToGrid w:val="0"/>
        <w:spacing w:line="360" w:lineRule="auto"/>
        <w:ind w:firstLine="420" w:firstLineChars="200"/>
        <w:rPr>
          <w:rFonts w:cs="宋体"/>
          <w:color w:val="auto"/>
          <w:sz w:val="21"/>
          <w:szCs w:val="21"/>
        </w:rPr>
      </w:pPr>
      <w:r>
        <w:rPr>
          <w:rFonts w:hint="eastAsia" w:cs="宋体"/>
          <w:color w:val="auto"/>
          <w:sz w:val="21"/>
          <w:szCs w:val="21"/>
        </w:rPr>
        <w:t>1.6.4 承包人文件</w:t>
      </w:r>
    </w:p>
    <w:p w14:paraId="7748B3E4">
      <w:pPr>
        <w:adjustRightInd w:val="0"/>
        <w:snapToGrid w:val="0"/>
        <w:spacing w:line="360" w:lineRule="auto"/>
        <w:ind w:firstLine="420" w:firstLineChars="200"/>
        <w:rPr>
          <w:rFonts w:cs="宋体"/>
          <w:color w:val="auto"/>
          <w:sz w:val="21"/>
          <w:szCs w:val="21"/>
        </w:rPr>
      </w:pPr>
      <w:r>
        <w:rPr>
          <w:rFonts w:hint="eastAsia" w:cs="宋体"/>
          <w:color w:val="auto"/>
          <w:sz w:val="21"/>
          <w:szCs w:val="21"/>
        </w:rPr>
        <w:t>需要由承包人提供的文件，包括：</w:t>
      </w:r>
      <w:r>
        <w:rPr>
          <w:rFonts w:hint="eastAsia" w:cs="宋体"/>
          <w:color w:val="auto"/>
          <w:sz w:val="21"/>
          <w:szCs w:val="21"/>
          <w:u w:val="single"/>
        </w:rPr>
        <w:t xml:space="preserve">          </w:t>
      </w:r>
      <w:r>
        <w:rPr>
          <w:rFonts w:hint="eastAsia" w:cs="宋体"/>
          <w:color w:val="auto"/>
          <w:sz w:val="21"/>
          <w:szCs w:val="21"/>
        </w:rPr>
        <w:t>；</w:t>
      </w:r>
    </w:p>
    <w:p w14:paraId="662D6A18">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承包人提供的文件的期限为：</w:t>
      </w:r>
      <w:r>
        <w:rPr>
          <w:rFonts w:hint="eastAsia" w:cs="宋体"/>
          <w:color w:val="auto"/>
          <w:sz w:val="21"/>
          <w:szCs w:val="21"/>
          <w:u w:val="single"/>
        </w:rPr>
        <w:t xml:space="preserve">          </w:t>
      </w:r>
      <w:r>
        <w:rPr>
          <w:rFonts w:hint="eastAsia" w:cs="宋体"/>
          <w:color w:val="auto"/>
          <w:sz w:val="21"/>
          <w:szCs w:val="21"/>
        </w:rPr>
        <w:t>；</w:t>
      </w:r>
    </w:p>
    <w:p w14:paraId="43F45C0B">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承包人提供的文件的数量为：</w:t>
      </w:r>
      <w:r>
        <w:rPr>
          <w:rFonts w:hint="eastAsia" w:cs="宋体"/>
          <w:color w:val="auto"/>
          <w:sz w:val="21"/>
          <w:szCs w:val="21"/>
          <w:u w:val="single"/>
        </w:rPr>
        <w:t xml:space="preserve">          </w:t>
      </w:r>
      <w:r>
        <w:rPr>
          <w:rFonts w:hint="eastAsia" w:cs="宋体"/>
          <w:color w:val="auto"/>
          <w:sz w:val="21"/>
          <w:szCs w:val="21"/>
        </w:rPr>
        <w:t>；</w:t>
      </w:r>
    </w:p>
    <w:p w14:paraId="54E039AC">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承包人提供的文件的形式为：</w:t>
      </w:r>
      <w:r>
        <w:rPr>
          <w:rFonts w:hint="eastAsia" w:cs="宋体"/>
          <w:color w:val="auto"/>
          <w:sz w:val="21"/>
          <w:szCs w:val="21"/>
          <w:u w:val="single"/>
        </w:rPr>
        <w:t xml:space="preserve">          </w:t>
      </w:r>
      <w:r>
        <w:rPr>
          <w:rFonts w:hint="eastAsia" w:cs="宋体"/>
          <w:color w:val="auto"/>
          <w:sz w:val="21"/>
          <w:szCs w:val="21"/>
        </w:rPr>
        <w:t>；</w:t>
      </w:r>
    </w:p>
    <w:p w14:paraId="70E6A2B0">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发包人审批承包人文件的期限：</w:t>
      </w:r>
      <w:r>
        <w:rPr>
          <w:rFonts w:hint="eastAsia" w:cs="宋体"/>
          <w:color w:val="auto"/>
          <w:sz w:val="21"/>
          <w:szCs w:val="21"/>
          <w:u w:val="single"/>
        </w:rPr>
        <w:t xml:space="preserve">          </w:t>
      </w:r>
      <w:r>
        <w:rPr>
          <w:rFonts w:hint="eastAsia" w:cs="宋体"/>
          <w:color w:val="auto"/>
          <w:sz w:val="21"/>
          <w:szCs w:val="21"/>
        </w:rPr>
        <w:t>。</w:t>
      </w:r>
    </w:p>
    <w:p w14:paraId="3D7F23C0">
      <w:pPr>
        <w:adjustRightInd w:val="0"/>
        <w:snapToGrid w:val="0"/>
        <w:spacing w:line="360" w:lineRule="auto"/>
        <w:ind w:firstLine="420" w:firstLineChars="200"/>
        <w:rPr>
          <w:rFonts w:cs="宋体"/>
          <w:color w:val="auto"/>
          <w:sz w:val="21"/>
          <w:szCs w:val="21"/>
        </w:rPr>
      </w:pPr>
      <w:r>
        <w:rPr>
          <w:rFonts w:hint="eastAsia" w:cs="宋体"/>
          <w:color w:val="auto"/>
          <w:sz w:val="21"/>
          <w:szCs w:val="21"/>
        </w:rPr>
        <w:t>1.6.5 图纸和承包人文件的保管</w:t>
      </w:r>
    </w:p>
    <w:p w14:paraId="1FF83221">
      <w:pPr>
        <w:adjustRightInd w:val="0"/>
        <w:snapToGrid w:val="0"/>
        <w:spacing w:line="360" w:lineRule="auto"/>
        <w:ind w:firstLine="420" w:firstLineChars="200"/>
        <w:rPr>
          <w:rFonts w:cs="宋体"/>
          <w:color w:val="auto"/>
          <w:sz w:val="21"/>
          <w:szCs w:val="21"/>
        </w:rPr>
      </w:pPr>
      <w:r>
        <w:rPr>
          <w:rFonts w:hint="eastAsia" w:cs="宋体"/>
          <w:color w:val="auto"/>
          <w:sz w:val="21"/>
          <w:szCs w:val="21"/>
        </w:rPr>
        <w:t>关于图纸和承包人文件保管的约定：</w:t>
      </w:r>
      <w:r>
        <w:rPr>
          <w:rFonts w:hint="eastAsia" w:cs="宋体"/>
          <w:color w:val="auto"/>
          <w:sz w:val="21"/>
          <w:szCs w:val="21"/>
          <w:u w:val="single"/>
        </w:rPr>
        <w:t xml:space="preserve">          </w:t>
      </w:r>
      <w:r>
        <w:rPr>
          <w:rFonts w:hint="eastAsia" w:cs="宋体"/>
          <w:color w:val="auto"/>
          <w:sz w:val="21"/>
          <w:szCs w:val="21"/>
        </w:rPr>
        <w:t>。</w:t>
      </w:r>
    </w:p>
    <w:p w14:paraId="01F130D2">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1.7 联络</w:t>
      </w:r>
    </w:p>
    <w:p w14:paraId="679216F3">
      <w:pPr>
        <w:adjustRightInd w:val="0"/>
        <w:snapToGrid w:val="0"/>
        <w:spacing w:line="360" w:lineRule="auto"/>
        <w:ind w:firstLine="420" w:firstLineChars="200"/>
        <w:rPr>
          <w:rFonts w:cs="宋体"/>
          <w:color w:val="auto"/>
          <w:sz w:val="21"/>
          <w:szCs w:val="21"/>
        </w:rPr>
      </w:pPr>
      <w:r>
        <w:rPr>
          <w:rFonts w:hint="eastAsia" w:cs="宋体"/>
          <w:color w:val="auto"/>
          <w:sz w:val="21"/>
          <w:szCs w:val="21"/>
        </w:rPr>
        <w:t>1.7.1 发包人和承包人应当在</w:t>
      </w:r>
      <w:r>
        <w:rPr>
          <w:rFonts w:hint="eastAsia" w:cs="宋体"/>
          <w:color w:val="auto"/>
          <w:sz w:val="21"/>
          <w:szCs w:val="21"/>
          <w:u w:val="single"/>
        </w:rPr>
        <w:t>7</w:t>
      </w:r>
      <w:r>
        <w:rPr>
          <w:rFonts w:hint="eastAsia" w:cs="宋体"/>
          <w:color w:val="auto"/>
          <w:sz w:val="21"/>
          <w:szCs w:val="21"/>
        </w:rPr>
        <w:t>天内将与合同有关的通知、批准、证明、证书、指示、指令、要求、请求、同意、意见、确定和决定等书面函件送达对方当事人。</w:t>
      </w:r>
    </w:p>
    <w:p w14:paraId="64DEB676">
      <w:pPr>
        <w:adjustRightInd w:val="0"/>
        <w:snapToGrid w:val="0"/>
        <w:spacing w:line="360" w:lineRule="auto"/>
        <w:ind w:firstLine="420" w:firstLineChars="200"/>
        <w:rPr>
          <w:rFonts w:cs="宋体"/>
          <w:color w:val="auto"/>
          <w:sz w:val="21"/>
          <w:szCs w:val="21"/>
        </w:rPr>
      </w:pPr>
      <w:r>
        <w:rPr>
          <w:rFonts w:hint="eastAsia" w:cs="宋体"/>
          <w:color w:val="auto"/>
          <w:sz w:val="21"/>
          <w:szCs w:val="21"/>
        </w:rPr>
        <w:t>1.7.2 发包人接收文件的地点：</w:t>
      </w:r>
      <w:r>
        <w:rPr>
          <w:rFonts w:hint="eastAsia" w:cs="宋体"/>
          <w:color w:val="auto"/>
          <w:sz w:val="21"/>
          <w:szCs w:val="21"/>
          <w:u w:val="single"/>
        </w:rPr>
        <w:t xml:space="preserve">          </w:t>
      </w:r>
      <w:r>
        <w:rPr>
          <w:rFonts w:hint="eastAsia" w:cs="宋体"/>
          <w:color w:val="auto"/>
          <w:sz w:val="21"/>
          <w:szCs w:val="21"/>
        </w:rPr>
        <w:t>；</w:t>
      </w:r>
    </w:p>
    <w:p w14:paraId="0B729460">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发包人指定的接收人为：</w:t>
      </w:r>
      <w:r>
        <w:rPr>
          <w:rFonts w:hint="eastAsia" w:cs="宋体"/>
          <w:color w:val="auto"/>
          <w:sz w:val="21"/>
          <w:szCs w:val="21"/>
          <w:u w:val="single"/>
        </w:rPr>
        <w:t xml:space="preserve">          </w:t>
      </w:r>
      <w:r>
        <w:rPr>
          <w:rFonts w:hint="eastAsia" w:cs="宋体"/>
          <w:color w:val="auto"/>
          <w:sz w:val="21"/>
          <w:szCs w:val="21"/>
        </w:rPr>
        <w:t>。</w:t>
      </w:r>
    </w:p>
    <w:p w14:paraId="1B528FC6">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承包人接收文件的地点：</w:t>
      </w:r>
      <w:r>
        <w:rPr>
          <w:rFonts w:hint="eastAsia" w:cs="宋体"/>
          <w:color w:val="auto"/>
          <w:sz w:val="21"/>
          <w:szCs w:val="21"/>
          <w:u w:val="single"/>
        </w:rPr>
        <w:t xml:space="preserve">          </w:t>
      </w:r>
      <w:r>
        <w:rPr>
          <w:rFonts w:hint="eastAsia" w:cs="宋体"/>
          <w:color w:val="auto"/>
          <w:sz w:val="21"/>
          <w:szCs w:val="21"/>
        </w:rPr>
        <w:t>；</w:t>
      </w:r>
    </w:p>
    <w:p w14:paraId="15957A47">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承包人指定的接收人为：</w:t>
      </w:r>
      <w:r>
        <w:rPr>
          <w:rFonts w:hint="eastAsia" w:cs="宋体"/>
          <w:color w:val="auto"/>
          <w:sz w:val="21"/>
          <w:szCs w:val="21"/>
          <w:u w:val="single"/>
        </w:rPr>
        <w:t xml:space="preserve">          </w:t>
      </w:r>
      <w:r>
        <w:rPr>
          <w:rFonts w:hint="eastAsia" w:cs="宋体"/>
          <w:color w:val="auto"/>
          <w:sz w:val="21"/>
          <w:szCs w:val="21"/>
        </w:rPr>
        <w:t>。</w:t>
      </w:r>
    </w:p>
    <w:p w14:paraId="443C08EC">
      <w:pPr>
        <w:adjustRightInd w:val="0"/>
        <w:snapToGrid w:val="0"/>
        <w:spacing w:line="360" w:lineRule="auto"/>
        <w:ind w:firstLine="420" w:firstLineChars="200"/>
        <w:rPr>
          <w:rFonts w:cs="宋体"/>
          <w:color w:val="auto"/>
          <w:sz w:val="21"/>
          <w:szCs w:val="21"/>
        </w:rPr>
      </w:pPr>
      <w:r>
        <w:rPr>
          <w:rFonts w:hint="eastAsia" w:cs="宋体"/>
          <w:color w:val="auto"/>
          <w:sz w:val="21"/>
          <w:szCs w:val="21"/>
        </w:rPr>
        <w:t>监理人接收文件的地点：</w:t>
      </w:r>
      <w:r>
        <w:rPr>
          <w:rFonts w:hint="eastAsia" w:cs="宋体"/>
          <w:color w:val="auto"/>
          <w:sz w:val="21"/>
          <w:szCs w:val="21"/>
          <w:u w:val="single"/>
        </w:rPr>
        <w:t xml:space="preserve">          </w:t>
      </w:r>
      <w:r>
        <w:rPr>
          <w:rFonts w:hint="eastAsia" w:cs="宋体"/>
          <w:color w:val="auto"/>
          <w:sz w:val="21"/>
          <w:szCs w:val="21"/>
        </w:rPr>
        <w:t>；</w:t>
      </w:r>
    </w:p>
    <w:p w14:paraId="0B608B1F">
      <w:pPr>
        <w:adjustRightInd w:val="0"/>
        <w:snapToGrid w:val="0"/>
        <w:spacing w:line="360" w:lineRule="auto"/>
        <w:ind w:firstLine="420" w:firstLineChars="200"/>
        <w:rPr>
          <w:rFonts w:cs="宋体"/>
          <w:color w:val="auto"/>
          <w:sz w:val="21"/>
          <w:szCs w:val="21"/>
        </w:rPr>
      </w:pPr>
      <w:r>
        <w:rPr>
          <w:rFonts w:hint="eastAsia" w:cs="宋体"/>
          <w:color w:val="auto"/>
          <w:sz w:val="21"/>
          <w:szCs w:val="21"/>
        </w:rPr>
        <w:t>监理人指定的接收人为：</w:t>
      </w:r>
      <w:r>
        <w:rPr>
          <w:rFonts w:hint="eastAsia" w:cs="宋体"/>
          <w:color w:val="auto"/>
          <w:sz w:val="21"/>
          <w:szCs w:val="21"/>
          <w:u w:val="single"/>
        </w:rPr>
        <w:t xml:space="preserve">          </w:t>
      </w:r>
      <w:r>
        <w:rPr>
          <w:rFonts w:hint="eastAsia" w:cs="宋体"/>
          <w:color w:val="auto"/>
          <w:sz w:val="21"/>
          <w:szCs w:val="21"/>
        </w:rPr>
        <w:t>。</w:t>
      </w:r>
    </w:p>
    <w:p w14:paraId="0BE7B432">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1.10 交通运输</w:t>
      </w:r>
    </w:p>
    <w:p w14:paraId="55599808">
      <w:pPr>
        <w:adjustRightInd w:val="0"/>
        <w:snapToGrid w:val="0"/>
        <w:spacing w:line="360" w:lineRule="auto"/>
        <w:ind w:firstLine="420" w:firstLineChars="200"/>
        <w:rPr>
          <w:rFonts w:cs="宋体"/>
          <w:color w:val="auto"/>
          <w:sz w:val="21"/>
          <w:szCs w:val="21"/>
        </w:rPr>
      </w:pPr>
      <w:r>
        <w:rPr>
          <w:rFonts w:hint="eastAsia" w:cs="宋体"/>
          <w:color w:val="auto"/>
          <w:sz w:val="21"/>
          <w:szCs w:val="21"/>
        </w:rPr>
        <w:t>1</w:t>
      </w:r>
      <w:bookmarkStart w:id="87" w:name="_Toc304295521"/>
      <w:bookmarkStart w:id="88" w:name="_Toc318581155"/>
      <w:bookmarkStart w:id="89" w:name="_Toc312677986"/>
      <w:bookmarkStart w:id="90" w:name="_Toc303539100"/>
      <w:bookmarkStart w:id="91" w:name="_Toc300934943"/>
      <w:r>
        <w:rPr>
          <w:rFonts w:hint="eastAsia" w:cs="宋体"/>
          <w:color w:val="auto"/>
          <w:sz w:val="21"/>
          <w:szCs w:val="21"/>
        </w:rPr>
        <w:t>.10.1 出入现场的权利</w:t>
      </w:r>
    </w:p>
    <w:p w14:paraId="5BC6A51F">
      <w:pPr>
        <w:keepNext w:val="0"/>
        <w:keepLines w:val="0"/>
        <w:widowControl/>
        <w:suppressLineNumbers w:val="0"/>
        <w:ind w:firstLine="420" w:firstLineChars="200"/>
        <w:jc w:val="left"/>
        <w:rPr>
          <w:u w:val="single"/>
        </w:rPr>
      </w:pPr>
      <w:r>
        <w:rPr>
          <w:rFonts w:hint="eastAsia" w:cs="宋体"/>
          <w:color w:val="auto"/>
          <w:sz w:val="21"/>
          <w:szCs w:val="21"/>
        </w:rPr>
        <w:t>关于出入现场的权利的约定：</w:t>
      </w:r>
      <w:r>
        <w:rPr>
          <w:rFonts w:hint="eastAsia" w:ascii="宋体" w:hAnsi="宋体" w:eastAsia="宋体" w:cs="宋体"/>
          <w:color w:val="000000"/>
          <w:kern w:val="0"/>
          <w:sz w:val="21"/>
          <w:szCs w:val="21"/>
          <w:u w:val="single"/>
          <w:lang w:val="en-US" w:eastAsia="zh-CN" w:bidi="ar"/>
        </w:rPr>
        <w:t xml:space="preserve">发包人协助承包人取得出入施工现场所需要的批准手续和全部权利。投标前，承包人已通过现场踏勘或其他方式充分了解出入现场的场外公共交通条 </w:t>
      </w:r>
    </w:p>
    <w:p w14:paraId="462AE8BB">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件，合理预见工程所需采取的运输方式以及对运输费用的影响，由此产生的需费用和时间 </w:t>
      </w:r>
    </w:p>
    <w:p w14:paraId="60AEA097">
      <w:pPr>
        <w:keepNext w:val="0"/>
        <w:keepLines w:val="0"/>
        <w:widowControl/>
        <w:suppressLineNumbers w:val="0"/>
        <w:jc w:val="left"/>
        <w:rPr>
          <w:rFonts w:cs="宋体"/>
          <w:color w:val="auto"/>
          <w:sz w:val="21"/>
          <w:szCs w:val="21"/>
          <w:u w:val="single"/>
        </w:rPr>
      </w:pPr>
      <w:r>
        <w:rPr>
          <w:rFonts w:hint="eastAsia" w:ascii="宋体" w:hAnsi="宋体" w:eastAsia="宋体" w:cs="宋体"/>
          <w:color w:val="000000"/>
          <w:kern w:val="0"/>
          <w:sz w:val="21"/>
          <w:szCs w:val="21"/>
          <w:u w:val="single"/>
          <w:lang w:val="en-US" w:eastAsia="zh-CN" w:bidi="ar"/>
        </w:rPr>
        <w:t>由承包人承担</w:t>
      </w:r>
      <w:r>
        <w:rPr>
          <w:rFonts w:hint="eastAsia" w:cs="宋体"/>
          <w:color w:val="auto"/>
          <w:sz w:val="21"/>
          <w:szCs w:val="21"/>
        </w:rPr>
        <w:t>。</w:t>
      </w:r>
    </w:p>
    <w:bookmarkEnd w:id="87"/>
    <w:bookmarkEnd w:id="88"/>
    <w:bookmarkEnd w:id="89"/>
    <w:bookmarkEnd w:id="90"/>
    <w:bookmarkEnd w:id="91"/>
    <w:p w14:paraId="43B49621">
      <w:pPr>
        <w:adjustRightInd w:val="0"/>
        <w:snapToGrid w:val="0"/>
        <w:spacing w:line="360" w:lineRule="auto"/>
        <w:ind w:firstLine="420" w:firstLineChars="200"/>
        <w:rPr>
          <w:rFonts w:cs="宋体"/>
          <w:color w:val="auto"/>
          <w:sz w:val="21"/>
          <w:szCs w:val="21"/>
        </w:rPr>
      </w:pPr>
      <w:r>
        <w:rPr>
          <w:rFonts w:hint="eastAsia" w:cs="宋体"/>
          <w:color w:val="auto"/>
          <w:sz w:val="21"/>
          <w:szCs w:val="21"/>
        </w:rPr>
        <w:t>1</w:t>
      </w:r>
      <w:bookmarkStart w:id="92" w:name="_Toc300934944"/>
      <w:bookmarkStart w:id="93" w:name="_Toc318581156"/>
      <w:bookmarkStart w:id="94" w:name="_Toc303539101"/>
      <w:bookmarkStart w:id="95" w:name="_Toc312677987"/>
      <w:bookmarkStart w:id="96" w:name="_Toc304295522"/>
      <w:r>
        <w:rPr>
          <w:rFonts w:hint="eastAsia" w:cs="宋体"/>
          <w:color w:val="auto"/>
          <w:sz w:val="21"/>
          <w:szCs w:val="21"/>
        </w:rPr>
        <w:t>.10.3 场内交通</w:t>
      </w:r>
    </w:p>
    <w:p w14:paraId="2C1FBCBD">
      <w:pPr>
        <w:keepNext w:val="0"/>
        <w:keepLines w:val="0"/>
        <w:widowControl/>
        <w:suppressLineNumbers w:val="0"/>
        <w:ind w:firstLine="420" w:firstLineChars="200"/>
        <w:jc w:val="left"/>
        <w:rPr>
          <w:rFonts w:cs="宋体"/>
          <w:color w:val="auto"/>
          <w:sz w:val="21"/>
          <w:szCs w:val="21"/>
          <w:u w:val="single"/>
        </w:rPr>
      </w:pPr>
      <w:r>
        <w:rPr>
          <w:rFonts w:hint="eastAsia" w:cs="宋体"/>
          <w:color w:val="auto"/>
          <w:sz w:val="21"/>
          <w:szCs w:val="21"/>
        </w:rPr>
        <w:t>关于场外交通和场内交通的边界的约定：</w:t>
      </w:r>
      <w:r>
        <w:rPr>
          <w:rFonts w:hint="eastAsia" w:ascii="宋体" w:hAnsi="宋体" w:eastAsia="宋体" w:cs="宋体"/>
          <w:color w:val="000000"/>
          <w:kern w:val="0"/>
          <w:sz w:val="21"/>
          <w:szCs w:val="21"/>
          <w:u w:val="single"/>
          <w:lang w:val="en-US" w:eastAsia="zh-CN" w:bidi="ar"/>
        </w:rPr>
        <w:t>场内交通边界为拟建筑物建设用地规划红线范围为准，其他为场外交通</w:t>
      </w:r>
      <w:r>
        <w:rPr>
          <w:rFonts w:hint="eastAsia" w:cs="宋体"/>
          <w:color w:val="auto"/>
          <w:sz w:val="21"/>
          <w:szCs w:val="21"/>
        </w:rPr>
        <w:t>。</w:t>
      </w:r>
    </w:p>
    <w:p w14:paraId="0E84A9B1">
      <w:pPr>
        <w:keepNext w:val="0"/>
        <w:keepLines w:val="0"/>
        <w:widowControl/>
        <w:suppressLineNumbers w:val="0"/>
        <w:ind w:firstLine="420" w:firstLineChars="200"/>
        <w:jc w:val="left"/>
        <w:rPr>
          <w:rFonts w:hint="eastAsia" w:cs="宋体"/>
          <w:color w:val="auto"/>
          <w:sz w:val="21"/>
          <w:szCs w:val="21"/>
        </w:rPr>
      </w:pPr>
      <w:r>
        <w:rPr>
          <w:rFonts w:hint="eastAsia" w:cs="宋体"/>
          <w:color w:val="auto"/>
          <w:sz w:val="21"/>
          <w:szCs w:val="21"/>
        </w:rPr>
        <w:t>关于发包人向承包人免费提供满足工程施工需要的场内道路和交通设施的约定：</w:t>
      </w:r>
      <w:r>
        <w:rPr>
          <w:rFonts w:hint="eastAsia" w:ascii="宋体" w:hAnsi="宋体" w:eastAsia="宋体" w:cs="宋体"/>
          <w:color w:val="000000"/>
          <w:kern w:val="0"/>
          <w:sz w:val="21"/>
          <w:szCs w:val="21"/>
          <w:u w:val="single"/>
          <w:lang w:val="en-US" w:eastAsia="zh-CN" w:bidi="ar"/>
        </w:rPr>
        <w:t>承包人应负责修建、维修、养护和管理施工所需的临时道路和交通设施，包括维修、养护和管理发包人提供的道路和交通设施，并承担相应费用。投标前，承包人已通过现场踏勘或其他方式充分了解施工现场内交通设施和具体条件，并合理预估完善场内道路和交通设施的费用和时间，以及可能对工期产生的影响。由此产生的费用和时间由承包人承担</w:t>
      </w:r>
      <w:r>
        <w:rPr>
          <w:rFonts w:hint="eastAsia" w:cs="宋体"/>
          <w:color w:val="auto"/>
          <w:sz w:val="21"/>
          <w:szCs w:val="21"/>
        </w:rPr>
        <w:t>。</w:t>
      </w:r>
      <w:bookmarkEnd w:id="92"/>
      <w:bookmarkEnd w:id="93"/>
      <w:bookmarkEnd w:id="94"/>
      <w:bookmarkEnd w:id="95"/>
      <w:bookmarkEnd w:id="96"/>
      <w:bookmarkStart w:id="97" w:name="_Toc318581157"/>
    </w:p>
    <w:p w14:paraId="78E781DC">
      <w:pPr>
        <w:keepNext w:val="0"/>
        <w:keepLines w:val="0"/>
        <w:widowControl/>
        <w:suppressLineNumbers w:val="0"/>
        <w:ind w:firstLine="210" w:firstLineChars="100"/>
        <w:jc w:val="left"/>
      </w:pPr>
      <w:r>
        <w:rPr>
          <w:rFonts w:hint="eastAsia" w:ascii="宋体" w:hAnsi="宋体" w:eastAsia="宋体" w:cs="宋体"/>
          <w:color w:val="000000"/>
          <w:kern w:val="0"/>
          <w:sz w:val="21"/>
          <w:szCs w:val="21"/>
          <w:lang w:val="en-US" w:eastAsia="zh-CN" w:bidi="ar"/>
        </w:rPr>
        <w:t>承包人修建的临时道路和交通设施应免费提供发包人和监理人为实现合同目的使用</w:t>
      </w:r>
    </w:p>
    <w:p w14:paraId="2589ADF7">
      <w:pPr>
        <w:adjustRightInd w:val="0"/>
        <w:snapToGrid w:val="0"/>
        <w:spacing w:line="360" w:lineRule="auto"/>
        <w:ind w:firstLine="420" w:firstLineChars="200"/>
        <w:rPr>
          <w:rFonts w:cs="宋体"/>
          <w:color w:val="auto"/>
          <w:sz w:val="21"/>
          <w:szCs w:val="21"/>
        </w:rPr>
      </w:pPr>
      <w:r>
        <w:rPr>
          <w:rFonts w:hint="eastAsia" w:cs="宋体"/>
          <w:color w:val="auto"/>
          <w:sz w:val="21"/>
          <w:szCs w:val="21"/>
        </w:rPr>
        <w:t>1.10.4 超大件和超重件的运输</w:t>
      </w:r>
    </w:p>
    <w:p w14:paraId="266CCC05">
      <w:pPr>
        <w:adjustRightInd w:val="0"/>
        <w:snapToGrid w:val="0"/>
        <w:spacing w:line="360" w:lineRule="auto"/>
        <w:ind w:firstLine="420" w:firstLineChars="200"/>
        <w:rPr>
          <w:rFonts w:cs="宋体"/>
          <w:color w:val="auto"/>
          <w:sz w:val="21"/>
          <w:szCs w:val="21"/>
        </w:rPr>
      </w:pPr>
      <w:r>
        <w:rPr>
          <w:rFonts w:hint="eastAsia" w:cs="宋体"/>
          <w:color w:val="auto"/>
          <w:sz w:val="21"/>
          <w:szCs w:val="21"/>
        </w:rPr>
        <w:t>运输超大件或超重件所需的道路和桥梁临时加固改造费用和其他有关费用由</w:t>
      </w:r>
      <w:r>
        <w:rPr>
          <w:rFonts w:hint="eastAsia" w:cs="宋体"/>
          <w:color w:val="auto"/>
          <w:sz w:val="21"/>
          <w:szCs w:val="21"/>
          <w:u w:val="single"/>
          <w:lang w:val="en-US" w:eastAsia="zh-CN"/>
        </w:rPr>
        <w:t>承包人</w:t>
      </w:r>
      <w:r>
        <w:rPr>
          <w:rFonts w:hint="eastAsia" w:cs="宋体"/>
          <w:color w:val="auto"/>
          <w:sz w:val="21"/>
          <w:szCs w:val="21"/>
        </w:rPr>
        <w:t>承担。</w:t>
      </w:r>
    </w:p>
    <w:bookmarkEnd w:id="97"/>
    <w:p w14:paraId="1EBB7E23">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1.11 知识产权</w:t>
      </w:r>
    </w:p>
    <w:p w14:paraId="34FEFCDA">
      <w:pPr>
        <w:adjustRightInd w:val="0"/>
        <w:snapToGrid w:val="0"/>
        <w:spacing w:line="360" w:lineRule="auto"/>
        <w:ind w:firstLine="420" w:firstLineChars="200"/>
        <w:rPr>
          <w:rFonts w:cs="宋体"/>
          <w:color w:val="auto"/>
          <w:sz w:val="21"/>
          <w:szCs w:val="21"/>
        </w:rPr>
      </w:pPr>
      <w:r>
        <w:rPr>
          <w:rFonts w:hint="eastAsia" w:cs="宋体"/>
          <w:color w:val="auto"/>
          <w:sz w:val="21"/>
          <w:szCs w:val="21"/>
        </w:rPr>
        <w:t>1.11.1 关于发包人提供给承包人的图纸、发包人为实施工程自行编制或委托编制的技术规范以及反映发包人关于合同要求或其他类似性质的文件的著作权的归属：</w:t>
      </w:r>
      <w:r>
        <w:rPr>
          <w:rFonts w:hint="eastAsia" w:cs="宋体"/>
          <w:color w:val="auto"/>
          <w:sz w:val="21"/>
          <w:szCs w:val="21"/>
          <w:u w:val="single"/>
          <w:lang w:val="en-US" w:eastAsia="zh-CN"/>
        </w:rPr>
        <w:t>属于发包人</w:t>
      </w:r>
      <w:r>
        <w:rPr>
          <w:rFonts w:hint="eastAsia" w:cs="宋体"/>
          <w:color w:val="auto"/>
          <w:sz w:val="21"/>
          <w:szCs w:val="21"/>
        </w:rPr>
        <w:t>。</w:t>
      </w:r>
    </w:p>
    <w:p w14:paraId="5600709E">
      <w:pPr>
        <w:adjustRightInd w:val="0"/>
        <w:snapToGrid w:val="0"/>
        <w:spacing w:line="360" w:lineRule="auto"/>
        <w:ind w:firstLine="420" w:firstLineChars="200"/>
        <w:rPr>
          <w:rFonts w:cs="宋体"/>
          <w:color w:val="auto"/>
          <w:sz w:val="21"/>
          <w:szCs w:val="21"/>
        </w:rPr>
      </w:pPr>
      <w:r>
        <w:rPr>
          <w:rFonts w:hint="eastAsia" w:cs="宋体"/>
          <w:color w:val="auto"/>
          <w:sz w:val="21"/>
          <w:szCs w:val="21"/>
        </w:rPr>
        <w:t>关于发包人提供的上述文件的使用限制的要求：</w:t>
      </w:r>
      <w:r>
        <w:rPr>
          <w:rFonts w:hint="eastAsia" w:ascii="宋体" w:hAnsi="宋体" w:eastAsia="宋体" w:cs="宋体"/>
          <w:color w:val="auto"/>
          <w:sz w:val="21"/>
          <w:szCs w:val="21"/>
          <w:u w:val="single"/>
          <w:lang w:val="en-US" w:eastAsia="zh-CN"/>
        </w:rPr>
        <w:t>执行通用条款</w:t>
      </w:r>
      <w:r>
        <w:rPr>
          <w:rFonts w:hint="eastAsia" w:cs="宋体"/>
          <w:color w:val="auto"/>
          <w:sz w:val="21"/>
          <w:szCs w:val="21"/>
        </w:rPr>
        <w:t>。</w:t>
      </w:r>
    </w:p>
    <w:p w14:paraId="12A1C5F7">
      <w:pPr>
        <w:adjustRightInd w:val="0"/>
        <w:snapToGrid w:val="0"/>
        <w:spacing w:line="360" w:lineRule="auto"/>
        <w:ind w:firstLine="420" w:firstLineChars="200"/>
        <w:rPr>
          <w:rFonts w:cs="宋体"/>
          <w:color w:val="auto"/>
          <w:sz w:val="21"/>
          <w:szCs w:val="21"/>
        </w:rPr>
      </w:pPr>
      <w:r>
        <w:rPr>
          <w:rFonts w:hint="eastAsia" w:cs="宋体"/>
          <w:color w:val="auto"/>
          <w:sz w:val="21"/>
          <w:szCs w:val="21"/>
        </w:rPr>
        <w:t>1.11.2 关于承包人为实施工程所编制文件的著作权的归属：</w:t>
      </w:r>
      <w:r>
        <w:rPr>
          <w:rFonts w:hint="eastAsia" w:ascii="宋体" w:hAnsi="宋体" w:eastAsia="宋体" w:cs="宋体"/>
          <w:color w:val="auto"/>
          <w:sz w:val="21"/>
          <w:szCs w:val="21"/>
          <w:u w:val="single"/>
          <w:lang w:val="en-US" w:eastAsia="zh-CN"/>
        </w:rPr>
        <w:t>执行通用条款</w:t>
      </w:r>
      <w:r>
        <w:rPr>
          <w:rFonts w:hint="eastAsia" w:cs="宋体"/>
          <w:color w:val="auto"/>
          <w:sz w:val="21"/>
          <w:szCs w:val="21"/>
        </w:rPr>
        <w:t>。</w:t>
      </w:r>
    </w:p>
    <w:p w14:paraId="170E936B">
      <w:pPr>
        <w:adjustRightInd w:val="0"/>
        <w:snapToGrid w:val="0"/>
        <w:spacing w:line="360" w:lineRule="auto"/>
        <w:ind w:firstLine="420" w:firstLineChars="200"/>
        <w:rPr>
          <w:rFonts w:cs="宋体"/>
          <w:color w:val="auto"/>
          <w:sz w:val="21"/>
          <w:szCs w:val="21"/>
        </w:rPr>
      </w:pPr>
      <w:r>
        <w:rPr>
          <w:rFonts w:hint="eastAsia" w:cs="宋体"/>
          <w:color w:val="auto"/>
          <w:sz w:val="21"/>
          <w:szCs w:val="21"/>
        </w:rPr>
        <w:t>关于承包人提供的上述文件的使用限制的要求：</w:t>
      </w:r>
      <w:r>
        <w:rPr>
          <w:rFonts w:hint="eastAsia" w:ascii="宋体" w:hAnsi="宋体" w:eastAsia="宋体" w:cs="宋体"/>
          <w:color w:val="auto"/>
          <w:sz w:val="21"/>
          <w:szCs w:val="21"/>
          <w:u w:val="single"/>
          <w:lang w:val="en-US" w:eastAsia="zh-CN"/>
        </w:rPr>
        <w:t>执行通用条款</w:t>
      </w:r>
      <w:r>
        <w:rPr>
          <w:rFonts w:hint="eastAsia" w:cs="宋体"/>
          <w:color w:val="auto"/>
          <w:sz w:val="21"/>
          <w:szCs w:val="21"/>
        </w:rPr>
        <w:t>。</w:t>
      </w:r>
    </w:p>
    <w:p w14:paraId="3190DE4F">
      <w:pPr>
        <w:adjustRightInd w:val="0"/>
        <w:snapToGrid w:val="0"/>
        <w:spacing w:line="360" w:lineRule="auto"/>
        <w:ind w:firstLine="420" w:firstLineChars="200"/>
        <w:rPr>
          <w:rFonts w:cs="宋体"/>
          <w:color w:val="auto"/>
          <w:sz w:val="21"/>
          <w:szCs w:val="21"/>
        </w:rPr>
      </w:pPr>
      <w:r>
        <w:rPr>
          <w:rFonts w:hint="eastAsia" w:cs="宋体"/>
          <w:color w:val="auto"/>
          <w:sz w:val="21"/>
          <w:szCs w:val="21"/>
        </w:rPr>
        <w:t>1.11.4 承包人在施工过程中所采用的专利、专有技术、技术秘密的使用费的承担方式：</w:t>
      </w:r>
      <w:r>
        <w:rPr>
          <w:rFonts w:hint="eastAsia" w:ascii="宋体" w:hAnsi="宋体" w:eastAsia="宋体" w:cs="宋体"/>
          <w:color w:val="auto"/>
          <w:sz w:val="21"/>
          <w:szCs w:val="21"/>
          <w:u w:val="single"/>
          <w:lang w:val="en-US" w:eastAsia="zh-CN"/>
        </w:rPr>
        <w:t>执行通用条款</w:t>
      </w:r>
      <w:r>
        <w:rPr>
          <w:rFonts w:hint="eastAsia" w:cs="宋体"/>
          <w:color w:val="auto"/>
          <w:sz w:val="21"/>
          <w:szCs w:val="21"/>
          <w:u w:val="single"/>
        </w:rPr>
        <w:t xml:space="preserve"> </w:t>
      </w:r>
      <w:r>
        <w:rPr>
          <w:rFonts w:hint="eastAsia" w:cs="宋体"/>
          <w:color w:val="auto"/>
          <w:sz w:val="21"/>
          <w:szCs w:val="21"/>
        </w:rPr>
        <w:t>。</w:t>
      </w:r>
    </w:p>
    <w:p w14:paraId="17B7E6A2">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1.13 工程量清单错误的修正</w:t>
      </w:r>
    </w:p>
    <w:p w14:paraId="6DB64266">
      <w:pPr>
        <w:adjustRightInd w:val="0"/>
        <w:snapToGrid w:val="0"/>
        <w:spacing w:line="360" w:lineRule="auto"/>
        <w:ind w:firstLine="420" w:firstLineChars="200"/>
        <w:rPr>
          <w:rFonts w:hint="eastAsia" w:cs="宋体"/>
          <w:b/>
          <w:bCs/>
          <w:i/>
          <w:iCs/>
          <w:color w:val="auto"/>
          <w:kern w:val="2"/>
          <w:sz w:val="21"/>
          <w:szCs w:val="21"/>
        </w:rPr>
      </w:pPr>
      <w:r>
        <w:rPr>
          <w:rFonts w:hint="eastAsia" w:cs="宋体"/>
          <w:color w:val="auto"/>
          <w:sz w:val="21"/>
          <w:szCs w:val="21"/>
        </w:rPr>
        <w:t>出现工程量清单错误时，是否调整合同价格：</w:t>
      </w:r>
      <w:r>
        <w:rPr>
          <w:rFonts w:hint="eastAsia" w:cs="宋体"/>
          <w:color w:val="auto"/>
          <w:sz w:val="21"/>
          <w:szCs w:val="21"/>
          <w:u w:val="single"/>
          <w:lang w:val="en-US" w:eastAsia="zh-CN"/>
        </w:rPr>
        <w:t>不调整。</w:t>
      </w:r>
      <w:r>
        <w:rPr>
          <w:rFonts w:hint="eastAsia" w:cs="宋体"/>
          <w:b/>
          <w:bCs/>
          <w:i/>
          <w:iCs/>
          <w:color w:val="auto"/>
          <w:kern w:val="2"/>
          <w:sz w:val="21"/>
          <w:szCs w:val="21"/>
        </w:rPr>
        <w:t xml:space="preserve"> </w:t>
      </w:r>
    </w:p>
    <w:p w14:paraId="5AAF724C">
      <w:pPr>
        <w:adjustRightInd w:val="0"/>
        <w:snapToGrid w:val="0"/>
        <w:spacing w:line="360" w:lineRule="auto"/>
        <w:ind w:firstLine="420" w:firstLineChars="200"/>
        <w:rPr>
          <w:rFonts w:hint="eastAsia" w:eastAsia="宋体" w:cs="宋体"/>
          <w:b/>
          <w:bCs/>
          <w:i/>
          <w:iCs/>
          <w:color w:val="auto"/>
          <w:kern w:val="2"/>
          <w:sz w:val="21"/>
          <w:szCs w:val="21"/>
          <w:shd w:val="clear" w:color="FFFFFF" w:fill="D9D9D9"/>
          <w:lang w:eastAsia="zh-CN"/>
        </w:rPr>
      </w:pPr>
      <w:r>
        <w:rPr>
          <w:rFonts w:hint="eastAsia" w:cs="宋体"/>
          <w:color w:val="auto"/>
          <w:sz w:val="21"/>
          <w:szCs w:val="21"/>
        </w:rPr>
        <w:t>允许调整合同价格的工程量偏差范围：</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u w:val="single"/>
          <w:lang w:eastAsia="zh-CN"/>
        </w:rPr>
        <w:t>。</w:t>
      </w:r>
    </w:p>
    <w:p w14:paraId="6B040645">
      <w:pPr>
        <w:snapToGrid w:val="0"/>
        <w:spacing w:before="312" w:beforeLines="100" w:after="312" w:afterLines="100" w:line="360" w:lineRule="auto"/>
        <w:outlineLvl w:val="2"/>
        <w:rPr>
          <w:rFonts w:cs="宋体"/>
          <w:color w:val="auto"/>
          <w:sz w:val="21"/>
          <w:szCs w:val="21"/>
        </w:rPr>
      </w:pPr>
      <w:bookmarkStart w:id="98" w:name="_Toc351203634"/>
      <w:r>
        <w:rPr>
          <w:rFonts w:hint="eastAsia" w:cs="宋体"/>
          <w:color w:val="auto"/>
          <w:sz w:val="21"/>
          <w:szCs w:val="21"/>
        </w:rPr>
        <w:t>2</w:t>
      </w:r>
      <w:bookmarkStart w:id="99" w:name="_Toc296346658"/>
      <w:bookmarkStart w:id="100" w:name="_Toc297120457"/>
      <w:bookmarkStart w:id="101" w:name="_Toc296890985"/>
      <w:bookmarkStart w:id="102" w:name="_Toc292559362"/>
      <w:bookmarkStart w:id="103" w:name="_Toc296891197"/>
      <w:bookmarkStart w:id="104" w:name="_Toc296944496"/>
      <w:bookmarkStart w:id="105" w:name="_Toc296347156"/>
      <w:bookmarkStart w:id="106" w:name="_Toc297048343"/>
      <w:bookmarkStart w:id="107" w:name="_Toc292559867"/>
      <w:bookmarkStart w:id="108" w:name="_Toc296503157"/>
      <w:r>
        <w:rPr>
          <w:rFonts w:hint="eastAsia" w:cs="宋体"/>
          <w:color w:val="auto"/>
          <w:sz w:val="21"/>
          <w:szCs w:val="21"/>
        </w:rPr>
        <w:t>. 发包人</w:t>
      </w:r>
      <w:bookmarkEnd w:id="98"/>
    </w:p>
    <w:bookmarkEnd w:id="99"/>
    <w:bookmarkEnd w:id="100"/>
    <w:bookmarkEnd w:id="101"/>
    <w:bookmarkEnd w:id="102"/>
    <w:bookmarkEnd w:id="103"/>
    <w:bookmarkEnd w:id="104"/>
    <w:bookmarkEnd w:id="105"/>
    <w:bookmarkEnd w:id="106"/>
    <w:bookmarkEnd w:id="107"/>
    <w:bookmarkEnd w:id="108"/>
    <w:p w14:paraId="5D2250AC">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2.2 发包人代表</w:t>
      </w:r>
    </w:p>
    <w:p w14:paraId="5674D3B4">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发包人代表：</w:t>
      </w:r>
    </w:p>
    <w:p w14:paraId="506076DA">
      <w:pPr>
        <w:adjustRightInd w:val="0"/>
        <w:snapToGrid w:val="0"/>
        <w:spacing w:line="360" w:lineRule="auto"/>
        <w:ind w:firstLine="420" w:firstLineChars="200"/>
        <w:rPr>
          <w:rFonts w:cs="宋体"/>
          <w:color w:val="auto"/>
          <w:sz w:val="21"/>
          <w:szCs w:val="21"/>
        </w:rPr>
      </w:pPr>
      <w:r>
        <w:rPr>
          <w:rFonts w:hint="eastAsia" w:cs="宋体"/>
          <w:color w:val="auto"/>
          <w:sz w:val="21"/>
          <w:szCs w:val="21"/>
        </w:rPr>
        <w:t>姓    名：</w:t>
      </w:r>
      <w:r>
        <w:rPr>
          <w:rFonts w:hint="eastAsia" w:cs="宋体"/>
          <w:color w:val="auto"/>
          <w:sz w:val="21"/>
          <w:szCs w:val="21"/>
          <w:u w:val="single"/>
        </w:rPr>
        <w:t xml:space="preserve">                          </w:t>
      </w:r>
      <w:r>
        <w:rPr>
          <w:rFonts w:hint="eastAsia" w:cs="宋体"/>
          <w:color w:val="auto"/>
          <w:sz w:val="21"/>
          <w:szCs w:val="21"/>
        </w:rPr>
        <w:t>；</w:t>
      </w:r>
    </w:p>
    <w:p w14:paraId="1EB45498">
      <w:pPr>
        <w:adjustRightInd w:val="0"/>
        <w:snapToGrid w:val="0"/>
        <w:spacing w:line="360" w:lineRule="auto"/>
        <w:ind w:firstLine="420" w:firstLineChars="200"/>
        <w:rPr>
          <w:rFonts w:cs="宋体"/>
          <w:color w:val="auto"/>
          <w:sz w:val="21"/>
          <w:szCs w:val="21"/>
        </w:rPr>
      </w:pPr>
      <w:r>
        <w:rPr>
          <w:rFonts w:hint="eastAsia" w:cs="宋体"/>
          <w:color w:val="auto"/>
          <w:sz w:val="21"/>
          <w:szCs w:val="21"/>
        </w:rPr>
        <w:t>身份证号：</w:t>
      </w:r>
      <w:r>
        <w:rPr>
          <w:rFonts w:hint="eastAsia" w:cs="宋体"/>
          <w:color w:val="auto"/>
          <w:sz w:val="21"/>
          <w:szCs w:val="21"/>
          <w:u w:val="single"/>
        </w:rPr>
        <w:t xml:space="preserve">                          </w:t>
      </w:r>
      <w:r>
        <w:rPr>
          <w:rFonts w:hint="eastAsia" w:cs="宋体"/>
          <w:color w:val="auto"/>
          <w:sz w:val="21"/>
          <w:szCs w:val="21"/>
        </w:rPr>
        <w:t>；</w:t>
      </w:r>
    </w:p>
    <w:p w14:paraId="2BAA856A">
      <w:pPr>
        <w:adjustRightInd w:val="0"/>
        <w:snapToGrid w:val="0"/>
        <w:spacing w:line="360" w:lineRule="auto"/>
        <w:ind w:firstLine="420" w:firstLineChars="200"/>
        <w:rPr>
          <w:rFonts w:cs="宋体"/>
          <w:color w:val="auto"/>
          <w:sz w:val="21"/>
          <w:szCs w:val="21"/>
        </w:rPr>
      </w:pPr>
      <w:r>
        <w:rPr>
          <w:rFonts w:hint="eastAsia" w:cs="宋体"/>
          <w:color w:val="auto"/>
          <w:sz w:val="21"/>
          <w:szCs w:val="21"/>
        </w:rPr>
        <w:t>职    务：</w:t>
      </w:r>
      <w:r>
        <w:rPr>
          <w:rFonts w:hint="eastAsia" w:cs="宋体"/>
          <w:color w:val="auto"/>
          <w:sz w:val="21"/>
          <w:szCs w:val="21"/>
          <w:u w:val="single"/>
        </w:rPr>
        <w:t xml:space="preserve">                          </w:t>
      </w:r>
      <w:r>
        <w:rPr>
          <w:rFonts w:hint="eastAsia" w:cs="宋体"/>
          <w:color w:val="auto"/>
          <w:sz w:val="21"/>
          <w:szCs w:val="21"/>
        </w:rPr>
        <w:t>；</w:t>
      </w:r>
    </w:p>
    <w:p w14:paraId="040296B0">
      <w:pPr>
        <w:adjustRightInd w:val="0"/>
        <w:snapToGrid w:val="0"/>
        <w:spacing w:line="360" w:lineRule="auto"/>
        <w:ind w:firstLine="420" w:firstLineChars="200"/>
        <w:rPr>
          <w:rFonts w:cs="宋体"/>
          <w:color w:val="auto"/>
          <w:sz w:val="21"/>
          <w:szCs w:val="21"/>
        </w:rPr>
      </w:pPr>
      <w:r>
        <w:rPr>
          <w:rFonts w:hint="eastAsia" w:cs="宋体"/>
          <w:color w:val="auto"/>
          <w:sz w:val="21"/>
          <w:szCs w:val="21"/>
        </w:rPr>
        <w:t>联系电话：</w:t>
      </w:r>
      <w:r>
        <w:rPr>
          <w:rFonts w:hint="eastAsia" w:cs="宋体"/>
          <w:color w:val="auto"/>
          <w:sz w:val="21"/>
          <w:szCs w:val="21"/>
          <w:u w:val="single"/>
        </w:rPr>
        <w:t xml:space="preserve">                          </w:t>
      </w:r>
      <w:r>
        <w:rPr>
          <w:rFonts w:hint="eastAsia" w:cs="宋体"/>
          <w:color w:val="auto"/>
          <w:sz w:val="21"/>
          <w:szCs w:val="21"/>
        </w:rPr>
        <w:t>；</w:t>
      </w:r>
    </w:p>
    <w:p w14:paraId="67BC0CEC">
      <w:pPr>
        <w:adjustRightInd w:val="0"/>
        <w:snapToGrid w:val="0"/>
        <w:spacing w:line="360" w:lineRule="auto"/>
        <w:ind w:firstLine="420" w:firstLineChars="200"/>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rPr>
        <w:t>；</w:t>
      </w:r>
    </w:p>
    <w:p w14:paraId="3B885D6C">
      <w:pPr>
        <w:adjustRightInd w:val="0"/>
        <w:snapToGrid w:val="0"/>
        <w:spacing w:line="360" w:lineRule="auto"/>
        <w:ind w:firstLine="420" w:firstLineChars="200"/>
        <w:rPr>
          <w:rFonts w:cs="宋体"/>
          <w:color w:val="auto"/>
          <w:sz w:val="21"/>
          <w:szCs w:val="21"/>
        </w:rPr>
      </w:pPr>
      <w:r>
        <w:rPr>
          <w:rFonts w:hint="eastAsia" w:cs="宋体"/>
          <w:color w:val="auto"/>
          <w:sz w:val="21"/>
          <w:szCs w:val="21"/>
        </w:rPr>
        <w:t>通信地址：</w:t>
      </w:r>
      <w:r>
        <w:rPr>
          <w:rFonts w:hint="eastAsia" w:cs="宋体"/>
          <w:color w:val="auto"/>
          <w:sz w:val="21"/>
          <w:szCs w:val="21"/>
          <w:u w:val="single"/>
        </w:rPr>
        <w:t xml:space="preserve">                          </w:t>
      </w:r>
      <w:r>
        <w:rPr>
          <w:rFonts w:hint="eastAsia" w:cs="宋体"/>
          <w:color w:val="auto"/>
          <w:sz w:val="21"/>
          <w:szCs w:val="21"/>
        </w:rPr>
        <w:t>。</w:t>
      </w:r>
    </w:p>
    <w:p w14:paraId="577BB83F">
      <w:pPr>
        <w:keepNext w:val="0"/>
        <w:keepLines w:val="0"/>
        <w:widowControl/>
        <w:suppressLineNumbers w:val="0"/>
        <w:ind w:firstLine="420" w:firstLineChars="200"/>
        <w:jc w:val="left"/>
        <w:rPr>
          <w:rFonts w:cs="宋体"/>
          <w:b/>
          <w:strike/>
          <w:color w:val="auto"/>
          <w:sz w:val="21"/>
          <w:szCs w:val="21"/>
        </w:rPr>
      </w:pPr>
      <w:r>
        <w:rPr>
          <w:rFonts w:hint="eastAsia" w:cs="宋体"/>
          <w:color w:val="auto"/>
          <w:sz w:val="21"/>
          <w:szCs w:val="21"/>
        </w:rPr>
        <w:t>发包人对发包人代表的授权范围如下：</w:t>
      </w:r>
      <w:r>
        <w:rPr>
          <w:rFonts w:hint="eastAsia" w:ascii="宋体" w:hAnsi="宋体" w:eastAsia="宋体" w:cs="宋体"/>
          <w:color w:val="000000"/>
          <w:kern w:val="0"/>
          <w:sz w:val="21"/>
          <w:szCs w:val="21"/>
          <w:u w:val="single"/>
          <w:lang w:val="en-US" w:eastAsia="zh-CN" w:bidi="ar"/>
        </w:rPr>
        <w:t>代表发包人对本工程施工过程中的工程质量、进度及相关投资、安全文明施工、合同履行等进行监督和检查。督促指导监理工程师行使职权，在监理工程师的协助下严格控制工程进度和投资，协调施工现场各方面的关系，协调工程质量，进度和安全文明施工中存在的问题，解决有关设计和技术签证，办理、签认现场经济技术签证，审核工程进度报表</w:t>
      </w:r>
      <w:r>
        <w:rPr>
          <w:rFonts w:hint="eastAsia" w:cs="宋体"/>
          <w:color w:val="auto"/>
          <w:sz w:val="21"/>
          <w:szCs w:val="21"/>
        </w:rPr>
        <w:t>。</w:t>
      </w:r>
    </w:p>
    <w:p w14:paraId="3E73E48F">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2.4 施工现场、施工条件和基础资料的提供</w:t>
      </w:r>
    </w:p>
    <w:p w14:paraId="5B95CB79">
      <w:pPr>
        <w:adjustRightInd w:val="0"/>
        <w:snapToGrid w:val="0"/>
        <w:spacing w:line="360" w:lineRule="auto"/>
        <w:ind w:firstLine="420" w:firstLineChars="200"/>
        <w:rPr>
          <w:rFonts w:cs="宋体"/>
          <w:color w:val="auto"/>
          <w:sz w:val="21"/>
          <w:szCs w:val="21"/>
        </w:rPr>
      </w:pPr>
      <w:r>
        <w:rPr>
          <w:rFonts w:hint="eastAsia" w:cs="宋体"/>
          <w:color w:val="auto"/>
          <w:sz w:val="21"/>
          <w:szCs w:val="21"/>
        </w:rPr>
        <w:t>2.4.1 提供施工现场</w:t>
      </w:r>
    </w:p>
    <w:p w14:paraId="728F534B">
      <w:pPr>
        <w:adjustRightInd w:val="0"/>
        <w:snapToGrid w:val="0"/>
        <w:spacing w:line="360" w:lineRule="auto"/>
        <w:ind w:firstLine="420" w:firstLineChars="200"/>
        <w:rPr>
          <w:rFonts w:cs="宋体"/>
          <w:color w:val="auto"/>
          <w:sz w:val="21"/>
          <w:szCs w:val="21"/>
        </w:rPr>
      </w:pPr>
      <w:r>
        <w:rPr>
          <w:rFonts w:hint="eastAsia" w:cs="宋体"/>
          <w:color w:val="auto"/>
          <w:sz w:val="21"/>
          <w:szCs w:val="21"/>
        </w:rPr>
        <w:t>关于发包人移交施工现场的期限要求：</w:t>
      </w:r>
      <w:r>
        <w:rPr>
          <w:rFonts w:hint="eastAsia" w:ascii="宋体" w:hAnsi="宋体" w:eastAsia="宋体" w:cs="宋体"/>
          <w:color w:val="auto"/>
          <w:sz w:val="21"/>
          <w:szCs w:val="21"/>
          <w:u w:val="single"/>
          <w:lang w:val="en-US" w:eastAsia="zh-CN"/>
        </w:rPr>
        <w:t>执行通用条款</w:t>
      </w:r>
      <w:r>
        <w:rPr>
          <w:rFonts w:hint="eastAsia" w:cs="宋体"/>
          <w:color w:val="auto"/>
          <w:sz w:val="21"/>
          <w:szCs w:val="21"/>
        </w:rPr>
        <w:t>。</w:t>
      </w:r>
    </w:p>
    <w:p w14:paraId="678A9E52">
      <w:pPr>
        <w:adjustRightInd w:val="0"/>
        <w:snapToGrid w:val="0"/>
        <w:spacing w:line="360" w:lineRule="auto"/>
        <w:ind w:firstLine="420" w:firstLineChars="200"/>
        <w:rPr>
          <w:rFonts w:cs="宋体"/>
          <w:color w:val="auto"/>
          <w:sz w:val="21"/>
          <w:szCs w:val="21"/>
        </w:rPr>
      </w:pPr>
      <w:r>
        <w:rPr>
          <w:rFonts w:hint="eastAsia" w:cs="宋体"/>
          <w:color w:val="auto"/>
          <w:sz w:val="21"/>
          <w:szCs w:val="21"/>
        </w:rPr>
        <w:t>2.4.2 提供施工条件</w:t>
      </w:r>
    </w:p>
    <w:p w14:paraId="44A157D8">
      <w:pPr>
        <w:keepNext w:val="0"/>
        <w:keepLines w:val="0"/>
        <w:widowControl/>
        <w:suppressLineNumbers w:val="0"/>
        <w:jc w:val="left"/>
        <w:rPr>
          <w:u w:val="single"/>
        </w:rPr>
      </w:pPr>
      <w:r>
        <w:rPr>
          <w:rFonts w:hint="eastAsia" w:cs="宋体"/>
          <w:color w:val="auto"/>
          <w:sz w:val="21"/>
          <w:szCs w:val="21"/>
        </w:rPr>
        <w:t>关于发包人应负责提供施工所需要的条件，包括：</w:t>
      </w:r>
      <w:r>
        <w:rPr>
          <w:rFonts w:hint="eastAsia" w:ascii="宋体" w:hAnsi="宋体" w:eastAsia="宋体" w:cs="宋体"/>
          <w:color w:val="000000"/>
          <w:kern w:val="0"/>
          <w:sz w:val="21"/>
          <w:szCs w:val="21"/>
          <w:u w:val="single"/>
          <w:lang w:val="en-US" w:eastAsia="zh-CN" w:bidi="ar"/>
        </w:rPr>
        <w:t xml:space="preserve">（1）将施工所需的水、电、电讯线路接至施工场地的时间、地点和供应要求：施工用水、施工用电由承包人确定接入点（发包人提供协助），接点至施工现场段管道/管线、计量设备均由承包人自行解决。施工所需的水、电、电讯线路接驳点及道路位置以现状为准，承包人在投标前已踏勘，并应在开工前7日内由承包人自行接至施工现场，费用已包含在签约合同价之中。水、电由承包人装表计量，由承包人按实承担。承包人认为上述临时水、电不足时，需自费负责水、电扩容，费用已包括在承包人投标报价中；电讯线路承包人自行解决，费用自理。 </w:t>
      </w:r>
    </w:p>
    <w:p w14:paraId="0DCA5579">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（2）施工场地与公共道路的通道开通时间和要求：已开通。施工场地内的施工道路如不能满 足承包人施工需求，承包自行补充完善，费用已包括在承包人投标报价中； </w:t>
      </w:r>
    </w:p>
    <w:p w14:paraId="4FAFE089">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（3）图纸会审和设计交底时间： </w:t>
      </w:r>
    </w:p>
    <w:p w14:paraId="4C2CEF6A">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1）图纸会审、设计交底时间在开工前3日历天内进行； </w:t>
      </w:r>
    </w:p>
    <w:p w14:paraId="45692FAB">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2）承包人应对施工图、技术资料认真复核和检查，有预见性的发现和指正设计缺陷和错误， </w:t>
      </w:r>
    </w:p>
    <w:p w14:paraId="2301A97B">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应提出能实质性地节约资金和缩短工期的建议和措施。</w:t>
      </w:r>
    </w:p>
    <w:p w14:paraId="098D9F74">
      <w:pPr>
        <w:keepNext w:val="0"/>
        <w:keepLines w:val="0"/>
        <w:widowControl/>
        <w:suppressLineNumbers w:val="0"/>
        <w:jc w:val="left"/>
        <w:rPr>
          <w:rFonts w:cs="宋体"/>
          <w:color w:val="auto"/>
          <w:sz w:val="21"/>
          <w:szCs w:val="21"/>
          <w:u w:val="single"/>
        </w:rPr>
      </w:pPr>
      <w:r>
        <w:rPr>
          <w:rFonts w:hint="eastAsia" w:ascii="宋体" w:hAnsi="宋体" w:eastAsia="宋体" w:cs="宋体"/>
          <w:color w:val="000000"/>
          <w:kern w:val="0"/>
          <w:sz w:val="21"/>
          <w:szCs w:val="21"/>
          <w:u w:val="single"/>
          <w:lang w:val="en-US" w:eastAsia="zh-CN" w:bidi="ar"/>
        </w:rPr>
        <w:t>（4）双方约定发包人应做的其他工作：双方另行协商</w:t>
      </w:r>
      <w:r>
        <w:rPr>
          <w:rFonts w:hint="eastAsia" w:ascii="宋体" w:hAnsi="宋体" w:eastAsia="宋体" w:cs="宋体"/>
          <w:color w:val="000000"/>
          <w:kern w:val="0"/>
          <w:sz w:val="21"/>
          <w:szCs w:val="21"/>
          <w:lang w:val="en-US" w:eastAsia="zh-CN" w:bidi="ar"/>
        </w:rPr>
        <w:t>。</w:t>
      </w:r>
    </w:p>
    <w:p w14:paraId="16476898">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2.5 资金来源证明及支付担保</w:t>
      </w:r>
    </w:p>
    <w:p w14:paraId="7AD171E3">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发包人提供资金来源证明的期限要求：</w:t>
      </w:r>
      <w:r>
        <w:rPr>
          <w:rFonts w:hint="eastAsia" w:cs="宋体"/>
          <w:color w:val="auto"/>
          <w:sz w:val="21"/>
          <w:szCs w:val="21"/>
          <w:u w:val="single"/>
        </w:rPr>
        <w:t>见《专用合同条款数据表》</w:t>
      </w:r>
      <w:r>
        <w:rPr>
          <w:rFonts w:hint="eastAsia" w:cs="宋体"/>
          <w:color w:val="auto"/>
          <w:sz w:val="21"/>
          <w:szCs w:val="21"/>
        </w:rPr>
        <w:t>。</w:t>
      </w:r>
    </w:p>
    <w:p w14:paraId="041ED215">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发包人是否提供支付担保：</w:t>
      </w:r>
      <w:r>
        <w:rPr>
          <w:rFonts w:hint="eastAsia" w:cs="宋体"/>
          <w:color w:val="auto"/>
          <w:sz w:val="21"/>
          <w:szCs w:val="21"/>
          <w:u w:val="single"/>
        </w:rPr>
        <w:t>见《专用合同条款数据表》</w:t>
      </w:r>
      <w:r>
        <w:rPr>
          <w:rFonts w:hint="eastAsia" w:cs="宋体"/>
          <w:color w:val="auto"/>
          <w:sz w:val="21"/>
          <w:szCs w:val="21"/>
        </w:rPr>
        <w:t>。</w:t>
      </w:r>
    </w:p>
    <w:p w14:paraId="06FD31B0">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发包人提供支付担保的形式：</w:t>
      </w:r>
      <w:r>
        <w:rPr>
          <w:rFonts w:hint="eastAsia" w:cs="宋体"/>
          <w:color w:val="auto"/>
          <w:sz w:val="21"/>
          <w:szCs w:val="21"/>
          <w:u w:val="single"/>
        </w:rPr>
        <w:t>见《专用合同条款数据表》</w:t>
      </w:r>
      <w:r>
        <w:rPr>
          <w:rFonts w:hint="eastAsia" w:cs="宋体"/>
          <w:color w:val="auto"/>
          <w:sz w:val="21"/>
          <w:szCs w:val="21"/>
        </w:rPr>
        <w:t>。</w:t>
      </w:r>
    </w:p>
    <w:p w14:paraId="1033D42E">
      <w:pPr>
        <w:snapToGrid w:val="0"/>
        <w:spacing w:before="312" w:beforeLines="100" w:after="312" w:afterLines="100" w:line="360" w:lineRule="auto"/>
        <w:outlineLvl w:val="2"/>
        <w:rPr>
          <w:rFonts w:cs="宋体"/>
          <w:color w:val="auto"/>
          <w:sz w:val="21"/>
          <w:szCs w:val="21"/>
        </w:rPr>
      </w:pPr>
      <w:bookmarkStart w:id="109" w:name="_Toc351203635"/>
      <w:r>
        <w:rPr>
          <w:rFonts w:hint="eastAsia" w:cs="宋体"/>
          <w:color w:val="auto"/>
          <w:sz w:val="21"/>
          <w:szCs w:val="21"/>
        </w:rPr>
        <w:t>3</w:t>
      </w:r>
      <w:bookmarkStart w:id="110" w:name="_Toc296891198"/>
      <w:bookmarkStart w:id="111" w:name="_Toc297048344"/>
      <w:bookmarkStart w:id="112" w:name="_Toc297120458"/>
      <w:bookmarkStart w:id="113" w:name="_Toc296347157"/>
      <w:bookmarkStart w:id="114" w:name="_Toc296346659"/>
      <w:bookmarkStart w:id="115" w:name="_Toc296944497"/>
      <w:bookmarkStart w:id="116" w:name="_Toc296503158"/>
      <w:bookmarkStart w:id="117" w:name="_Toc292559363"/>
      <w:bookmarkStart w:id="118" w:name="_Toc292559868"/>
      <w:bookmarkStart w:id="119" w:name="_Toc296890986"/>
      <w:r>
        <w:rPr>
          <w:rFonts w:hint="eastAsia" w:cs="宋体"/>
          <w:color w:val="auto"/>
          <w:sz w:val="21"/>
          <w:szCs w:val="21"/>
        </w:rPr>
        <w:t>. 承包人</w:t>
      </w:r>
      <w:bookmarkEnd w:id="109"/>
    </w:p>
    <w:bookmarkEnd w:id="110"/>
    <w:bookmarkEnd w:id="111"/>
    <w:bookmarkEnd w:id="112"/>
    <w:bookmarkEnd w:id="113"/>
    <w:bookmarkEnd w:id="114"/>
    <w:bookmarkEnd w:id="115"/>
    <w:bookmarkEnd w:id="116"/>
    <w:bookmarkEnd w:id="117"/>
    <w:bookmarkEnd w:id="118"/>
    <w:bookmarkEnd w:id="119"/>
    <w:p w14:paraId="2238B7F0">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3.1 承包人的一般义务</w:t>
      </w:r>
    </w:p>
    <w:p w14:paraId="31A48F6C">
      <w:pPr>
        <w:adjustRightInd w:val="0"/>
        <w:snapToGrid w:val="0"/>
        <w:spacing w:line="360" w:lineRule="auto"/>
        <w:ind w:firstLine="420" w:firstLineChars="200"/>
        <w:rPr>
          <w:rFonts w:hint="eastAsia" w:ascii="宋体" w:hAnsi="宋体" w:eastAsia="宋体" w:cs="宋体"/>
          <w:b w:val="0"/>
          <w:bCs w:val="0"/>
          <w:color w:val="auto"/>
          <w:sz w:val="21"/>
          <w:szCs w:val="21"/>
          <w:u w:val="single"/>
        </w:rPr>
      </w:pPr>
      <w:r>
        <w:rPr>
          <w:rFonts w:hint="eastAsia" w:cs="宋体"/>
          <w:color w:val="auto"/>
          <w:sz w:val="21"/>
          <w:szCs w:val="21"/>
        </w:rPr>
        <w:t>（9）承包人提交的竣工资料的内容：</w:t>
      </w:r>
      <w:r>
        <w:rPr>
          <w:rFonts w:hint="eastAsia" w:ascii="宋体" w:hAnsi="宋体" w:eastAsia="宋体" w:cs="宋体"/>
          <w:b w:val="0"/>
          <w:bCs w:val="0"/>
          <w:color w:val="auto"/>
          <w:sz w:val="21"/>
          <w:szCs w:val="21"/>
          <w:u w:val="single"/>
          <w:lang w:val="en-US" w:eastAsia="zh-CN"/>
        </w:rPr>
        <w:t xml:space="preserve">承包人对合同范围中的承包工程的施工竣工资料 </w:t>
      </w:r>
    </w:p>
    <w:p w14:paraId="68B7C957">
      <w:pPr>
        <w:adjustRightInd w:val="0"/>
        <w:snapToGrid w:val="0"/>
        <w:spacing w:line="360" w:lineRule="auto"/>
        <w:ind w:firstLine="420" w:firstLineChars="200"/>
        <w:rPr>
          <w:rFonts w:cs="宋体"/>
          <w:color w:val="auto"/>
          <w:sz w:val="21"/>
          <w:szCs w:val="21"/>
        </w:rPr>
      </w:pPr>
      <w:r>
        <w:rPr>
          <w:rFonts w:hint="eastAsia" w:ascii="宋体" w:hAnsi="宋体" w:eastAsia="宋体" w:cs="宋体"/>
          <w:b w:val="0"/>
          <w:bCs w:val="0"/>
          <w:color w:val="auto"/>
          <w:sz w:val="21"/>
          <w:szCs w:val="21"/>
          <w:u w:val="single"/>
          <w:lang w:val="en-US" w:eastAsia="zh-CN"/>
        </w:rPr>
        <w:t>负全部责任，承包人负责编制施工范围内的竣工图，编制的竣工图应符合界首市有关规定；在编制竣工图时，所有的变更通知及图纸会审的内容应按规定方法标注到竣工图上，并在变更通知与图纸会审上标注变更所在图号。所有竣工档案资料及竣工图纸必须准确真实的反映实际施工情况，符合国家及界首市城建档案馆对于工程竣工档案的有关规定，属于发包人应提供的资料由发包人负责及时提供给承包人，同时由承包人负责汇总整理后，由发包人将一套竣工档案资料向档案馆移交。承包人在办理工程结算前必须向发包人提供一套竣工档案资料以及一套影像资料和一套电子版竣工资料</w:t>
      </w:r>
      <w:r>
        <w:rPr>
          <w:rFonts w:hint="eastAsia" w:cs="宋体"/>
          <w:color w:val="auto"/>
          <w:sz w:val="21"/>
          <w:szCs w:val="21"/>
        </w:rPr>
        <w:t>。</w:t>
      </w:r>
    </w:p>
    <w:p w14:paraId="0E7DA5E4">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承包人需要提交的竣工资料套数：</w:t>
      </w:r>
      <w:r>
        <w:rPr>
          <w:rFonts w:hint="eastAsia" w:cs="宋体"/>
          <w:color w:val="auto"/>
          <w:sz w:val="21"/>
          <w:szCs w:val="21"/>
          <w:u w:val="single"/>
        </w:rPr>
        <w:t xml:space="preserve">  </w:t>
      </w:r>
      <w:r>
        <w:rPr>
          <w:rFonts w:hint="eastAsia" w:cs="宋体"/>
          <w:color w:val="auto"/>
          <w:sz w:val="21"/>
          <w:szCs w:val="21"/>
          <w:u w:val="single"/>
          <w:lang w:val="en-US" w:eastAsia="zh-CN"/>
        </w:rPr>
        <w:t>4套</w:t>
      </w:r>
      <w:r>
        <w:rPr>
          <w:rFonts w:hint="eastAsia" w:cs="宋体"/>
          <w:color w:val="auto"/>
          <w:sz w:val="21"/>
          <w:szCs w:val="21"/>
          <w:u w:val="single"/>
        </w:rPr>
        <w:t xml:space="preserve">    </w:t>
      </w:r>
      <w:r>
        <w:rPr>
          <w:rFonts w:hint="eastAsia" w:cs="宋体"/>
          <w:color w:val="auto"/>
          <w:sz w:val="21"/>
          <w:szCs w:val="21"/>
        </w:rPr>
        <w:t>。</w:t>
      </w:r>
    </w:p>
    <w:p w14:paraId="3B17DF7F">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承包人提交的竣工资料的费用承担：</w:t>
      </w:r>
      <w:r>
        <w:rPr>
          <w:rFonts w:hint="eastAsia" w:cs="宋体"/>
          <w:color w:val="auto"/>
          <w:sz w:val="21"/>
          <w:szCs w:val="21"/>
          <w:u w:val="single"/>
        </w:rPr>
        <w:t>承包人承担</w:t>
      </w:r>
      <w:r>
        <w:rPr>
          <w:rFonts w:hint="eastAsia" w:cs="宋体"/>
          <w:color w:val="auto"/>
          <w:sz w:val="21"/>
          <w:szCs w:val="21"/>
        </w:rPr>
        <w:t>。</w:t>
      </w:r>
    </w:p>
    <w:p w14:paraId="0330E7AE">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承包人提交的竣工资料移交时间：</w:t>
      </w:r>
      <w:r>
        <w:rPr>
          <w:rFonts w:hint="eastAsia" w:ascii="宋体" w:hAnsi="宋体" w:eastAsia="宋体" w:cs="宋体"/>
          <w:color w:val="auto"/>
          <w:sz w:val="21"/>
          <w:szCs w:val="21"/>
          <w:u w:val="single"/>
          <w:lang w:val="en-US" w:eastAsia="zh-CN"/>
        </w:rPr>
        <w:t xml:space="preserve">竣工验收合格后 </w:t>
      </w:r>
      <w:r>
        <w:rPr>
          <w:rFonts w:hint="default" w:ascii="宋体" w:hAnsi="宋体" w:eastAsia="宋体" w:cs="宋体"/>
          <w:color w:val="auto"/>
          <w:sz w:val="21"/>
          <w:szCs w:val="21"/>
          <w:u w:val="single"/>
          <w:lang w:val="en-US" w:eastAsia="zh-CN"/>
        </w:rPr>
        <w:t xml:space="preserve">7 </w:t>
      </w:r>
      <w:r>
        <w:rPr>
          <w:rFonts w:hint="eastAsia" w:ascii="宋体" w:hAnsi="宋体" w:eastAsia="宋体" w:cs="宋体"/>
          <w:color w:val="auto"/>
          <w:sz w:val="21"/>
          <w:szCs w:val="21"/>
          <w:u w:val="single"/>
          <w:lang w:val="en-US" w:eastAsia="zh-CN"/>
        </w:rPr>
        <w:t>日内</w:t>
      </w:r>
      <w:r>
        <w:rPr>
          <w:rFonts w:hint="eastAsia" w:cs="宋体"/>
          <w:color w:val="auto"/>
          <w:sz w:val="21"/>
          <w:szCs w:val="21"/>
          <w:u w:val="single"/>
        </w:rPr>
        <w:t xml:space="preserve"> </w:t>
      </w:r>
      <w:r>
        <w:rPr>
          <w:rFonts w:hint="eastAsia" w:cs="宋体"/>
          <w:color w:val="auto"/>
          <w:sz w:val="21"/>
          <w:szCs w:val="21"/>
        </w:rPr>
        <w:t>。</w:t>
      </w:r>
    </w:p>
    <w:p w14:paraId="0AA73912">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承包人提交的竣工资料形式要求：</w:t>
      </w:r>
      <w:r>
        <w:rPr>
          <w:rFonts w:hint="eastAsia" w:ascii="宋体" w:hAnsi="宋体" w:eastAsia="宋体" w:cs="宋体"/>
          <w:color w:val="auto"/>
          <w:sz w:val="21"/>
          <w:szCs w:val="21"/>
          <w:u w:val="single"/>
          <w:lang w:val="en-US" w:eastAsia="zh-CN"/>
        </w:rPr>
        <w:t>书面及电子文档</w:t>
      </w:r>
      <w:r>
        <w:rPr>
          <w:rFonts w:hint="eastAsia" w:cs="宋体"/>
          <w:color w:val="auto"/>
          <w:sz w:val="21"/>
          <w:szCs w:val="21"/>
        </w:rPr>
        <w:t>。</w:t>
      </w:r>
    </w:p>
    <w:p w14:paraId="4F9D7412">
      <w:pPr>
        <w:keepNext w:val="0"/>
        <w:keepLines w:val="0"/>
        <w:widowControl/>
        <w:suppressLineNumbers w:val="0"/>
        <w:jc w:val="left"/>
        <w:rPr>
          <w:u w:val="single"/>
        </w:rPr>
      </w:pPr>
      <w:r>
        <w:rPr>
          <w:rFonts w:hint="eastAsia" w:cs="宋体"/>
          <w:color w:val="auto"/>
          <w:sz w:val="21"/>
          <w:szCs w:val="21"/>
        </w:rPr>
        <w:t>（10）承包人应履行的其他义务：</w:t>
      </w:r>
      <w:r>
        <w:rPr>
          <w:rFonts w:hint="eastAsia" w:ascii="宋体" w:hAnsi="宋体" w:eastAsia="宋体" w:cs="宋体"/>
          <w:color w:val="000000"/>
          <w:kern w:val="0"/>
          <w:sz w:val="21"/>
          <w:szCs w:val="21"/>
          <w:u w:val="single"/>
          <w:lang w:val="en-US" w:eastAsia="zh-CN" w:bidi="ar"/>
        </w:rPr>
        <w:t xml:space="preserve">（a）应按阜人社〔2017〕62号文件要求，指定劳资专管员，借助信息化平台，做好施工现场劳动用工实名制管理工作。 </w:t>
      </w:r>
    </w:p>
    <w:p w14:paraId="69CE30F6">
      <w:pPr>
        <w:keepNext w:val="0"/>
        <w:keepLines w:val="0"/>
        <w:widowControl/>
        <w:suppressLineNumbers w:val="0"/>
        <w:jc w:val="left"/>
        <w:rPr>
          <w:rFonts w:hint="eastAsia" w:ascii="宋体" w:hAnsi="宋体" w:eastAsia="宋体" w:cs="宋体"/>
          <w:color w:val="000000"/>
          <w:kern w:val="0"/>
          <w:sz w:val="21"/>
          <w:szCs w:val="21"/>
          <w:u w:val="single"/>
          <w:lang w:val="en-US" w:eastAsia="zh-CN" w:bidi="ar"/>
        </w:rPr>
      </w:pPr>
      <w:r>
        <w:rPr>
          <w:rFonts w:hint="eastAsia" w:ascii="宋体" w:hAnsi="宋体" w:eastAsia="宋体" w:cs="宋体"/>
          <w:color w:val="000000"/>
          <w:kern w:val="0"/>
          <w:sz w:val="21"/>
          <w:szCs w:val="21"/>
          <w:u w:val="single"/>
          <w:lang w:val="en-US" w:eastAsia="zh-CN" w:bidi="ar"/>
        </w:rPr>
        <w:t>（b）应按阜人社〔2017〕63号文件要求，办理施工许可证前，开立农民工工资专户；开工后按月编制和公示农民工工资表，按月足额通过工资专户打卡发放农民工工资。</w:t>
      </w:r>
    </w:p>
    <w:p w14:paraId="4ACF355F">
      <w:pPr>
        <w:keepNext w:val="0"/>
        <w:keepLines w:val="0"/>
        <w:widowControl/>
        <w:suppressLineNumbers w:val="0"/>
        <w:jc w:val="left"/>
      </w:pPr>
      <w:r>
        <w:rPr>
          <w:rFonts w:hint="eastAsia" w:ascii="宋体" w:hAnsi="宋体" w:eastAsia="宋体" w:cs="宋体"/>
          <w:color w:val="000000"/>
          <w:kern w:val="0"/>
          <w:sz w:val="21"/>
          <w:szCs w:val="21"/>
          <w:lang w:val="en-US" w:eastAsia="zh-CN" w:bidi="ar"/>
        </w:rPr>
        <w:t xml:space="preserve">（c）其他：1、施工设施及责任： </w:t>
      </w:r>
    </w:p>
    <w:p w14:paraId="7FF75C6D">
      <w:pPr>
        <w:keepNext w:val="0"/>
        <w:keepLines w:val="0"/>
        <w:widowControl/>
        <w:suppressLineNumbers w:val="0"/>
        <w:jc w:val="left"/>
        <w:rPr>
          <w:u w:val="single"/>
        </w:rPr>
      </w:pPr>
      <w:r>
        <w:rPr>
          <w:rFonts w:hint="eastAsia" w:ascii="宋体" w:hAnsi="宋体" w:eastAsia="宋体" w:cs="宋体"/>
          <w:color w:val="000000"/>
          <w:kern w:val="0"/>
          <w:sz w:val="21"/>
          <w:szCs w:val="21"/>
          <w:lang w:val="en-US" w:eastAsia="zh-CN" w:bidi="ar"/>
        </w:rPr>
        <w:t>（</w:t>
      </w:r>
      <w:r>
        <w:rPr>
          <w:rFonts w:hint="eastAsia" w:ascii="宋体" w:hAnsi="宋体" w:eastAsia="宋体" w:cs="宋体"/>
          <w:color w:val="000000"/>
          <w:kern w:val="0"/>
          <w:sz w:val="21"/>
          <w:szCs w:val="21"/>
          <w:u w:val="single"/>
          <w:lang w:val="en-US" w:eastAsia="zh-CN" w:bidi="ar"/>
        </w:rPr>
        <w:t xml:space="preserve">1） 承包人参照发包人的总体规划要求自行建设符合自身需要的施工和生活设施，费用已 </w:t>
      </w:r>
    </w:p>
    <w:p w14:paraId="23E40C37">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含在合同价款中。承包人自行严格遵守国家、省、市有关防火、爆破和施工安全以及文明施工、夜间施工、环卫、城管、交通等规定，建立规章制度和防护措施，做好施工现场的扬尘防护工作。承包人承担由于自身措施不力造成事故的责任和发生的费用。 </w:t>
      </w:r>
    </w:p>
    <w:p w14:paraId="016AFB6F">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2）总承包人负责一级配电箱和接水点之后到使用点的管线连接，承包人负责专业承包过程中施工用水、施工用电的接入，发包人提供的现场接入点电压、水压不足时由承包人自行加压或增加发电设备，费用由承包人自行承担，并确保施工期间连续供应。承包人自行承担施工期间发生的水、电等各项费用，所产生损耗由各总承包方按使用比例分摊。 </w:t>
      </w:r>
    </w:p>
    <w:p w14:paraId="1BACC1BD">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（3）承包人负责专业承包范围内的施工安全保卫工作及非夜间施工照明的责任和要求，其费用由承包人在措施费中考虑。根据工程需要，提供和维修非夜间施工使用的照明、围栏设施、技防设施。 </w:t>
      </w:r>
    </w:p>
    <w:p w14:paraId="07589285">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4）施工场清洁卫生的要求：施工过程中保证施工场地清洁，遵守环境卫生管理的有关规定，承担因自身原因违反有关规定造成的损失和违约金，交工前将所有建筑垃圾从施工场地清除，将所有剩余的建筑材料运至指定地点堆放，将所有施工机械和设备从施工场地运走。 </w:t>
      </w:r>
    </w:p>
    <w:p w14:paraId="2206754A">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（5）承包人有责任负责处理施工现场可能发生各类外界干扰，并积极主动与外界进行协调。 </w:t>
      </w:r>
    </w:p>
    <w:p w14:paraId="2DC85D41">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2、施工机械设备： </w:t>
      </w:r>
    </w:p>
    <w:p w14:paraId="17F869DD">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（1）保证执行批准后的施工组织设计中的资源投入计划，将工程施工所需的机械设备、人员、材料等资源，根据工程进度计划按时、按标准、足额投入。 </w:t>
      </w:r>
    </w:p>
    <w:p w14:paraId="3B91750A">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2）各分项工程开工前，承包人必须在施工组织设计中编制资源投入计划，报总监理工程师和发包人批准后实施。特别是施工所需的机械设备（包括自有和租赁），应与投标文件填报的数量、质量、性能相符且具备正常施工功能，并配有明显的承包人单位标志，且为合法使用设备（如年检证、使用证等），便于发包人检查承包人施工设备投入情况。 </w:t>
      </w:r>
    </w:p>
    <w:p w14:paraId="363213D0">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（3）施工过程中，承包人因特殊原因需变更资源投入计划或者对已投入的资源进行调整的， </w:t>
      </w:r>
    </w:p>
    <w:p w14:paraId="06103EB8">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应当提前3天提出申请，报总监理工程师和发包人批准。允许机械、设备调整的原则为：所调整机械、设备，规格、标准只能比原计划提高，不能降低；数量原则上不允许减少，如确因更换先进设备提高了工效，可考虑在总工作能力不降低的前提下同意调整。未经发包人许可，承包人开工后已进场的机械设备在任何情况下都不得在计划使用期间撤出现场。若施工机械、设备在施工过程中发生损坏的情况，承包人必须在3天内修复或更换。 </w:t>
      </w:r>
    </w:p>
    <w:p w14:paraId="740DA844">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4）因设计变更、施工现场情况变化造成工程内容、工程量变化，须调整机械、设备的规格、数量的，承包人须在变更或变化确定后3天内，提出完整的更新施工方案和资源投入计划，报总监理工程师和发包人批准后实施。 </w:t>
      </w:r>
    </w:p>
    <w:p w14:paraId="7BD1FB9E">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3、现场施工安全文明、环境保护： </w:t>
      </w:r>
    </w:p>
    <w:p w14:paraId="59C52A3F">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1）需承包人办理的有关施工场地交通、环卫和施工噪音管理等手续：遵守政府有关主管部门对施工场地交通、施工噪声、环境保护和安全生产等的管理规定，按规定办理有关手续，并以书面形式通知发包人；承包方承担由此发生的费用，包括因承包方责任导致的违约金；承包人负责整个施工过程中发生的场地内包装废弃物等各类建筑、生活垃圾的清理、外运处置等工作。承包人需在现场规划提供指定场地供相关单位（专业分包、平行分包、设备供应商等）堆放垃圾，并负责外运处置。 </w:t>
      </w:r>
    </w:p>
    <w:p w14:paraId="098D6352">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2）承包人在施工期间，应严格执行本市有关建设工程安全、文明施工的规定，由于管理不善，引起政府有关部门处罚或责令停工整改等，其发生的费用或导致的损失应由承包人自行承担，且发包人保留因此而缓付工程进度款的权利。 </w:t>
      </w:r>
    </w:p>
    <w:p w14:paraId="63C343AC">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（3）承包人在施工期间，必须设有专职安全员，配备足够数量的消防器材。应建立和健全消防安全制度，并报监理工程师及有关部门。 </w:t>
      </w:r>
    </w:p>
    <w:p w14:paraId="4533957B">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4、承包人应履行的其他义务： </w:t>
      </w:r>
    </w:p>
    <w:p w14:paraId="0067B2FC">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（1）建立工程违约清场机制和诚信公开制度 :发包人与承包人双方在合同约定发生下列情况施工单位退场相应条款：承包人发生挂靠、转包、违法分包施工任务的；计划工期进度延迟 14 天或发生重大质量安全事故的；不按法律法规要求发放工人工资或因其造成工地工人群体上访恶性事件的；拒不履行投标承诺及合约职责与义务的。当承包人发生上述违法行为之一时，履约保证金不予退还，发包人按约责成其限期清场，终止施工合同并办理清场手续，及时组织相关责任单位进行工程量验收和工程造价清算，当合同约定的违约金低于实际损失时，应当请求法院予以调整，并根据实际情况另行主张损失赔偿。发包人要及时把处理结果以书面形式报界首市公共资源交易监督管理局和行业监督部门。 </w:t>
      </w:r>
    </w:p>
    <w:p w14:paraId="0AEE0698">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（2）开工前承包人应对施工图纸认真核查，积极配合发包人做好施工图纸交底及会审工作。 </w:t>
      </w:r>
    </w:p>
    <w:p w14:paraId="4678935B">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承包人应严格按照已确认的施工组织设计（施工方案）组织施工，并无条件地接受监理工程师对工程施工质量、进度、安全、文明及造价等的监督管理。 </w:t>
      </w:r>
    </w:p>
    <w:p w14:paraId="006AEF33">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3）已完工程成品保护的特殊要求及费用承担：从承包人进场始，承包人应全面负责照管与维护本合同工程和将用于或安装在本合同中的材料、设备，直到本合同工程交工证书签发之日为止。包括负责土建总承包管理协调范围内平行发包和甲供材料、设备供应商及工艺设备供应商已施工完毕分部分项验收合格的工程、设备的成品保护，相关费用包含在相应的平行发包和甲供材料、设备供应商总承包服务费或协调配合费中。 </w:t>
      </w:r>
    </w:p>
    <w:p w14:paraId="3484F572">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（4）同时承包人应按约定完成以下工作： </w:t>
      </w:r>
    </w:p>
    <w:p w14:paraId="298B1462">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a.应提供施工计划、报表及完成计划： </w:t>
      </w:r>
    </w:p>
    <w:p w14:paraId="53E15DD1">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①合同签订后3个工作日内，承包人须将总进度计划报项目施工监理单位审批后报发包人，一 式四份； </w:t>
      </w:r>
    </w:p>
    <w:p w14:paraId="62099C67">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②在招标和合同签订过程中尚未明确具体品牌、型号和相关技术要求的乙供设备材料必须提 </w:t>
      </w:r>
    </w:p>
    <w:p w14:paraId="7C256E61">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前3个日历天以上并在考虑供货周期并不影响工程施工进度的情况下向项目施工监理单位、发包人提出申请，并同时提交设备材料的具体品牌、型号和样品或样板，经发包人确认后采购。 </w:t>
      </w:r>
    </w:p>
    <w:p w14:paraId="476B58C2">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③双方约定承包人应做的其他工作：承包人应承担与本工程有关的一切其他应由承包人承担 </w:t>
      </w:r>
    </w:p>
    <w:p w14:paraId="2D1DB02A">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的工作。发包人委托承包人办理上述工作的费用已包含在承包人报价中。 </w:t>
      </w:r>
    </w:p>
    <w:p w14:paraId="0D1B8C5A">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5、双方约定的由承包人承担的其他工作： </w:t>
      </w:r>
    </w:p>
    <w:p w14:paraId="2EF324BC">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（1）按合同规定的施工承包范围及其工程质量、工期、安全、文明施工等要求，编制详细、 </w:t>
      </w:r>
    </w:p>
    <w:p w14:paraId="36BF4360">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完善的施工组织设计，报请发包人、监理审批后组织实施。发包人、监理审批并不减轻或免除承包人的责任，且承包人不得因此要求调整合同价格。 </w:t>
      </w:r>
    </w:p>
    <w:p w14:paraId="5426DB4D">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（2）承包人以合同工期为依据编制工程总体进度计划和各阶段的实施计划，施工准备计划， </w:t>
      </w:r>
    </w:p>
    <w:p w14:paraId="55B8C7F0">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劳动力进场计划，施工材料、设备、机具进场计划，报监理单位和发包人确认后，组织实施并跟踪控制。服从发包人、发包人聘请的监理工程师的监督管理，在本工程开工到质量保修期期限内，为保证全面、妥善履行合同义务，承包人必须建立行之有效的履约保证体系；所配备的人员应被 认为是保证承包人全面履约的必备管理人员，未经发包人的批准，不得随意撤换。 </w:t>
      </w:r>
    </w:p>
    <w:p w14:paraId="3EAE1892">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上述承包人工作所需费用均已包含在合同价内，中标后包干使用，不做调整。承包人施工时 </w:t>
      </w:r>
    </w:p>
    <w:p w14:paraId="09A56537">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必须与规划、电力、电信、广电、供水、市政、消防等有关部门密切配合，保质保量完成施工任务。 </w:t>
      </w:r>
    </w:p>
    <w:p w14:paraId="4CF9A8CA">
      <w:pPr>
        <w:adjustRightInd w:val="0"/>
        <w:snapToGrid w:val="0"/>
        <w:spacing w:line="360" w:lineRule="auto"/>
        <w:ind w:firstLine="420" w:firstLineChars="200"/>
        <w:rPr>
          <w:rFonts w:cs="宋体"/>
          <w:bCs/>
          <w:color w:val="auto"/>
          <w:sz w:val="21"/>
          <w:szCs w:val="21"/>
        </w:rPr>
      </w:pPr>
      <w:r>
        <w:rPr>
          <w:rFonts w:hint="eastAsia" w:cs="宋体"/>
          <w:bCs/>
          <w:color w:val="auto"/>
          <w:sz w:val="21"/>
          <w:szCs w:val="21"/>
        </w:rPr>
        <w:t>3.2 项目经理</w:t>
      </w:r>
    </w:p>
    <w:p w14:paraId="58F3BEED">
      <w:pPr>
        <w:adjustRightInd w:val="0"/>
        <w:snapToGrid w:val="0"/>
        <w:spacing w:line="360" w:lineRule="auto"/>
        <w:ind w:firstLine="420" w:firstLineChars="200"/>
        <w:rPr>
          <w:rFonts w:cs="宋体"/>
          <w:color w:val="auto"/>
          <w:sz w:val="21"/>
          <w:szCs w:val="21"/>
        </w:rPr>
      </w:pPr>
      <w:r>
        <w:rPr>
          <w:rFonts w:hint="eastAsia" w:cs="宋体"/>
          <w:color w:val="auto"/>
          <w:sz w:val="21"/>
          <w:szCs w:val="21"/>
        </w:rPr>
        <w:t>3.2.1 项目经理：</w:t>
      </w:r>
    </w:p>
    <w:p w14:paraId="6647AE79">
      <w:pPr>
        <w:adjustRightInd w:val="0"/>
        <w:snapToGrid w:val="0"/>
        <w:spacing w:line="360" w:lineRule="auto"/>
        <w:ind w:firstLine="420" w:firstLineChars="200"/>
        <w:rPr>
          <w:rFonts w:cs="宋体"/>
          <w:color w:val="auto"/>
          <w:sz w:val="21"/>
          <w:szCs w:val="21"/>
        </w:rPr>
      </w:pPr>
      <w:r>
        <w:rPr>
          <w:rFonts w:hint="eastAsia" w:cs="宋体"/>
          <w:color w:val="auto"/>
          <w:sz w:val="21"/>
          <w:szCs w:val="21"/>
        </w:rPr>
        <w:t>姓    名：</w:t>
      </w:r>
      <w:r>
        <w:rPr>
          <w:rFonts w:hint="eastAsia" w:cs="宋体"/>
          <w:color w:val="auto"/>
          <w:sz w:val="21"/>
          <w:szCs w:val="21"/>
          <w:u w:val="single"/>
        </w:rPr>
        <w:t>见《专用合同条款数据表》</w:t>
      </w:r>
      <w:r>
        <w:rPr>
          <w:rFonts w:hint="eastAsia" w:cs="宋体"/>
          <w:color w:val="auto"/>
          <w:sz w:val="21"/>
          <w:szCs w:val="21"/>
        </w:rPr>
        <w:t>；</w:t>
      </w:r>
    </w:p>
    <w:p w14:paraId="5E6B6CF4">
      <w:pPr>
        <w:adjustRightInd w:val="0"/>
        <w:snapToGrid w:val="0"/>
        <w:spacing w:line="360" w:lineRule="auto"/>
        <w:ind w:firstLine="420" w:firstLineChars="200"/>
        <w:rPr>
          <w:rFonts w:cs="宋体"/>
          <w:color w:val="auto"/>
          <w:sz w:val="21"/>
          <w:szCs w:val="21"/>
        </w:rPr>
      </w:pPr>
      <w:r>
        <w:rPr>
          <w:rFonts w:hint="eastAsia" w:cs="宋体"/>
          <w:color w:val="auto"/>
          <w:sz w:val="21"/>
          <w:szCs w:val="21"/>
        </w:rPr>
        <w:t>身份证号：</w:t>
      </w:r>
      <w:r>
        <w:rPr>
          <w:rFonts w:hint="eastAsia" w:cs="宋体"/>
          <w:color w:val="auto"/>
          <w:sz w:val="21"/>
          <w:szCs w:val="21"/>
          <w:u w:val="single"/>
        </w:rPr>
        <w:t>见《专用合同条款数据表》</w:t>
      </w:r>
      <w:r>
        <w:rPr>
          <w:rFonts w:hint="eastAsia" w:cs="宋体"/>
          <w:color w:val="auto"/>
          <w:sz w:val="21"/>
          <w:szCs w:val="21"/>
        </w:rPr>
        <w:t>；</w:t>
      </w:r>
    </w:p>
    <w:p w14:paraId="2AFD4A24">
      <w:pPr>
        <w:adjustRightInd w:val="0"/>
        <w:snapToGrid w:val="0"/>
        <w:spacing w:line="360" w:lineRule="auto"/>
        <w:ind w:firstLine="420" w:firstLineChars="200"/>
        <w:rPr>
          <w:rFonts w:cs="宋体"/>
          <w:color w:val="auto"/>
          <w:sz w:val="21"/>
          <w:szCs w:val="21"/>
        </w:rPr>
      </w:pPr>
      <w:r>
        <w:rPr>
          <w:rFonts w:hint="eastAsia" w:cs="宋体"/>
          <w:color w:val="auto"/>
          <w:sz w:val="21"/>
          <w:szCs w:val="21"/>
        </w:rPr>
        <w:t>建造师执业资格等级：</w:t>
      </w:r>
      <w:r>
        <w:rPr>
          <w:rFonts w:hint="eastAsia" w:cs="宋体"/>
          <w:color w:val="auto"/>
          <w:sz w:val="21"/>
          <w:szCs w:val="21"/>
          <w:u w:val="single"/>
        </w:rPr>
        <w:t>见《专用合同条款数据表》</w:t>
      </w:r>
      <w:r>
        <w:rPr>
          <w:rFonts w:hint="eastAsia" w:cs="宋体"/>
          <w:color w:val="auto"/>
          <w:sz w:val="21"/>
          <w:szCs w:val="21"/>
        </w:rPr>
        <w:t>；</w:t>
      </w:r>
    </w:p>
    <w:p w14:paraId="243054F4">
      <w:pPr>
        <w:adjustRightInd w:val="0"/>
        <w:snapToGrid w:val="0"/>
        <w:spacing w:line="360" w:lineRule="auto"/>
        <w:ind w:firstLine="420" w:firstLineChars="200"/>
        <w:rPr>
          <w:rFonts w:cs="宋体"/>
          <w:color w:val="auto"/>
          <w:sz w:val="21"/>
          <w:szCs w:val="21"/>
        </w:rPr>
      </w:pPr>
      <w:r>
        <w:rPr>
          <w:rFonts w:hint="eastAsia" w:cs="宋体"/>
          <w:color w:val="auto"/>
          <w:sz w:val="21"/>
          <w:szCs w:val="21"/>
        </w:rPr>
        <w:t>建造师注册证书号：</w:t>
      </w:r>
      <w:r>
        <w:rPr>
          <w:rFonts w:hint="eastAsia" w:cs="宋体"/>
          <w:color w:val="auto"/>
          <w:sz w:val="21"/>
          <w:szCs w:val="21"/>
          <w:u w:val="single"/>
        </w:rPr>
        <w:t>见《专用合同条款数据表》</w:t>
      </w:r>
      <w:r>
        <w:rPr>
          <w:rFonts w:hint="eastAsia" w:cs="宋体"/>
          <w:color w:val="auto"/>
          <w:sz w:val="21"/>
          <w:szCs w:val="21"/>
        </w:rPr>
        <w:t>；</w:t>
      </w:r>
    </w:p>
    <w:p w14:paraId="58684DE3">
      <w:pPr>
        <w:adjustRightInd w:val="0"/>
        <w:snapToGrid w:val="0"/>
        <w:spacing w:line="360" w:lineRule="auto"/>
        <w:ind w:firstLine="420" w:firstLineChars="200"/>
        <w:rPr>
          <w:rFonts w:cs="宋体"/>
          <w:color w:val="auto"/>
          <w:sz w:val="21"/>
          <w:szCs w:val="21"/>
        </w:rPr>
      </w:pPr>
      <w:r>
        <w:rPr>
          <w:rFonts w:hint="eastAsia" w:cs="宋体"/>
          <w:color w:val="auto"/>
          <w:sz w:val="21"/>
          <w:szCs w:val="21"/>
        </w:rPr>
        <w:t>建造师执业印章号：</w:t>
      </w:r>
      <w:r>
        <w:rPr>
          <w:rFonts w:hint="eastAsia" w:cs="宋体"/>
          <w:color w:val="auto"/>
          <w:sz w:val="21"/>
          <w:szCs w:val="21"/>
          <w:u w:val="single"/>
        </w:rPr>
        <w:t xml:space="preserve">                          </w:t>
      </w:r>
      <w:r>
        <w:rPr>
          <w:rFonts w:hint="eastAsia" w:cs="宋体"/>
          <w:color w:val="auto"/>
          <w:sz w:val="21"/>
          <w:szCs w:val="21"/>
        </w:rPr>
        <w:t>；</w:t>
      </w:r>
    </w:p>
    <w:p w14:paraId="304552C5">
      <w:pPr>
        <w:adjustRightInd w:val="0"/>
        <w:snapToGrid w:val="0"/>
        <w:spacing w:line="360" w:lineRule="auto"/>
        <w:ind w:firstLine="420" w:firstLineChars="200"/>
        <w:rPr>
          <w:rFonts w:cs="宋体"/>
          <w:color w:val="auto"/>
          <w:sz w:val="21"/>
          <w:szCs w:val="21"/>
        </w:rPr>
      </w:pPr>
      <w:r>
        <w:rPr>
          <w:rFonts w:hint="eastAsia" w:cs="宋体"/>
          <w:color w:val="auto"/>
          <w:sz w:val="21"/>
          <w:szCs w:val="21"/>
        </w:rPr>
        <w:t>安全生产考核合格证书号：</w:t>
      </w:r>
      <w:r>
        <w:rPr>
          <w:rFonts w:hint="eastAsia" w:cs="宋体"/>
          <w:color w:val="auto"/>
          <w:sz w:val="21"/>
          <w:szCs w:val="21"/>
          <w:u w:val="single"/>
        </w:rPr>
        <w:t xml:space="preserve">                          </w:t>
      </w:r>
      <w:r>
        <w:rPr>
          <w:rFonts w:hint="eastAsia" w:cs="宋体"/>
          <w:color w:val="auto"/>
          <w:sz w:val="21"/>
          <w:szCs w:val="21"/>
        </w:rPr>
        <w:t>；</w:t>
      </w:r>
    </w:p>
    <w:p w14:paraId="53987C51">
      <w:pPr>
        <w:adjustRightInd w:val="0"/>
        <w:snapToGrid w:val="0"/>
        <w:spacing w:line="360" w:lineRule="auto"/>
        <w:ind w:firstLine="420" w:firstLineChars="200"/>
        <w:rPr>
          <w:rFonts w:cs="宋体"/>
          <w:color w:val="auto"/>
          <w:sz w:val="21"/>
          <w:szCs w:val="21"/>
        </w:rPr>
      </w:pPr>
      <w:r>
        <w:rPr>
          <w:rFonts w:hint="eastAsia" w:cs="宋体"/>
          <w:color w:val="auto"/>
          <w:sz w:val="21"/>
          <w:szCs w:val="21"/>
        </w:rPr>
        <w:t>联系电话：</w:t>
      </w:r>
      <w:r>
        <w:rPr>
          <w:rFonts w:hint="eastAsia" w:cs="宋体"/>
          <w:color w:val="auto"/>
          <w:sz w:val="21"/>
          <w:szCs w:val="21"/>
          <w:u w:val="single"/>
        </w:rPr>
        <w:t xml:space="preserve">                          </w:t>
      </w:r>
      <w:r>
        <w:rPr>
          <w:rFonts w:hint="eastAsia" w:cs="宋体"/>
          <w:color w:val="auto"/>
          <w:sz w:val="21"/>
          <w:szCs w:val="21"/>
        </w:rPr>
        <w:t>；</w:t>
      </w:r>
    </w:p>
    <w:p w14:paraId="269CC29F">
      <w:pPr>
        <w:adjustRightInd w:val="0"/>
        <w:snapToGrid w:val="0"/>
        <w:spacing w:line="360" w:lineRule="auto"/>
        <w:ind w:firstLine="420" w:firstLineChars="200"/>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rPr>
        <w:t>；</w:t>
      </w:r>
    </w:p>
    <w:p w14:paraId="1462320B">
      <w:pPr>
        <w:adjustRightInd w:val="0"/>
        <w:snapToGrid w:val="0"/>
        <w:spacing w:line="360" w:lineRule="auto"/>
        <w:ind w:firstLine="420" w:firstLineChars="200"/>
        <w:rPr>
          <w:rFonts w:cs="宋体"/>
          <w:color w:val="auto"/>
          <w:sz w:val="21"/>
          <w:szCs w:val="21"/>
        </w:rPr>
      </w:pPr>
      <w:r>
        <w:rPr>
          <w:rFonts w:hint="eastAsia" w:cs="宋体"/>
          <w:color w:val="auto"/>
          <w:sz w:val="21"/>
          <w:szCs w:val="21"/>
        </w:rPr>
        <w:t>通信地址：</w:t>
      </w:r>
      <w:r>
        <w:rPr>
          <w:rFonts w:hint="eastAsia" w:cs="宋体"/>
          <w:color w:val="auto"/>
          <w:sz w:val="21"/>
          <w:szCs w:val="21"/>
          <w:u w:val="single"/>
        </w:rPr>
        <w:t xml:space="preserve">                          </w:t>
      </w:r>
      <w:r>
        <w:rPr>
          <w:rFonts w:hint="eastAsia" w:cs="宋体"/>
          <w:color w:val="auto"/>
          <w:sz w:val="21"/>
          <w:szCs w:val="21"/>
        </w:rPr>
        <w:t>；</w:t>
      </w:r>
    </w:p>
    <w:p w14:paraId="7C93A82E">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承包人对项目经理的授权范围如下：</w:t>
      </w:r>
      <w:r>
        <w:rPr>
          <w:rFonts w:hint="eastAsia" w:cs="宋体"/>
          <w:color w:val="auto"/>
          <w:sz w:val="21"/>
          <w:szCs w:val="21"/>
          <w:u w:val="single"/>
        </w:rPr>
        <w:t>见《专用合同条款数据表》</w:t>
      </w:r>
      <w:r>
        <w:rPr>
          <w:rFonts w:hint="eastAsia" w:cs="宋体"/>
          <w:color w:val="auto"/>
          <w:sz w:val="21"/>
          <w:szCs w:val="21"/>
        </w:rPr>
        <w:t>。</w:t>
      </w:r>
    </w:p>
    <w:p w14:paraId="6FA79DA6">
      <w:pPr>
        <w:keepNext w:val="0"/>
        <w:keepLines w:val="0"/>
        <w:widowControl/>
        <w:suppressLineNumbers w:val="0"/>
        <w:ind w:firstLine="420" w:firstLineChars="200"/>
        <w:jc w:val="left"/>
        <w:rPr>
          <w:rFonts w:cs="宋体"/>
          <w:color w:val="auto"/>
          <w:sz w:val="21"/>
          <w:szCs w:val="21"/>
        </w:rPr>
      </w:pPr>
      <w:r>
        <w:rPr>
          <w:rFonts w:hint="eastAsia" w:cs="宋体"/>
          <w:color w:val="auto"/>
          <w:sz w:val="21"/>
          <w:szCs w:val="21"/>
        </w:rPr>
        <w:t>关于项目经理每月在施工现场的时间要求：</w:t>
      </w:r>
      <w:r>
        <w:rPr>
          <w:rFonts w:hint="eastAsia" w:ascii="宋体" w:hAnsi="宋体" w:eastAsia="宋体" w:cs="宋体"/>
          <w:color w:val="000000"/>
          <w:kern w:val="0"/>
          <w:sz w:val="21"/>
          <w:szCs w:val="21"/>
          <w:u w:val="single"/>
          <w:lang w:val="en-US" w:eastAsia="zh-CN" w:bidi="ar"/>
        </w:rPr>
        <w:t>每月到岗天数原则上不得低于22个日历天</w:t>
      </w:r>
      <w:r>
        <w:rPr>
          <w:rFonts w:hint="eastAsia" w:ascii="宋体" w:hAnsi="宋体" w:eastAsia="宋体" w:cs="宋体"/>
          <w:color w:val="000000"/>
          <w:kern w:val="0"/>
          <w:sz w:val="21"/>
          <w:szCs w:val="21"/>
          <w:lang w:val="en-US" w:eastAsia="zh-CN" w:bidi="ar"/>
        </w:rPr>
        <w:t>。</w:t>
      </w:r>
    </w:p>
    <w:p w14:paraId="3BEB7717">
      <w:pPr>
        <w:keepNext w:val="0"/>
        <w:keepLines w:val="0"/>
        <w:widowControl/>
        <w:suppressLineNumbers w:val="0"/>
        <w:jc w:val="left"/>
        <w:rPr>
          <w:u w:val="single"/>
        </w:rPr>
      </w:pPr>
      <w:r>
        <w:rPr>
          <w:rFonts w:hint="eastAsia" w:cs="宋体"/>
          <w:color w:val="auto"/>
          <w:sz w:val="21"/>
          <w:szCs w:val="21"/>
        </w:rPr>
        <w:t>承包人未提交劳动合同，以及没有为项目经理缴纳社会保险证明的违约责任：</w:t>
      </w:r>
      <w:r>
        <w:rPr>
          <w:rFonts w:hint="eastAsia" w:ascii="宋体" w:hAnsi="宋体" w:eastAsia="宋体" w:cs="宋体"/>
          <w:color w:val="000000"/>
          <w:kern w:val="0"/>
          <w:sz w:val="21"/>
          <w:szCs w:val="21"/>
          <w:u w:val="single"/>
          <w:lang w:val="en-US" w:eastAsia="zh-CN" w:bidi="ar"/>
        </w:rPr>
        <w:t xml:space="preserve">承包人在提交 </w:t>
      </w:r>
    </w:p>
    <w:p w14:paraId="773CF060">
      <w:pPr>
        <w:keepNext w:val="0"/>
        <w:keepLines w:val="0"/>
        <w:widowControl/>
        <w:suppressLineNumbers w:val="0"/>
        <w:jc w:val="left"/>
        <w:rPr>
          <w:rFonts w:cs="宋体"/>
          <w:color w:val="auto"/>
          <w:sz w:val="21"/>
          <w:szCs w:val="21"/>
        </w:rPr>
      </w:pPr>
      <w:r>
        <w:rPr>
          <w:rFonts w:hint="eastAsia" w:ascii="宋体" w:hAnsi="宋体" w:eastAsia="宋体" w:cs="宋体"/>
          <w:color w:val="000000"/>
          <w:kern w:val="0"/>
          <w:sz w:val="21"/>
          <w:szCs w:val="21"/>
          <w:u w:val="single"/>
          <w:lang w:val="en-US" w:eastAsia="zh-CN" w:bidi="ar"/>
        </w:rPr>
        <w:t>项目组织机构报验申请表时将项目经理的劳动合同、承包人为其缴纳的社会保险有效证明一并提交。未按要求提交的，承包人必须在7天内补交，并承担违约金</w:t>
      </w:r>
      <w:r>
        <w:rPr>
          <w:rFonts w:hint="eastAsia" w:cs="宋体"/>
          <w:color w:val="000000"/>
          <w:kern w:val="0"/>
          <w:sz w:val="21"/>
          <w:szCs w:val="21"/>
          <w:u w:val="single"/>
          <w:lang w:val="en-US" w:eastAsia="zh-CN" w:bidi="ar"/>
        </w:rPr>
        <w:t>5000</w:t>
      </w:r>
      <w:r>
        <w:rPr>
          <w:rFonts w:hint="eastAsia" w:ascii="宋体" w:hAnsi="宋体" w:eastAsia="宋体" w:cs="宋体"/>
          <w:color w:val="000000"/>
          <w:kern w:val="0"/>
          <w:sz w:val="21"/>
          <w:szCs w:val="21"/>
          <w:u w:val="single"/>
          <w:lang w:val="en-US" w:eastAsia="zh-CN" w:bidi="ar"/>
        </w:rPr>
        <w:t>元；7天内不能补交的，发包人有权要求承包人更换项目经理，承包人承担违约金</w:t>
      </w:r>
      <w:r>
        <w:rPr>
          <w:rFonts w:hint="eastAsia" w:cs="宋体"/>
          <w:color w:val="000000"/>
          <w:kern w:val="0"/>
          <w:sz w:val="21"/>
          <w:szCs w:val="21"/>
          <w:u w:val="single"/>
          <w:lang w:val="en-US" w:eastAsia="zh-CN" w:bidi="ar"/>
        </w:rPr>
        <w:t>2</w:t>
      </w:r>
      <w:r>
        <w:rPr>
          <w:rFonts w:hint="eastAsia" w:ascii="宋体" w:hAnsi="宋体" w:eastAsia="宋体" w:cs="宋体"/>
          <w:color w:val="000000"/>
          <w:kern w:val="0"/>
          <w:sz w:val="21"/>
          <w:szCs w:val="21"/>
          <w:u w:val="single"/>
          <w:lang w:val="en-US" w:eastAsia="zh-CN" w:bidi="ar"/>
        </w:rPr>
        <w:t>万元，由此增加的费用和延误的工期由承包人承担</w:t>
      </w:r>
      <w:r>
        <w:rPr>
          <w:rFonts w:hint="eastAsia" w:ascii="宋体" w:hAnsi="宋体" w:eastAsia="宋体" w:cs="宋体"/>
          <w:color w:val="000000"/>
          <w:kern w:val="0"/>
          <w:sz w:val="21"/>
          <w:szCs w:val="21"/>
          <w:lang w:val="en-US" w:eastAsia="zh-CN" w:bidi="ar"/>
        </w:rPr>
        <w:t>。</w:t>
      </w:r>
    </w:p>
    <w:p w14:paraId="08C20601">
      <w:pPr>
        <w:keepNext w:val="0"/>
        <w:keepLines w:val="0"/>
        <w:widowControl/>
        <w:suppressLineNumbers w:val="0"/>
        <w:ind w:firstLine="420" w:firstLineChars="200"/>
        <w:jc w:val="left"/>
      </w:pPr>
      <w:r>
        <w:rPr>
          <w:rFonts w:hint="eastAsia" w:cs="宋体"/>
          <w:color w:val="auto"/>
          <w:sz w:val="21"/>
          <w:szCs w:val="21"/>
        </w:rPr>
        <w:t>项目经理未经批准，擅自离开施工现场的违约责任：</w:t>
      </w:r>
      <w:r>
        <w:rPr>
          <w:rFonts w:hint="eastAsia" w:ascii="宋体" w:hAnsi="宋体" w:eastAsia="宋体" w:cs="宋体"/>
          <w:color w:val="000000"/>
          <w:kern w:val="0"/>
          <w:sz w:val="21"/>
          <w:szCs w:val="21"/>
          <w:u w:val="single"/>
          <w:lang w:val="en-US" w:eastAsia="zh-CN" w:bidi="ar"/>
        </w:rPr>
        <w:t>项目经理不在岗（请假、不可抗 力除外）①履约考核不在岗、擅自离开施工现场等：合同总价在500万元以下（含），处500元/次违约金。 每月无故缺勤三次以上（含），加倍处罚。②缺席监理会议、建设单位会议 等各种会议：合同总价在500万元以下（含），处800元/次违约金。每月无故缺勤三次以上（含），加倍处罚。项目经理、技术负责人每月缺勤率达到60%，除进行违约处罚外，由建设单位上报行政主管部门，对承包人进行信用评价、违法分包认定及相应处罚</w:t>
      </w:r>
      <w:r>
        <w:rPr>
          <w:rFonts w:hint="eastAsia" w:ascii="宋体" w:hAnsi="宋体" w:eastAsia="宋体" w:cs="宋体"/>
          <w:color w:val="000000"/>
          <w:kern w:val="0"/>
          <w:sz w:val="21"/>
          <w:szCs w:val="21"/>
          <w:lang w:val="en-US" w:eastAsia="zh-CN" w:bidi="ar"/>
        </w:rPr>
        <w:t>。</w:t>
      </w:r>
    </w:p>
    <w:p w14:paraId="0873F481">
      <w:pPr>
        <w:keepNext w:val="0"/>
        <w:keepLines w:val="0"/>
        <w:widowControl/>
        <w:suppressLineNumbers w:val="0"/>
        <w:ind w:firstLine="420" w:firstLineChars="200"/>
        <w:jc w:val="left"/>
        <w:rPr>
          <w:rFonts w:cs="宋体"/>
          <w:color w:val="auto"/>
          <w:sz w:val="21"/>
          <w:szCs w:val="21"/>
        </w:rPr>
      </w:pPr>
      <w:r>
        <w:rPr>
          <w:rFonts w:hint="eastAsia" w:cs="宋体"/>
          <w:color w:val="auto"/>
          <w:sz w:val="21"/>
          <w:szCs w:val="21"/>
        </w:rPr>
        <w:t xml:space="preserve">3.2.3 </w:t>
      </w:r>
      <w:r>
        <w:rPr>
          <w:rFonts w:hint="eastAsia" w:cs="宋体"/>
          <w:color w:val="auto"/>
          <w:sz w:val="21"/>
          <w:szCs w:val="21"/>
          <w:u w:val="single"/>
        </w:rPr>
        <w:t>承包人擅自更换项目经理的违约责任：</w:t>
      </w:r>
      <w:r>
        <w:rPr>
          <w:rFonts w:hint="eastAsia" w:ascii="宋体" w:hAnsi="宋体" w:eastAsia="宋体" w:cs="宋体"/>
          <w:color w:val="000000"/>
          <w:kern w:val="0"/>
          <w:sz w:val="21"/>
          <w:szCs w:val="21"/>
          <w:u w:val="single"/>
          <w:lang w:val="en-US" w:eastAsia="zh-CN" w:bidi="ar"/>
        </w:rPr>
        <w:t>处</w:t>
      </w:r>
      <w:r>
        <w:rPr>
          <w:rFonts w:hint="eastAsia" w:cs="宋体"/>
          <w:color w:val="000000"/>
          <w:kern w:val="0"/>
          <w:sz w:val="21"/>
          <w:szCs w:val="21"/>
          <w:u w:val="single"/>
          <w:lang w:val="en-US" w:eastAsia="zh-CN" w:bidi="ar"/>
        </w:rPr>
        <w:t>2</w:t>
      </w:r>
      <w:r>
        <w:rPr>
          <w:rFonts w:hint="eastAsia" w:ascii="宋体" w:hAnsi="宋体" w:eastAsia="宋体" w:cs="宋体"/>
          <w:color w:val="000000"/>
          <w:kern w:val="0"/>
          <w:sz w:val="21"/>
          <w:szCs w:val="21"/>
          <w:u w:val="single"/>
          <w:lang w:val="en-US" w:eastAsia="zh-CN" w:bidi="ar"/>
        </w:rPr>
        <w:t>万元/次违约金。</w:t>
      </w:r>
    </w:p>
    <w:p w14:paraId="1320284A">
      <w:pPr>
        <w:keepNext w:val="0"/>
        <w:keepLines w:val="0"/>
        <w:widowControl/>
        <w:suppressLineNumbers w:val="0"/>
        <w:ind w:firstLine="420" w:firstLineChars="200"/>
        <w:jc w:val="left"/>
        <w:rPr>
          <w:rFonts w:cs="宋体"/>
          <w:color w:val="auto"/>
          <w:sz w:val="21"/>
          <w:szCs w:val="21"/>
        </w:rPr>
      </w:pPr>
      <w:r>
        <w:rPr>
          <w:rFonts w:hint="eastAsia" w:cs="宋体"/>
          <w:color w:val="auto"/>
          <w:sz w:val="21"/>
          <w:szCs w:val="21"/>
        </w:rPr>
        <w:t>3.2.4 承包人无正当理由拒绝更换项目经理的违约责任：</w:t>
      </w:r>
      <w:r>
        <w:rPr>
          <w:rFonts w:hint="eastAsia" w:ascii="宋体" w:hAnsi="宋体" w:eastAsia="宋体" w:cs="宋体"/>
          <w:color w:val="000000"/>
          <w:kern w:val="0"/>
          <w:sz w:val="21"/>
          <w:szCs w:val="21"/>
          <w:u w:val="single"/>
          <w:lang w:val="en-US" w:eastAsia="zh-CN" w:bidi="ar"/>
        </w:rPr>
        <w:t>合同履行过程中，发包人认为项目经理或其他施工管理人员，不能胜任本项目工作，要求承包人更换项目经理或其他管理人员，承 包人拒绝的，双倍处罚，并承担违约给发包人造成的一切损失</w:t>
      </w:r>
      <w:r>
        <w:rPr>
          <w:rFonts w:hint="eastAsia" w:ascii="宋体" w:hAnsi="宋体" w:eastAsia="宋体" w:cs="宋体"/>
          <w:color w:val="000000"/>
          <w:kern w:val="0"/>
          <w:sz w:val="21"/>
          <w:szCs w:val="21"/>
          <w:lang w:val="en-US" w:eastAsia="zh-CN" w:bidi="ar"/>
        </w:rPr>
        <w:t xml:space="preserve"> 。</w:t>
      </w:r>
    </w:p>
    <w:p w14:paraId="02482793">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3.3 承包人人员</w:t>
      </w:r>
    </w:p>
    <w:p w14:paraId="7DBEF0E6">
      <w:pPr>
        <w:keepNext w:val="0"/>
        <w:keepLines w:val="0"/>
        <w:widowControl/>
        <w:suppressLineNumbers w:val="0"/>
        <w:ind w:firstLine="420" w:firstLineChars="200"/>
        <w:jc w:val="left"/>
        <w:rPr>
          <w:rFonts w:cs="宋体"/>
          <w:color w:val="auto"/>
          <w:sz w:val="21"/>
          <w:szCs w:val="21"/>
        </w:rPr>
      </w:pPr>
      <w:r>
        <w:rPr>
          <w:rFonts w:hint="eastAsia" w:cs="宋体"/>
          <w:color w:val="auto"/>
          <w:sz w:val="21"/>
          <w:szCs w:val="21"/>
        </w:rPr>
        <w:t>3.3.1 承包人提交项目管理机构及施工现场管理人员安排报告的期限：</w:t>
      </w:r>
      <w:r>
        <w:rPr>
          <w:rFonts w:hint="eastAsia" w:ascii="宋体" w:hAnsi="宋体" w:eastAsia="宋体" w:cs="宋体"/>
          <w:color w:val="000000"/>
          <w:kern w:val="0"/>
          <w:sz w:val="21"/>
          <w:szCs w:val="21"/>
          <w:u w:val="single"/>
          <w:lang w:val="en-US" w:eastAsia="zh-CN" w:bidi="ar"/>
        </w:rPr>
        <w:t>到开工通知后3天内</w:t>
      </w:r>
      <w:r>
        <w:rPr>
          <w:rFonts w:hint="eastAsia" w:cs="宋体"/>
          <w:color w:val="auto"/>
          <w:sz w:val="21"/>
          <w:szCs w:val="21"/>
        </w:rPr>
        <w:t>。</w:t>
      </w:r>
    </w:p>
    <w:p w14:paraId="3003666A">
      <w:pPr>
        <w:keepNext w:val="0"/>
        <w:keepLines w:val="0"/>
        <w:widowControl/>
        <w:suppressLineNumbers w:val="0"/>
        <w:ind w:firstLine="420" w:firstLineChars="200"/>
        <w:jc w:val="left"/>
        <w:rPr>
          <w:rFonts w:cs="宋体"/>
          <w:color w:val="auto"/>
          <w:sz w:val="21"/>
          <w:szCs w:val="21"/>
        </w:rPr>
      </w:pPr>
      <w:r>
        <w:rPr>
          <w:rFonts w:hint="eastAsia" w:cs="宋体"/>
          <w:color w:val="auto"/>
          <w:sz w:val="21"/>
          <w:szCs w:val="21"/>
        </w:rPr>
        <w:t>3.3.3 承包人无正当理由拒绝撤换主要施工管理人员的违约责任：</w:t>
      </w:r>
      <w:r>
        <w:rPr>
          <w:rFonts w:hint="eastAsia" w:ascii="宋体" w:hAnsi="宋体" w:eastAsia="宋体" w:cs="宋体"/>
          <w:color w:val="000000"/>
          <w:kern w:val="0"/>
          <w:sz w:val="21"/>
          <w:szCs w:val="21"/>
          <w:u w:val="single"/>
          <w:lang w:val="en-US" w:eastAsia="zh-CN" w:bidi="ar"/>
        </w:rPr>
        <w:t>合同履行过程中，发包人认为项目经理或其他施工管理人员，不能胜任本项目工作，要求承包人更换项目经理或其他管理人员，承包人拒绝的，双倍处罚，并承担违约给发包人造成的一切损失</w:t>
      </w:r>
      <w:r>
        <w:rPr>
          <w:rFonts w:hint="eastAsia" w:cs="宋体"/>
          <w:color w:val="auto"/>
          <w:sz w:val="21"/>
          <w:szCs w:val="21"/>
        </w:rPr>
        <w:t>。</w:t>
      </w:r>
    </w:p>
    <w:p w14:paraId="472F7756">
      <w:pPr>
        <w:keepNext w:val="0"/>
        <w:keepLines w:val="0"/>
        <w:widowControl/>
        <w:suppressLineNumbers w:val="0"/>
        <w:ind w:firstLine="420" w:firstLineChars="200"/>
        <w:jc w:val="left"/>
        <w:rPr>
          <w:rFonts w:cs="宋体"/>
          <w:color w:val="auto"/>
          <w:sz w:val="21"/>
          <w:szCs w:val="21"/>
          <w:u w:val="single"/>
        </w:rPr>
      </w:pPr>
      <w:r>
        <w:rPr>
          <w:rFonts w:hint="eastAsia" w:cs="宋体"/>
          <w:color w:val="auto"/>
          <w:sz w:val="21"/>
          <w:szCs w:val="21"/>
        </w:rPr>
        <w:t>3.3.4 承包人主要施工管理人员离开施工现场的批准要求：</w:t>
      </w:r>
      <w:r>
        <w:rPr>
          <w:rFonts w:hint="eastAsia" w:ascii="宋体" w:hAnsi="宋体" w:eastAsia="宋体" w:cs="宋体"/>
          <w:color w:val="000000"/>
          <w:kern w:val="0"/>
          <w:sz w:val="21"/>
          <w:szCs w:val="21"/>
          <w:u w:val="single"/>
          <w:lang w:val="en-US" w:eastAsia="zh-CN" w:bidi="ar"/>
        </w:rPr>
        <w:t>建设单位项目经理及总监理工程师批准</w:t>
      </w:r>
      <w:r>
        <w:rPr>
          <w:rFonts w:hint="eastAsia" w:cs="宋体"/>
          <w:color w:val="auto"/>
          <w:sz w:val="21"/>
          <w:szCs w:val="21"/>
        </w:rPr>
        <w:t>。</w:t>
      </w:r>
    </w:p>
    <w:p w14:paraId="7DCF0707">
      <w:pPr>
        <w:keepNext w:val="0"/>
        <w:keepLines w:val="0"/>
        <w:widowControl/>
        <w:suppressLineNumbers w:val="0"/>
        <w:ind w:firstLine="420" w:firstLineChars="200"/>
        <w:jc w:val="left"/>
      </w:pPr>
      <w:r>
        <w:rPr>
          <w:rFonts w:hint="eastAsia" w:cs="宋体"/>
          <w:color w:val="auto"/>
          <w:sz w:val="21"/>
          <w:szCs w:val="21"/>
        </w:rPr>
        <w:t>3.3.5 承包人擅自更换主要施工管理人员的违约责任：</w:t>
      </w:r>
      <w:r>
        <w:rPr>
          <w:rFonts w:hint="eastAsia" w:ascii="宋体" w:hAnsi="宋体" w:eastAsia="宋体" w:cs="宋体"/>
          <w:color w:val="000000"/>
          <w:kern w:val="0"/>
          <w:sz w:val="21"/>
          <w:szCs w:val="21"/>
          <w:lang w:val="en-US" w:eastAsia="zh-CN" w:bidi="ar"/>
        </w:rPr>
        <w:t>更换技术负责人：</w:t>
      </w:r>
      <w:r>
        <w:rPr>
          <w:rFonts w:hint="eastAsia" w:ascii="宋体" w:hAnsi="宋体" w:eastAsia="宋体" w:cs="宋体"/>
          <w:color w:val="000000"/>
          <w:kern w:val="0"/>
          <w:sz w:val="21"/>
          <w:szCs w:val="21"/>
          <w:u w:val="single"/>
          <w:lang w:val="en-US" w:eastAsia="zh-CN" w:bidi="ar"/>
        </w:rPr>
        <w:t>参照项目经理处罚标准规定执行。更换其他人员：参照项目经理处罚标准的30%执行。最高不超过</w:t>
      </w:r>
      <w:r>
        <w:rPr>
          <w:rFonts w:hint="eastAsia" w:cs="宋体"/>
          <w:color w:val="000000"/>
          <w:kern w:val="0"/>
          <w:sz w:val="21"/>
          <w:szCs w:val="21"/>
          <w:u w:val="single"/>
          <w:lang w:val="en-US" w:eastAsia="zh-CN" w:bidi="ar"/>
        </w:rPr>
        <w:t>3</w:t>
      </w:r>
      <w:r>
        <w:rPr>
          <w:rFonts w:hint="eastAsia" w:ascii="宋体" w:hAnsi="宋体" w:eastAsia="宋体" w:cs="宋体"/>
          <w:color w:val="000000"/>
          <w:kern w:val="0"/>
          <w:sz w:val="21"/>
          <w:szCs w:val="21"/>
          <w:u w:val="single"/>
          <w:lang w:val="en-US" w:eastAsia="zh-CN" w:bidi="ar"/>
        </w:rPr>
        <w:t>万元。</w:t>
      </w:r>
    </w:p>
    <w:p w14:paraId="67D37871">
      <w:pPr>
        <w:keepNext w:val="0"/>
        <w:keepLines w:val="0"/>
        <w:widowControl/>
        <w:suppressLineNumbers w:val="0"/>
        <w:ind w:firstLine="420" w:firstLineChars="200"/>
        <w:jc w:val="left"/>
        <w:rPr>
          <w:rFonts w:cs="宋体"/>
          <w:color w:val="auto"/>
          <w:sz w:val="21"/>
          <w:szCs w:val="21"/>
        </w:rPr>
      </w:pPr>
      <w:r>
        <w:rPr>
          <w:rFonts w:hint="eastAsia" w:cs="宋体"/>
          <w:color w:val="auto"/>
          <w:sz w:val="21"/>
          <w:szCs w:val="21"/>
        </w:rPr>
        <w:t>承包人主要施工管理人员擅自离开施工现场的违约责任：</w:t>
      </w:r>
      <w:r>
        <w:rPr>
          <w:rFonts w:hint="eastAsia" w:ascii="宋体" w:hAnsi="宋体" w:eastAsia="宋体" w:cs="宋体"/>
          <w:color w:val="000000"/>
          <w:kern w:val="0"/>
          <w:sz w:val="21"/>
          <w:szCs w:val="21"/>
          <w:u w:val="single"/>
          <w:lang w:val="en-US" w:eastAsia="zh-CN" w:bidi="ar"/>
        </w:rPr>
        <w:t>技术负责人参照项目经理处罚标准。其他管理人员参照项目经理处罚标准的30%执行。项目经理、技术负责人每月缺勤率达到60%，除进行违约处罚外，由建设单位上报行政主管部门，对承包人进行信用评价、违法分包认定及相应处罚</w:t>
      </w:r>
      <w:r>
        <w:rPr>
          <w:rFonts w:hint="eastAsia" w:cs="宋体"/>
          <w:color w:val="auto"/>
          <w:sz w:val="21"/>
          <w:szCs w:val="21"/>
        </w:rPr>
        <w:t>。</w:t>
      </w:r>
    </w:p>
    <w:p w14:paraId="4E52B109">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3</w:t>
      </w:r>
      <w:bookmarkStart w:id="120" w:name="_Toc297123492"/>
      <w:bookmarkStart w:id="121" w:name="_Toc296944498"/>
      <w:bookmarkStart w:id="122" w:name="_Toc297216151"/>
      <w:bookmarkStart w:id="123" w:name="_Toc296890987"/>
      <w:bookmarkStart w:id="124" w:name="_Toc297048345"/>
      <w:bookmarkStart w:id="125" w:name="_Toc312677988"/>
      <w:bookmarkStart w:id="126" w:name="_Toc296891199"/>
      <w:bookmarkStart w:id="127" w:name="_Toc303539102"/>
      <w:bookmarkStart w:id="128" w:name="_Toc292559869"/>
      <w:bookmarkStart w:id="129" w:name="_Toc296347158"/>
      <w:bookmarkStart w:id="130" w:name="_Toc296503159"/>
      <w:bookmarkStart w:id="131" w:name="_Toc297120459"/>
      <w:bookmarkStart w:id="132" w:name="_Toc292559364"/>
      <w:bookmarkStart w:id="133" w:name="_Toc300934945"/>
      <w:bookmarkStart w:id="134" w:name="_Toc304295523"/>
      <w:bookmarkStart w:id="135" w:name="_Toc296346660"/>
      <w:r>
        <w:rPr>
          <w:rFonts w:hint="eastAsia" w:cs="宋体"/>
          <w:bCs/>
          <w:color w:val="auto"/>
          <w:sz w:val="21"/>
          <w:szCs w:val="21"/>
        </w:rPr>
        <w:t>.5 分包</w:t>
      </w:r>
    </w:p>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14:paraId="36CD9C53">
      <w:pPr>
        <w:adjustRightInd w:val="0"/>
        <w:snapToGrid w:val="0"/>
        <w:spacing w:line="360" w:lineRule="auto"/>
        <w:ind w:firstLine="420" w:firstLineChars="200"/>
        <w:rPr>
          <w:rFonts w:cs="宋体"/>
          <w:color w:val="auto"/>
          <w:sz w:val="21"/>
          <w:szCs w:val="21"/>
        </w:rPr>
      </w:pPr>
      <w:r>
        <w:rPr>
          <w:rFonts w:hint="eastAsia" w:cs="宋体"/>
          <w:color w:val="auto"/>
          <w:sz w:val="21"/>
          <w:szCs w:val="21"/>
        </w:rPr>
        <w:t>3</w:t>
      </w:r>
      <w:bookmarkStart w:id="136" w:name="_Toc292559365"/>
      <w:bookmarkStart w:id="137" w:name="_Toc296890988"/>
      <w:bookmarkStart w:id="138" w:name="_Toc296944499"/>
      <w:bookmarkStart w:id="139" w:name="_Toc304295524"/>
      <w:bookmarkStart w:id="140" w:name="_Toc297048346"/>
      <w:bookmarkStart w:id="141" w:name="_Toc296503160"/>
      <w:bookmarkStart w:id="142" w:name="_Toc297123493"/>
      <w:bookmarkStart w:id="143" w:name="_Toc297216152"/>
      <w:bookmarkStart w:id="144" w:name="_Toc297120460"/>
      <w:bookmarkStart w:id="145" w:name="_Toc296891200"/>
      <w:bookmarkStart w:id="146" w:name="_Toc300934946"/>
      <w:bookmarkStart w:id="147" w:name="_Toc296346661"/>
      <w:bookmarkStart w:id="148" w:name="_Toc292559870"/>
      <w:bookmarkStart w:id="149" w:name="_Toc296347159"/>
      <w:bookmarkStart w:id="150" w:name="_Toc303539103"/>
      <w:bookmarkStart w:id="151" w:name="_Toc318581158"/>
      <w:bookmarkStart w:id="152" w:name="_Toc312677989"/>
      <w:r>
        <w:rPr>
          <w:rFonts w:hint="eastAsia" w:cs="宋体"/>
          <w:color w:val="auto"/>
          <w:sz w:val="21"/>
          <w:szCs w:val="21"/>
        </w:rPr>
        <w:t>.5.1 分包的一般约定</w:t>
      </w:r>
    </w:p>
    <w:p w14:paraId="02188D0C">
      <w:pPr>
        <w:adjustRightInd w:val="0"/>
        <w:snapToGrid w:val="0"/>
        <w:spacing w:line="360" w:lineRule="auto"/>
        <w:ind w:firstLine="420" w:firstLineChars="200"/>
        <w:rPr>
          <w:rFonts w:cs="宋体"/>
          <w:color w:val="auto"/>
          <w:sz w:val="21"/>
          <w:szCs w:val="21"/>
        </w:rPr>
      </w:pPr>
      <w:r>
        <w:rPr>
          <w:rFonts w:hint="eastAsia" w:cs="宋体"/>
          <w:color w:val="auto"/>
          <w:sz w:val="21"/>
          <w:szCs w:val="21"/>
        </w:rPr>
        <w:t>禁止分包的工程包括：</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0A6B1BDE">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主体结构、关键性工作的范围：</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Start w:id="153" w:name="_Toc304295525"/>
      <w:bookmarkStart w:id="154" w:name="_Toc296347160"/>
      <w:bookmarkStart w:id="155" w:name="_Toc296944500"/>
      <w:bookmarkStart w:id="156" w:name="_Toc296890989"/>
      <w:bookmarkStart w:id="157" w:name="_Toc296891201"/>
      <w:bookmarkStart w:id="158" w:name="_Toc300934947"/>
      <w:bookmarkStart w:id="159" w:name="_Toc296346662"/>
      <w:bookmarkStart w:id="160" w:name="_Toc297048347"/>
      <w:bookmarkStart w:id="161" w:name="_Toc297216153"/>
      <w:bookmarkStart w:id="162" w:name="_Toc296503161"/>
      <w:bookmarkStart w:id="163" w:name="_Toc303539104"/>
      <w:bookmarkStart w:id="164" w:name="_Toc297120461"/>
      <w:bookmarkStart w:id="165" w:name="_Toc297123494"/>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14:paraId="33889D24">
      <w:pPr>
        <w:adjustRightInd w:val="0"/>
        <w:snapToGrid w:val="0"/>
        <w:spacing w:line="360" w:lineRule="auto"/>
        <w:ind w:firstLine="420" w:firstLineChars="200"/>
        <w:rPr>
          <w:rFonts w:cs="宋体"/>
          <w:color w:val="auto"/>
          <w:sz w:val="21"/>
          <w:szCs w:val="21"/>
        </w:rPr>
      </w:pPr>
      <w:r>
        <w:rPr>
          <w:rFonts w:hint="eastAsia" w:cs="宋体"/>
          <w:color w:val="auto"/>
          <w:sz w:val="21"/>
          <w:szCs w:val="21"/>
        </w:rPr>
        <w:t>3</w:t>
      </w:r>
      <w:bookmarkStart w:id="166" w:name="_Toc312677990"/>
      <w:bookmarkStart w:id="167" w:name="_Toc318581159"/>
      <w:r>
        <w:rPr>
          <w:rFonts w:hint="eastAsia" w:cs="宋体"/>
          <w:color w:val="auto"/>
          <w:sz w:val="21"/>
          <w:szCs w:val="21"/>
        </w:rPr>
        <w:t>.5.2 分包的确定</w:t>
      </w:r>
    </w:p>
    <w:p w14:paraId="04B5D50E">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允许分包的专业工程包括：</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3725980C">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其他关于分包的约定：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640E629E">
      <w:pPr>
        <w:adjustRightInd w:val="0"/>
        <w:snapToGrid w:val="0"/>
        <w:spacing w:line="360" w:lineRule="auto"/>
        <w:ind w:firstLine="420" w:firstLineChars="200"/>
        <w:rPr>
          <w:rFonts w:cs="宋体"/>
          <w:color w:val="auto"/>
          <w:sz w:val="21"/>
          <w:szCs w:val="21"/>
        </w:rPr>
      </w:pPr>
      <w:r>
        <w:rPr>
          <w:rFonts w:hint="eastAsia" w:cs="宋体"/>
          <w:color w:val="auto"/>
          <w:sz w:val="21"/>
          <w:szCs w:val="21"/>
        </w:rPr>
        <w:t>3.5.4 分包合同价款</w:t>
      </w:r>
    </w:p>
    <w:p w14:paraId="696A886C">
      <w:pPr>
        <w:adjustRightInd w:val="0"/>
        <w:snapToGrid w:val="0"/>
        <w:spacing w:line="360" w:lineRule="auto"/>
        <w:ind w:firstLine="420" w:firstLineChars="200"/>
        <w:rPr>
          <w:rFonts w:cs="宋体"/>
          <w:color w:val="auto"/>
          <w:sz w:val="21"/>
          <w:szCs w:val="21"/>
        </w:rPr>
      </w:pPr>
      <w:r>
        <w:rPr>
          <w:rFonts w:hint="eastAsia" w:cs="宋体"/>
          <w:color w:val="auto"/>
          <w:sz w:val="21"/>
          <w:szCs w:val="21"/>
        </w:rPr>
        <w:t>关于分包合同价款支付的约定：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bookmarkEnd w:id="166"/>
    <w:bookmarkEnd w:id="167"/>
    <w:p w14:paraId="04B342E9">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3.6 工程照管与成品、半成品保护</w:t>
      </w:r>
    </w:p>
    <w:p w14:paraId="0FBB1C41">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承包人负责照管工程及工程相关的材料、工程设备的起始时间：</w:t>
      </w:r>
      <w:r>
        <w:rPr>
          <w:rFonts w:hint="eastAsia" w:cs="宋体"/>
          <w:color w:val="auto"/>
          <w:sz w:val="21"/>
          <w:szCs w:val="21"/>
          <w:u w:val="single"/>
        </w:rPr>
        <w:t>自发包人向承包人移交施工现场之日起，承包人应负责照管工程及工程相关的材料、工程设备，直到颁发工程接收证书之日止。</w:t>
      </w:r>
    </w:p>
    <w:p w14:paraId="33FD9577">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3.7 履约保证金</w:t>
      </w:r>
    </w:p>
    <w:p w14:paraId="7971DD97">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承包人是否提供履约保证金：</w:t>
      </w:r>
      <w:r>
        <w:rPr>
          <w:rFonts w:hint="eastAsia" w:cs="宋体"/>
          <w:color w:val="auto"/>
          <w:sz w:val="21"/>
          <w:szCs w:val="21"/>
          <w:u w:val="single"/>
        </w:rPr>
        <w:t>见《专用合同条款数据表》</w:t>
      </w:r>
      <w:r>
        <w:rPr>
          <w:rFonts w:hint="eastAsia" w:cs="宋体"/>
          <w:color w:val="auto"/>
          <w:sz w:val="21"/>
          <w:szCs w:val="21"/>
        </w:rPr>
        <w:t>。</w:t>
      </w:r>
    </w:p>
    <w:p w14:paraId="3565B7F6">
      <w:pPr>
        <w:adjustRightInd w:val="0"/>
        <w:snapToGrid w:val="0"/>
        <w:spacing w:line="360" w:lineRule="auto"/>
        <w:ind w:left="-70" w:leftChars="-35" w:firstLine="497" w:firstLineChars="237"/>
        <w:rPr>
          <w:rFonts w:cs="宋体"/>
          <w:b/>
          <w:color w:val="auto"/>
          <w:sz w:val="21"/>
          <w:szCs w:val="21"/>
        </w:rPr>
      </w:pPr>
      <w:r>
        <w:rPr>
          <w:rFonts w:hint="eastAsia" w:cs="宋体"/>
          <w:color w:val="auto"/>
          <w:sz w:val="21"/>
          <w:szCs w:val="21"/>
        </w:rPr>
        <w:t>承包人提供履约保证金的形式：</w:t>
      </w:r>
      <w:r>
        <w:rPr>
          <w:rFonts w:hint="eastAsia" w:cs="宋体"/>
          <w:color w:val="auto"/>
          <w:sz w:val="21"/>
          <w:szCs w:val="21"/>
          <w:u w:val="single"/>
        </w:rPr>
        <w:t>见《专用合同条款数据表》</w:t>
      </w:r>
      <w:r>
        <w:rPr>
          <w:rFonts w:hint="eastAsia" w:cs="宋体"/>
          <w:color w:val="auto"/>
          <w:sz w:val="21"/>
          <w:szCs w:val="21"/>
        </w:rPr>
        <w:t>。</w:t>
      </w:r>
    </w:p>
    <w:p w14:paraId="0A1B6AE5">
      <w:pPr>
        <w:adjustRightInd w:val="0"/>
        <w:snapToGrid w:val="0"/>
        <w:spacing w:line="360" w:lineRule="auto"/>
        <w:ind w:firstLine="420" w:firstLineChars="200"/>
        <w:rPr>
          <w:rFonts w:cs="宋体"/>
          <w:color w:val="auto"/>
          <w:sz w:val="21"/>
          <w:szCs w:val="21"/>
        </w:rPr>
      </w:pPr>
      <w:r>
        <w:rPr>
          <w:rFonts w:hint="eastAsia" w:cs="宋体"/>
          <w:color w:val="auto"/>
          <w:sz w:val="21"/>
          <w:szCs w:val="21"/>
        </w:rPr>
        <w:t>履约保证金的金额：</w:t>
      </w:r>
      <w:r>
        <w:rPr>
          <w:rFonts w:hint="eastAsia" w:cs="宋体"/>
          <w:color w:val="auto"/>
          <w:sz w:val="21"/>
          <w:szCs w:val="21"/>
          <w:u w:val="single"/>
        </w:rPr>
        <w:t>见《专用合同条款数据表》</w:t>
      </w:r>
      <w:r>
        <w:rPr>
          <w:rFonts w:hint="eastAsia" w:cs="宋体"/>
          <w:color w:val="auto"/>
          <w:sz w:val="21"/>
          <w:szCs w:val="21"/>
        </w:rPr>
        <w:t>。</w:t>
      </w:r>
    </w:p>
    <w:p w14:paraId="7BF2EF42">
      <w:pPr>
        <w:adjustRightInd w:val="0"/>
        <w:snapToGrid w:val="0"/>
        <w:spacing w:line="360" w:lineRule="auto"/>
        <w:ind w:firstLine="420" w:firstLineChars="200"/>
        <w:rPr>
          <w:rFonts w:cs="宋体"/>
          <w:color w:val="auto"/>
          <w:sz w:val="21"/>
          <w:szCs w:val="21"/>
        </w:rPr>
      </w:pPr>
      <w:r>
        <w:rPr>
          <w:rFonts w:hint="eastAsia" w:cs="宋体"/>
          <w:color w:val="auto"/>
          <w:sz w:val="21"/>
          <w:szCs w:val="21"/>
        </w:rPr>
        <w:t>履约保证金提交期限的要求：</w:t>
      </w:r>
      <w:r>
        <w:rPr>
          <w:rFonts w:hint="eastAsia" w:cs="宋体"/>
          <w:color w:val="auto"/>
          <w:sz w:val="21"/>
          <w:szCs w:val="21"/>
          <w:u w:val="single"/>
        </w:rPr>
        <w:t>见《专用合同条款数据表》。</w:t>
      </w:r>
    </w:p>
    <w:p w14:paraId="49C19377">
      <w:pPr>
        <w:adjustRightInd w:val="0"/>
        <w:snapToGrid w:val="0"/>
        <w:spacing w:line="360" w:lineRule="auto"/>
        <w:ind w:firstLine="420" w:firstLineChars="200"/>
        <w:rPr>
          <w:rFonts w:cs="宋体"/>
          <w:strike/>
          <w:color w:val="auto"/>
          <w:sz w:val="21"/>
          <w:szCs w:val="21"/>
        </w:rPr>
      </w:pPr>
      <w:r>
        <w:rPr>
          <w:rFonts w:hint="eastAsia" w:cs="宋体"/>
          <w:bCs/>
          <w:snapToGrid w:val="0"/>
          <w:color w:val="auto"/>
          <w:sz w:val="21"/>
          <w:szCs w:val="21"/>
        </w:rPr>
        <w:t>履约保证金退还时限：</w:t>
      </w:r>
      <w:r>
        <w:rPr>
          <w:rFonts w:hint="eastAsia" w:cs="宋体"/>
          <w:color w:val="auto"/>
          <w:sz w:val="21"/>
          <w:szCs w:val="21"/>
          <w:u w:val="single"/>
        </w:rPr>
        <w:t>见《专用合同条款数据表》。</w:t>
      </w:r>
    </w:p>
    <w:p w14:paraId="51A3E616">
      <w:pPr>
        <w:snapToGrid w:val="0"/>
        <w:spacing w:before="312" w:beforeLines="100" w:after="312" w:afterLines="100" w:line="360" w:lineRule="auto"/>
        <w:outlineLvl w:val="2"/>
        <w:rPr>
          <w:rFonts w:cs="宋体"/>
          <w:color w:val="auto"/>
          <w:sz w:val="21"/>
          <w:szCs w:val="21"/>
        </w:rPr>
      </w:pPr>
      <w:bookmarkStart w:id="168" w:name="_Toc351203636"/>
      <w:r>
        <w:rPr>
          <w:rFonts w:hint="eastAsia" w:cs="宋体"/>
          <w:color w:val="auto"/>
          <w:sz w:val="21"/>
          <w:szCs w:val="21"/>
        </w:rPr>
        <w:t>4</w:t>
      </w:r>
      <w:bookmarkStart w:id="169" w:name="_Toc296944501"/>
      <w:bookmarkStart w:id="170" w:name="_Toc297120462"/>
      <w:bookmarkStart w:id="171" w:name="_Toc296503162"/>
      <w:bookmarkStart w:id="172" w:name="_Toc296891202"/>
      <w:bookmarkStart w:id="173" w:name="_Toc296346663"/>
      <w:bookmarkStart w:id="174" w:name="_Toc296347161"/>
      <w:bookmarkStart w:id="175" w:name="_Toc292559871"/>
      <w:bookmarkStart w:id="176" w:name="_Toc296890990"/>
      <w:bookmarkStart w:id="177" w:name="_Toc267251413"/>
      <w:bookmarkStart w:id="178" w:name="_Toc297048348"/>
      <w:bookmarkStart w:id="179" w:name="_Toc292559366"/>
      <w:r>
        <w:rPr>
          <w:rFonts w:hint="eastAsia" w:cs="宋体"/>
          <w:color w:val="auto"/>
          <w:sz w:val="21"/>
          <w:szCs w:val="21"/>
        </w:rPr>
        <w:t>. 监</w:t>
      </w:r>
      <w:bookmarkEnd w:id="169"/>
      <w:bookmarkEnd w:id="170"/>
      <w:bookmarkEnd w:id="171"/>
      <w:bookmarkEnd w:id="172"/>
      <w:bookmarkEnd w:id="173"/>
      <w:bookmarkEnd w:id="174"/>
      <w:bookmarkEnd w:id="175"/>
      <w:bookmarkEnd w:id="176"/>
      <w:bookmarkEnd w:id="177"/>
      <w:bookmarkEnd w:id="178"/>
      <w:bookmarkEnd w:id="179"/>
      <w:r>
        <w:rPr>
          <w:rFonts w:hint="eastAsia" w:cs="宋体"/>
          <w:color w:val="auto"/>
          <w:sz w:val="21"/>
          <w:szCs w:val="21"/>
        </w:rPr>
        <w:t>理人</w:t>
      </w:r>
      <w:bookmarkEnd w:id="168"/>
    </w:p>
    <w:p w14:paraId="59395D1B">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4.1 监理人的一般规定</w:t>
      </w:r>
    </w:p>
    <w:p w14:paraId="2BC43F92">
      <w:pPr>
        <w:adjustRightInd w:val="0"/>
        <w:snapToGrid w:val="0"/>
        <w:spacing w:line="360" w:lineRule="auto"/>
        <w:ind w:firstLine="420" w:firstLineChars="200"/>
        <w:rPr>
          <w:rFonts w:cs="宋体"/>
          <w:b/>
          <w:color w:val="auto"/>
          <w:sz w:val="21"/>
          <w:szCs w:val="21"/>
          <w:u w:val="single"/>
        </w:rPr>
      </w:pPr>
      <w:r>
        <w:rPr>
          <w:rFonts w:hint="eastAsia" w:cs="宋体"/>
          <w:color w:val="auto"/>
          <w:sz w:val="21"/>
          <w:szCs w:val="21"/>
        </w:rPr>
        <w:t>关于监理人的监理内容：</w:t>
      </w:r>
      <w:r>
        <w:rPr>
          <w:rFonts w:hint="eastAsia" w:cs="宋体"/>
          <w:color w:val="auto"/>
          <w:sz w:val="21"/>
          <w:szCs w:val="21"/>
          <w:u w:val="single"/>
        </w:rPr>
        <w:t xml:space="preserve">           </w:t>
      </w:r>
      <w:r>
        <w:rPr>
          <w:rFonts w:hint="eastAsia" w:cs="宋体"/>
          <w:color w:val="auto"/>
          <w:sz w:val="21"/>
          <w:szCs w:val="21"/>
        </w:rPr>
        <w:t>。</w:t>
      </w:r>
    </w:p>
    <w:p w14:paraId="543611D6">
      <w:pPr>
        <w:adjustRightInd w:val="0"/>
        <w:snapToGrid w:val="0"/>
        <w:spacing w:line="360" w:lineRule="auto"/>
        <w:ind w:firstLine="420" w:firstLineChars="200"/>
        <w:rPr>
          <w:rFonts w:cs="宋体"/>
          <w:color w:val="auto"/>
          <w:sz w:val="21"/>
          <w:szCs w:val="21"/>
        </w:rPr>
      </w:pPr>
      <w:r>
        <w:rPr>
          <w:rFonts w:hint="eastAsia" w:cs="宋体"/>
          <w:color w:val="auto"/>
          <w:sz w:val="21"/>
          <w:szCs w:val="21"/>
        </w:rPr>
        <w:t>关于监理人的监理权限：</w:t>
      </w:r>
      <w:r>
        <w:rPr>
          <w:rFonts w:hint="eastAsia" w:cs="宋体"/>
          <w:color w:val="auto"/>
          <w:sz w:val="21"/>
          <w:szCs w:val="21"/>
          <w:u w:val="single"/>
        </w:rPr>
        <w:t xml:space="preserve">           </w:t>
      </w:r>
      <w:r>
        <w:rPr>
          <w:rFonts w:hint="eastAsia" w:cs="宋体"/>
          <w:color w:val="auto"/>
          <w:sz w:val="21"/>
          <w:szCs w:val="21"/>
        </w:rPr>
        <w:t>。</w:t>
      </w:r>
    </w:p>
    <w:p w14:paraId="231435C6">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关于监理人在施工现场的办公场所、生活场所的提供和费用承担的约定：</w:t>
      </w:r>
      <w:r>
        <w:rPr>
          <w:rFonts w:hint="eastAsia" w:cs="宋体"/>
          <w:color w:val="auto"/>
          <w:sz w:val="21"/>
          <w:szCs w:val="21"/>
          <w:u w:val="single"/>
        </w:rPr>
        <w:t xml:space="preserve">      </w:t>
      </w:r>
      <w:r>
        <w:rPr>
          <w:rFonts w:hint="eastAsia" w:cs="宋体"/>
          <w:color w:val="auto"/>
          <w:sz w:val="21"/>
          <w:szCs w:val="21"/>
        </w:rPr>
        <w:t>。</w:t>
      </w:r>
    </w:p>
    <w:p w14:paraId="0276249D">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4.2 监理人员</w:t>
      </w:r>
    </w:p>
    <w:p w14:paraId="0EF8B0CD">
      <w:pPr>
        <w:adjustRightInd w:val="0"/>
        <w:snapToGrid w:val="0"/>
        <w:spacing w:line="360" w:lineRule="auto"/>
        <w:ind w:firstLine="420" w:firstLineChars="200"/>
        <w:rPr>
          <w:rFonts w:cs="宋体"/>
          <w:color w:val="auto"/>
          <w:sz w:val="21"/>
          <w:szCs w:val="21"/>
        </w:rPr>
      </w:pPr>
      <w:r>
        <w:rPr>
          <w:rFonts w:hint="eastAsia" w:cs="宋体"/>
          <w:color w:val="auto"/>
          <w:sz w:val="21"/>
          <w:szCs w:val="21"/>
        </w:rPr>
        <w:t>总监理工程师：</w:t>
      </w:r>
    </w:p>
    <w:p w14:paraId="3BDF2EB7">
      <w:pPr>
        <w:adjustRightInd w:val="0"/>
        <w:snapToGrid w:val="0"/>
        <w:spacing w:line="360" w:lineRule="auto"/>
        <w:ind w:firstLine="420" w:firstLineChars="200"/>
        <w:rPr>
          <w:rFonts w:cs="宋体"/>
          <w:color w:val="auto"/>
          <w:sz w:val="21"/>
          <w:szCs w:val="21"/>
        </w:rPr>
      </w:pPr>
      <w:r>
        <w:rPr>
          <w:rFonts w:hint="eastAsia" w:cs="宋体"/>
          <w:color w:val="auto"/>
          <w:sz w:val="21"/>
          <w:szCs w:val="21"/>
        </w:rPr>
        <w:t>姓    名：</w:t>
      </w:r>
      <w:r>
        <w:rPr>
          <w:rFonts w:hint="eastAsia" w:cs="宋体"/>
          <w:color w:val="auto"/>
          <w:sz w:val="21"/>
          <w:szCs w:val="21"/>
          <w:u w:val="single"/>
        </w:rPr>
        <w:t xml:space="preserve">                            </w:t>
      </w:r>
      <w:r>
        <w:rPr>
          <w:rFonts w:hint="eastAsia" w:cs="宋体"/>
          <w:color w:val="auto"/>
          <w:sz w:val="21"/>
          <w:szCs w:val="21"/>
        </w:rPr>
        <w:t>；</w:t>
      </w:r>
    </w:p>
    <w:p w14:paraId="4B50E63F">
      <w:pPr>
        <w:adjustRightInd w:val="0"/>
        <w:snapToGrid w:val="0"/>
        <w:spacing w:line="360" w:lineRule="auto"/>
        <w:ind w:firstLine="420" w:firstLineChars="200"/>
        <w:rPr>
          <w:rFonts w:cs="宋体"/>
          <w:color w:val="auto"/>
          <w:sz w:val="21"/>
          <w:szCs w:val="21"/>
        </w:rPr>
      </w:pPr>
      <w:r>
        <w:rPr>
          <w:rFonts w:hint="eastAsia" w:cs="宋体"/>
          <w:color w:val="auto"/>
          <w:sz w:val="21"/>
          <w:szCs w:val="21"/>
        </w:rPr>
        <w:t>职    务：</w:t>
      </w:r>
      <w:r>
        <w:rPr>
          <w:rFonts w:hint="eastAsia" w:cs="宋体"/>
          <w:color w:val="auto"/>
          <w:sz w:val="21"/>
          <w:szCs w:val="21"/>
          <w:u w:val="single"/>
        </w:rPr>
        <w:t xml:space="preserve">                            </w:t>
      </w:r>
      <w:r>
        <w:rPr>
          <w:rFonts w:hint="eastAsia" w:cs="宋体"/>
          <w:color w:val="auto"/>
          <w:sz w:val="21"/>
          <w:szCs w:val="21"/>
        </w:rPr>
        <w:t>；</w:t>
      </w:r>
    </w:p>
    <w:p w14:paraId="327730BC">
      <w:pPr>
        <w:adjustRightInd w:val="0"/>
        <w:snapToGrid w:val="0"/>
        <w:spacing w:line="360" w:lineRule="auto"/>
        <w:ind w:firstLine="420" w:firstLineChars="200"/>
        <w:rPr>
          <w:rFonts w:cs="宋体"/>
          <w:color w:val="auto"/>
          <w:sz w:val="21"/>
          <w:szCs w:val="21"/>
        </w:rPr>
      </w:pPr>
      <w:r>
        <w:rPr>
          <w:rFonts w:hint="eastAsia" w:cs="宋体"/>
          <w:color w:val="auto"/>
          <w:sz w:val="21"/>
          <w:szCs w:val="21"/>
        </w:rPr>
        <w:t>监理工程师执业资格证书号：</w:t>
      </w:r>
      <w:r>
        <w:rPr>
          <w:rFonts w:hint="eastAsia" w:cs="宋体"/>
          <w:color w:val="auto"/>
          <w:sz w:val="21"/>
          <w:szCs w:val="21"/>
          <w:u w:val="single"/>
        </w:rPr>
        <w:t xml:space="preserve">                            </w:t>
      </w:r>
      <w:r>
        <w:rPr>
          <w:rFonts w:hint="eastAsia" w:cs="宋体"/>
          <w:color w:val="auto"/>
          <w:sz w:val="21"/>
          <w:szCs w:val="21"/>
        </w:rPr>
        <w:t>；</w:t>
      </w:r>
    </w:p>
    <w:p w14:paraId="767A1F5A">
      <w:pPr>
        <w:adjustRightInd w:val="0"/>
        <w:snapToGrid w:val="0"/>
        <w:spacing w:line="360" w:lineRule="auto"/>
        <w:ind w:firstLine="420" w:firstLineChars="200"/>
        <w:rPr>
          <w:rFonts w:cs="宋体"/>
          <w:color w:val="auto"/>
          <w:sz w:val="21"/>
          <w:szCs w:val="21"/>
        </w:rPr>
      </w:pPr>
      <w:r>
        <w:rPr>
          <w:rFonts w:hint="eastAsia" w:cs="宋体"/>
          <w:color w:val="auto"/>
          <w:sz w:val="21"/>
          <w:szCs w:val="21"/>
        </w:rPr>
        <w:t>联系电话：</w:t>
      </w:r>
      <w:r>
        <w:rPr>
          <w:rFonts w:hint="eastAsia" w:cs="宋体"/>
          <w:color w:val="auto"/>
          <w:sz w:val="21"/>
          <w:szCs w:val="21"/>
          <w:u w:val="single"/>
        </w:rPr>
        <w:t xml:space="preserve">                            </w:t>
      </w:r>
      <w:r>
        <w:rPr>
          <w:rFonts w:hint="eastAsia" w:cs="宋体"/>
          <w:color w:val="auto"/>
          <w:sz w:val="21"/>
          <w:szCs w:val="21"/>
        </w:rPr>
        <w:t>；</w:t>
      </w:r>
    </w:p>
    <w:p w14:paraId="5858D1FD">
      <w:pPr>
        <w:adjustRightInd w:val="0"/>
        <w:snapToGrid w:val="0"/>
        <w:spacing w:line="360" w:lineRule="auto"/>
        <w:ind w:firstLine="420" w:firstLineChars="200"/>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rPr>
        <w:t>；</w:t>
      </w:r>
    </w:p>
    <w:p w14:paraId="758D492F">
      <w:pPr>
        <w:adjustRightInd w:val="0"/>
        <w:snapToGrid w:val="0"/>
        <w:spacing w:line="360" w:lineRule="auto"/>
        <w:ind w:firstLine="420" w:firstLineChars="200"/>
        <w:rPr>
          <w:rFonts w:cs="宋体"/>
          <w:color w:val="auto"/>
          <w:sz w:val="21"/>
          <w:szCs w:val="21"/>
        </w:rPr>
      </w:pPr>
      <w:r>
        <w:rPr>
          <w:rFonts w:hint="eastAsia" w:cs="宋体"/>
          <w:color w:val="auto"/>
          <w:sz w:val="21"/>
          <w:szCs w:val="21"/>
        </w:rPr>
        <w:t>通信地址：</w:t>
      </w:r>
      <w:r>
        <w:rPr>
          <w:rFonts w:hint="eastAsia" w:cs="宋体"/>
          <w:color w:val="auto"/>
          <w:sz w:val="21"/>
          <w:szCs w:val="21"/>
          <w:u w:val="single"/>
        </w:rPr>
        <w:t xml:space="preserve">                            </w:t>
      </w:r>
      <w:r>
        <w:rPr>
          <w:rFonts w:hint="eastAsia" w:cs="宋体"/>
          <w:color w:val="auto"/>
          <w:sz w:val="21"/>
          <w:szCs w:val="21"/>
        </w:rPr>
        <w:t>；</w:t>
      </w:r>
    </w:p>
    <w:p w14:paraId="2BA3A40D">
      <w:pPr>
        <w:adjustRightInd w:val="0"/>
        <w:snapToGrid w:val="0"/>
        <w:spacing w:line="360" w:lineRule="auto"/>
        <w:ind w:firstLine="420" w:firstLineChars="200"/>
        <w:rPr>
          <w:rFonts w:cs="宋体"/>
          <w:color w:val="auto"/>
          <w:sz w:val="21"/>
          <w:szCs w:val="21"/>
        </w:rPr>
      </w:pPr>
      <w:r>
        <w:rPr>
          <w:rFonts w:hint="eastAsia" w:cs="宋体"/>
          <w:color w:val="auto"/>
          <w:sz w:val="21"/>
          <w:szCs w:val="21"/>
        </w:rPr>
        <w:t>关于监理人的其他约定：</w:t>
      </w:r>
      <w:r>
        <w:rPr>
          <w:rFonts w:hint="eastAsia" w:cs="宋体"/>
          <w:color w:val="auto"/>
          <w:sz w:val="21"/>
          <w:szCs w:val="21"/>
          <w:u w:val="single"/>
        </w:rPr>
        <w:t xml:space="preserve">                            </w:t>
      </w:r>
      <w:r>
        <w:rPr>
          <w:rFonts w:hint="eastAsia" w:cs="宋体"/>
          <w:color w:val="auto"/>
          <w:sz w:val="21"/>
          <w:szCs w:val="21"/>
        </w:rPr>
        <w:t>。</w:t>
      </w:r>
    </w:p>
    <w:p w14:paraId="0B537A1A">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4.4 商定或确定</w:t>
      </w:r>
    </w:p>
    <w:p w14:paraId="75CEF502">
      <w:pPr>
        <w:adjustRightInd w:val="0"/>
        <w:snapToGrid w:val="0"/>
        <w:spacing w:line="360" w:lineRule="auto"/>
        <w:ind w:firstLine="420" w:firstLineChars="200"/>
        <w:rPr>
          <w:rFonts w:cs="宋体"/>
          <w:color w:val="auto"/>
          <w:sz w:val="21"/>
          <w:szCs w:val="21"/>
        </w:rPr>
      </w:pPr>
      <w:bookmarkStart w:id="180" w:name="_Toc267251418"/>
      <w:r>
        <w:rPr>
          <w:rFonts w:hint="eastAsia" w:cs="宋体"/>
          <w:color w:val="auto"/>
          <w:sz w:val="21"/>
          <w:szCs w:val="21"/>
        </w:rPr>
        <w:t>在发包人和承包人不能通过协商达成一致意见时，发包人授权监理人对以下事项进行确定：</w:t>
      </w:r>
    </w:p>
    <w:p w14:paraId="03ACDAB1">
      <w:pPr>
        <w:adjustRightInd w:val="0"/>
        <w:snapToGrid w:val="0"/>
        <w:spacing w:line="360" w:lineRule="auto"/>
        <w:ind w:firstLine="420" w:firstLineChars="200"/>
        <w:rPr>
          <w:rFonts w:cs="宋体"/>
          <w:color w:val="auto"/>
          <w:sz w:val="21"/>
          <w:szCs w:val="21"/>
        </w:rPr>
      </w:pPr>
      <w:r>
        <w:rPr>
          <w:rFonts w:hint="eastAsia" w:cs="宋体"/>
          <w:color w:val="auto"/>
          <w:sz w:val="21"/>
          <w:szCs w:val="21"/>
        </w:rPr>
        <w:t>（1）</w:t>
      </w:r>
      <w:r>
        <w:rPr>
          <w:rFonts w:hint="eastAsia" w:cs="宋体"/>
          <w:color w:val="auto"/>
          <w:sz w:val="21"/>
          <w:szCs w:val="21"/>
          <w:u w:val="single"/>
        </w:rPr>
        <w:t xml:space="preserve">                            </w:t>
      </w:r>
      <w:r>
        <w:rPr>
          <w:rFonts w:hint="eastAsia" w:cs="宋体"/>
          <w:color w:val="auto"/>
          <w:sz w:val="21"/>
          <w:szCs w:val="21"/>
        </w:rPr>
        <w:t>；</w:t>
      </w:r>
    </w:p>
    <w:p w14:paraId="514ACFA2">
      <w:pPr>
        <w:adjustRightInd w:val="0"/>
        <w:snapToGrid w:val="0"/>
        <w:spacing w:line="360" w:lineRule="auto"/>
        <w:ind w:firstLine="420" w:firstLineChars="200"/>
        <w:rPr>
          <w:rFonts w:cs="宋体"/>
          <w:color w:val="auto"/>
          <w:sz w:val="21"/>
          <w:szCs w:val="21"/>
        </w:rPr>
      </w:pPr>
      <w:r>
        <w:rPr>
          <w:rFonts w:hint="eastAsia" w:cs="宋体"/>
          <w:color w:val="auto"/>
          <w:sz w:val="21"/>
          <w:szCs w:val="21"/>
        </w:rPr>
        <w:t>（2）</w:t>
      </w:r>
      <w:r>
        <w:rPr>
          <w:rFonts w:hint="eastAsia" w:cs="宋体"/>
          <w:color w:val="auto"/>
          <w:sz w:val="21"/>
          <w:szCs w:val="21"/>
          <w:u w:val="single"/>
        </w:rPr>
        <w:t xml:space="preserve">                            </w:t>
      </w:r>
      <w:r>
        <w:rPr>
          <w:rFonts w:hint="eastAsia" w:cs="宋体"/>
          <w:color w:val="auto"/>
          <w:sz w:val="21"/>
          <w:szCs w:val="21"/>
        </w:rPr>
        <w:t>；</w:t>
      </w:r>
    </w:p>
    <w:p w14:paraId="551C0768">
      <w:pPr>
        <w:adjustRightInd w:val="0"/>
        <w:snapToGrid w:val="0"/>
        <w:spacing w:line="360" w:lineRule="auto"/>
        <w:ind w:firstLine="420" w:firstLineChars="200"/>
        <w:rPr>
          <w:rFonts w:cs="宋体"/>
          <w:color w:val="auto"/>
          <w:sz w:val="21"/>
          <w:szCs w:val="21"/>
        </w:rPr>
      </w:pPr>
      <w:r>
        <w:rPr>
          <w:rFonts w:hint="eastAsia" w:cs="宋体"/>
          <w:color w:val="auto"/>
          <w:sz w:val="21"/>
          <w:szCs w:val="21"/>
        </w:rPr>
        <w:t>（3）</w:t>
      </w:r>
      <w:r>
        <w:rPr>
          <w:rFonts w:hint="eastAsia" w:cs="宋体"/>
          <w:color w:val="auto"/>
          <w:sz w:val="21"/>
          <w:szCs w:val="21"/>
          <w:u w:val="single"/>
        </w:rPr>
        <w:t xml:space="preserve">                            </w:t>
      </w:r>
      <w:r>
        <w:rPr>
          <w:rFonts w:hint="eastAsia" w:cs="宋体"/>
          <w:color w:val="auto"/>
          <w:sz w:val="21"/>
          <w:szCs w:val="21"/>
        </w:rPr>
        <w:t>。</w:t>
      </w:r>
    </w:p>
    <w:p w14:paraId="3DFBC0DF">
      <w:pPr>
        <w:snapToGrid w:val="0"/>
        <w:spacing w:before="312" w:beforeLines="100" w:after="312" w:afterLines="100" w:line="360" w:lineRule="auto"/>
        <w:outlineLvl w:val="2"/>
        <w:rPr>
          <w:rFonts w:cs="宋体"/>
          <w:color w:val="auto"/>
          <w:sz w:val="21"/>
          <w:szCs w:val="21"/>
        </w:rPr>
      </w:pPr>
      <w:bookmarkStart w:id="181" w:name="_Toc351203637"/>
      <w:r>
        <w:rPr>
          <w:rFonts w:hint="eastAsia" w:cs="宋体"/>
          <w:color w:val="auto"/>
          <w:sz w:val="21"/>
          <w:szCs w:val="21"/>
        </w:rPr>
        <w:t>5</w:t>
      </w:r>
      <w:bookmarkEnd w:id="180"/>
      <w:bookmarkStart w:id="182" w:name="_Toc296503163"/>
      <w:bookmarkStart w:id="183" w:name="_Toc296891203"/>
      <w:bookmarkStart w:id="184" w:name="_Toc296347162"/>
      <w:bookmarkStart w:id="185" w:name="_Toc292559367"/>
      <w:bookmarkStart w:id="186" w:name="_Toc296890991"/>
      <w:bookmarkStart w:id="187" w:name="_Toc297048349"/>
      <w:bookmarkStart w:id="188" w:name="_Toc292559872"/>
      <w:bookmarkStart w:id="189" w:name="_Toc297120463"/>
      <w:bookmarkStart w:id="190" w:name="_Toc296944502"/>
      <w:bookmarkStart w:id="191" w:name="_Toc296346664"/>
      <w:r>
        <w:rPr>
          <w:rFonts w:hint="eastAsia" w:cs="宋体"/>
          <w:color w:val="auto"/>
          <w:sz w:val="21"/>
          <w:szCs w:val="21"/>
        </w:rPr>
        <w:t>. 工程质量</w:t>
      </w:r>
      <w:bookmarkEnd w:id="181"/>
    </w:p>
    <w:p w14:paraId="5AF74892">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5.1 质量要求</w:t>
      </w:r>
    </w:p>
    <w:p w14:paraId="1BCCD408">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5</w:t>
      </w:r>
      <w:bookmarkStart w:id="192" w:name="_Toc297216155"/>
      <w:bookmarkStart w:id="193" w:name="_Toc318581164"/>
      <w:bookmarkStart w:id="194" w:name="_Toc312677997"/>
      <w:bookmarkStart w:id="195" w:name="_Toc297123496"/>
      <w:bookmarkStart w:id="196" w:name="_Toc300934949"/>
      <w:bookmarkStart w:id="197" w:name="_Toc303539106"/>
      <w:bookmarkStart w:id="198" w:name="_Toc304295527"/>
      <w:r>
        <w:rPr>
          <w:rFonts w:hint="eastAsia" w:cs="宋体"/>
          <w:color w:val="auto"/>
          <w:sz w:val="21"/>
          <w:szCs w:val="21"/>
        </w:rPr>
        <w:t>.1.1 特殊质量标准和要求：</w:t>
      </w:r>
      <w:r>
        <w:rPr>
          <w:rFonts w:hint="eastAsia" w:cs="宋体"/>
          <w:color w:val="auto"/>
          <w:sz w:val="21"/>
          <w:szCs w:val="21"/>
          <w:u w:val="single"/>
        </w:rPr>
        <w:t>见《专用合同条款数据表》</w:t>
      </w:r>
      <w:r>
        <w:rPr>
          <w:rFonts w:hint="eastAsia" w:cs="宋体"/>
          <w:color w:val="auto"/>
          <w:sz w:val="21"/>
          <w:szCs w:val="21"/>
        </w:rPr>
        <w:t>。</w:t>
      </w:r>
    </w:p>
    <w:p w14:paraId="374C21CD">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关于工程奖项的约定：</w:t>
      </w:r>
      <w:r>
        <w:rPr>
          <w:rFonts w:hint="eastAsia" w:cs="宋体"/>
          <w:color w:val="auto"/>
          <w:sz w:val="21"/>
          <w:szCs w:val="21"/>
          <w:u w:val="single"/>
        </w:rPr>
        <w:t>见《专用合同条款数据表》</w:t>
      </w:r>
      <w:r>
        <w:rPr>
          <w:rFonts w:hint="eastAsia" w:cs="宋体"/>
          <w:color w:val="auto"/>
          <w:sz w:val="21"/>
          <w:szCs w:val="21"/>
        </w:rPr>
        <w:t>。</w:t>
      </w:r>
    </w:p>
    <w:p w14:paraId="3F751256">
      <w:pPr>
        <w:snapToGrid w:val="0"/>
        <w:spacing w:line="360" w:lineRule="auto"/>
        <w:ind w:firstLine="420" w:firstLineChars="200"/>
        <w:jc w:val="left"/>
        <w:rPr>
          <w:rFonts w:cs="宋体"/>
          <w:color w:val="auto"/>
          <w:sz w:val="21"/>
          <w:szCs w:val="21"/>
        </w:rPr>
      </w:pPr>
      <w:bookmarkStart w:id="199" w:name="_Toc351203638"/>
      <w:r>
        <w:rPr>
          <w:rFonts w:hint="eastAsia" w:cs="宋体"/>
          <w:color w:val="auto"/>
          <w:sz w:val="21"/>
          <w:szCs w:val="21"/>
        </w:rPr>
        <w:t>关于建造要求：</w:t>
      </w:r>
    </w:p>
    <w:p w14:paraId="624C1E66">
      <w:pPr>
        <w:pStyle w:val="16"/>
        <w:snapToGrid w:val="0"/>
        <w:spacing w:line="360" w:lineRule="auto"/>
        <w:ind w:firstLine="480"/>
        <w:rPr>
          <w:rFonts w:hAnsi="宋体" w:cs="宋体"/>
          <w:color w:val="auto"/>
          <w:sz w:val="21"/>
          <w:szCs w:val="21"/>
        </w:rPr>
      </w:pPr>
      <w:r>
        <w:rPr>
          <w:rFonts w:hint="eastAsia" w:hAnsi="宋体" w:cs="宋体"/>
          <w:color w:val="auto"/>
          <w:sz w:val="21"/>
          <w:szCs w:val="21"/>
        </w:rPr>
        <w:t>（1）绿色建筑等级要求：</w:t>
      </w:r>
      <w:r>
        <w:rPr>
          <w:rFonts w:hint="eastAsia" w:hAnsi="宋体" w:cs="宋体"/>
          <w:color w:val="auto"/>
          <w:sz w:val="21"/>
          <w:szCs w:val="21"/>
          <w:u w:val="single"/>
        </w:rPr>
        <w:t>见《专用合同条款数据表》</w:t>
      </w:r>
      <w:r>
        <w:rPr>
          <w:rFonts w:hint="eastAsia" w:hAnsi="宋体" w:cs="宋体"/>
          <w:color w:val="auto"/>
          <w:sz w:val="21"/>
          <w:szCs w:val="21"/>
        </w:rPr>
        <w:t>；</w:t>
      </w:r>
    </w:p>
    <w:p w14:paraId="581E8D9E">
      <w:pPr>
        <w:pStyle w:val="16"/>
        <w:snapToGrid w:val="0"/>
        <w:spacing w:line="360" w:lineRule="auto"/>
        <w:ind w:firstLine="480"/>
        <w:rPr>
          <w:rFonts w:hAnsi="宋体" w:cs="宋体"/>
          <w:color w:val="auto"/>
          <w:sz w:val="21"/>
          <w:szCs w:val="21"/>
        </w:rPr>
      </w:pPr>
      <w:r>
        <w:rPr>
          <w:rFonts w:hint="eastAsia" w:hAnsi="宋体" w:cs="宋体"/>
          <w:color w:val="auto"/>
          <w:sz w:val="21"/>
          <w:szCs w:val="21"/>
        </w:rPr>
        <w:t>（2）智慧工地管理要求：</w:t>
      </w:r>
      <w:r>
        <w:rPr>
          <w:rFonts w:hint="eastAsia" w:hAnsi="宋体" w:cs="宋体"/>
          <w:color w:val="auto"/>
          <w:sz w:val="21"/>
          <w:szCs w:val="21"/>
          <w:u w:val="single"/>
        </w:rPr>
        <w:t>见《专用合同条款数据表》</w:t>
      </w:r>
      <w:r>
        <w:rPr>
          <w:rFonts w:hint="eastAsia" w:hAnsi="宋体" w:cs="宋体"/>
          <w:color w:val="auto"/>
          <w:sz w:val="21"/>
          <w:szCs w:val="21"/>
        </w:rPr>
        <w:t>；</w:t>
      </w:r>
    </w:p>
    <w:p w14:paraId="5B4488D3">
      <w:pPr>
        <w:pStyle w:val="16"/>
        <w:snapToGrid w:val="0"/>
        <w:spacing w:line="360" w:lineRule="auto"/>
        <w:ind w:firstLine="480"/>
        <w:rPr>
          <w:rFonts w:hAnsi="宋体" w:cs="宋体"/>
          <w:color w:val="auto"/>
          <w:sz w:val="21"/>
          <w:szCs w:val="21"/>
        </w:rPr>
      </w:pPr>
      <w:r>
        <w:rPr>
          <w:rFonts w:hint="eastAsia" w:hAnsi="宋体" w:cs="宋体"/>
          <w:color w:val="auto"/>
          <w:sz w:val="21"/>
          <w:szCs w:val="21"/>
        </w:rPr>
        <w:t>（3）建筑垃圾减量化目标：</w:t>
      </w:r>
      <w:r>
        <w:rPr>
          <w:rFonts w:hint="eastAsia" w:hAnsi="宋体" w:cs="宋体"/>
          <w:color w:val="auto"/>
          <w:sz w:val="21"/>
          <w:szCs w:val="21"/>
          <w:u w:val="single"/>
        </w:rPr>
        <w:t>见《专用合同条款数据表》</w:t>
      </w:r>
      <w:r>
        <w:rPr>
          <w:rFonts w:hint="eastAsia" w:hAnsi="宋体" w:cs="宋体"/>
          <w:color w:val="auto"/>
          <w:sz w:val="21"/>
          <w:szCs w:val="21"/>
        </w:rPr>
        <w:t>；</w:t>
      </w:r>
    </w:p>
    <w:p w14:paraId="0CEF2987">
      <w:pPr>
        <w:snapToGrid w:val="0"/>
        <w:spacing w:line="360" w:lineRule="auto"/>
        <w:ind w:firstLine="420" w:firstLineChars="200"/>
        <w:jc w:val="left"/>
        <w:rPr>
          <w:rFonts w:cs="宋体"/>
          <w:color w:val="auto"/>
          <w:sz w:val="21"/>
          <w:szCs w:val="21"/>
        </w:rPr>
      </w:pPr>
      <w:r>
        <w:rPr>
          <w:rFonts w:hint="eastAsia" w:cs="宋体"/>
          <w:color w:val="auto"/>
          <w:sz w:val="21"/>
          <w:szCs w:val="21"/>
        </w:rPr>
        <w:t>（4）装配式建筑装配率要求：</w:t>
      </w:r>
      <w:r>
        <w:rPr>
          <w:rFonts w:hint="eastAsia" w:cs="宋体"/>
          <w:color w:val="auto"/>
          <w:sz w:val="21"/>
          <w:szCs w:val="21"/>
          <w:u w:val="single"/>
        </w:rPr>
        <w:t>见《专用合同条款数据表》</w:t>
      </w:r>
      <w:r>
        <w:rPr>
          <w:rFonts w:hint="eastAsia" w:cs="宋体"/>
          <w:color w:val="auto"/>
          <w:sz w:val="21"/>
          <w:szCs w:val="21"/>
        </w:rPr>
        <w:t>；</w:t>
      </w:r>
    </w:p>
    <w:p w14:paraId="6EF6F967">
      <w:pPr>
        <w:snapToGrid w:val="0"/>
        <w:spacing w:line="360" w:lineRule="auto"/>
        <w:ind w:firstLine="420" w:firstLineChars="200"/>
        <w:jc w:val="left"/>
        <w:rPr>
          <w:rFonts w:cs="宋体"/>
          <w:color w:val="auto"/>
          <w:sz w:val="21"/>
          <w:szCs w:val="21"/>
        </w:rPr>
      </w:pPr>
      <w:r>
        <w:rPr>
          <w:rFonts w:hint="eastAsia" w:cs="宋体"/>
          <w:color w:val="auto"/>
          <w:sz w:val="21"/>
          <w:szCs w:val="21"/>
        </w:rPr>
        <w:t>（5）</w:t>
      </w:r>
      <w:r>
        <w:rPr>
          <w:rFonts w:hint="eastAsia" w:cs="宋体"/>
          <w:color w:val="auto"/>
          <w:sz w:val="21"/>
          <w:szCs w:val="21"/>
          <w:u w:val="single"/>
        </w:rPr>
        <w:t>见《专用合同条款数据表》</w:t>
      </w:r>
      <w:r>
        <w:rPr>
          <w:rFonts w:hint="eastAsia" w:cs="宋体"/>
          <w:color w:val="auto"/>
          <w:sz w:val="21"/>
          <w:szCs w:val="21"/>
        </w:rPr>
        <w:t>。</w:t>
      </w:r>
    </w:p>
    <w:p w14:paraId="3FCF4DE0">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5.3 隐蔽工程检查</w:t>
      </w:r>
    </w:p>
    <w:p w14:paraId="7CDDF2F7">
      <w:pPr>
        <w:keepNext w:val="0"/>
        <w:keepLines w:val="0"/>
        <w:widowControl/>
        <w:suppressLineNumbers w:val="0"/>
        <w:ind w:firstLine="420" w:firstLineChars="200"/>
        <w:jc w:val="left"/>
        <w:rPr>
          <w:rFonts w:cs="宋体"/>
          <w:color w:val="auto"/>
          <w:sz w:val="21"/>
          <w:szCs w:val="21"/>
          <w:u w:val="single"/>
        </w:rPr>
      </w:pPr>
      <w:r>
        <w:rPr>
          <w:rFonts w:hint="eastAsia" w:cs="宋体"/>
          <w:color w:val="auto"/>
          <w:sz w:val="21"/>
          <w:szCs w:val="21"/>
        </w:rPr>
        <w:t>5.3.2 承包人提前通知监理人隐蔽工程检查的期限的约定：</w:t>
      </w:r>
      <w:r>
        <w:rPr>
          <w:rFonts w:hint="eastAsia" w:ascii="宋体" w:hAnsi="宋体" w:eastAsia="宋体" w:cs="宋体"/>
          <w:color w:val="000000"/>
          <w:kern w:val="0"/>
          <w:sz w:val="21"/>
          <w:szCs w:val="21"/>
          <w:u w:val="single"/>
          <w:lang w:val="en-US" w:eastAsia="zh-CN" w:bidi="ar"/>
        </w:rPr>
        <w:t>共同检查前24小时书面通知监理人</w:t>
      </w:r>
      <w:r>
        <w:rPr>
          <w:rFonts w:hint="eastAsia" w:cs="宋体"/>
          <w:color w:val="auto"/>
          <w:sz w:val="21"/>
          <w:szCs w:val="21"/>
        </w:rPr>
        <w:t>。</w:t>
      </w:r>
    </w:p>
    <w:p w14:paraId="64496A25">
      <w:pPr>
        <w:adjustRightInd w:val="0"/>
        <w:snapToGrid w:val="0"/>
        <w:spacing w:line="360" w:lineRule="auto"/>
        <w:ind w:firstLine="420" w:firstLineChars="200"/>
        <w:rPr>
          <w:rFonts w:cs="宋体"/>
          <w:color w:val="auto"/>
          <w:sz w:val="21"/>
          <w:szCs w:val="21"/>
        </w:rPr>
      </w:pPr>
      <w:r>
        <w:rPr>
          <w:rFonts w:hint="eastAsia" w:cs="宋体"/>
          <w:color w:val="auto"/>
          <w:sz w:val="21"/>
          <w:szCs w:val="21"/>
        </w:rPr>
        <w:t>监理人不能按时进行检查时，应提前</w:t>
      </w:r>
      <w:r>
        <w:rPr>
          <w:rFonts w:hint="eastAsia" w:cs="宋体"/>
          <w:color w:val="auto"/>
          <w:sz w:val="21"/>
          <w:szCs w:val="21"/>
          <w:u w:val="single"/>
          <w:lang w:val="en-US" w:eastAsia="zh-CN"/>
        </w:rPr>
        <w:t>24</w:t>
      </w:r>
      <w:r>
        <w:rPr>
          <w:rFonts w:hint="eastAsia" w:cs="宋体"/>
          <w:color w:val="auto"/>
          <w:sz w:val="21"/>
          <w:szCs w:val="21"/>
        </w:rPr>
        <w:t>小时提交书面延期要求。</w:t>
      </w:r>
    </w:p>
    <w:p w14:paraId="25ECC24C">
      <w:pPr>
        <w:adjustRightInd w:val="0"/>
        <w:snapToGrid w:val="0"/>
        <w:spacing w:line="360" w:lineRule="auto"/>
        <w:ind w:firstLine="420" w:firstLineChars="200"/>
        <w:rPr>
          <w:rFonts w:cs="宋体"/>
          <w:color w:val="auto"/>
          <w:sz w:val="21"/>
          <w:szCs w:val="21"/>
        </w:rPr>
      </w:pPr>
      <w:r>
        <w:rPr>
          <w:rFonts w:hint="eastAsia" w:cs="宋体"/>
          <w:color w:val="auto"/>
          <w:sz w:val="21"/>
          <w:szCs w:val="21"/>
        </w:rPr>
        <w:t>关于延期最长不得超过：</w:t>
      </w:r>
      <w:r>
        <w:rPr>
          <w:rFonts w:hint="eastAsia" w:cs="宋体"/>
          <w:color w:val="auto"/>
          <w:sz w:val="21"/>
          <w:szCs w:val="21"/>
          <w:u w:val="single"/>
          <w:lang w:val="en-US" w:eastAsia="zh-CN"/>
        </w:rPr>
        <w:t>48</w:t>
      </w:r>
      <w:r>
        <w:rPr>
          <w:rFonts w:hint="eastAsia" w:cs="宋体"/>
          <w:color w:val="auto"/>
          <w:sz w:val="21"/>
          <w:szCs w:val="21"/>
        </w:rPr>
        <w:t>小时。</w:t>
      </w:r>
    </w:p>
    <w:p w14:paraId="06CE2F97">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5</w:t>
      </w:r>
      <w:bookmarkStart w:id="200" w:name="_Toc337558762"/>
      <w:r>
        <w:rPr>
          <w:rFonts w:hint="eastAsia" w:cs="宋体"/>
          <w:bCs/>
          <w:color w:val="auto"/>
          <w:sz w:val="21"/>
          <w:szCs w:val="21"/>
        </w:rPr>
        <w:t>.4 不合格工程的处理</w:t>
      </w:r>
    </w:p>
    <w:bookmarkEnd w:id="200"/>
    <w:p w14:paraId="192371D0">
      <w:pPr>
        <w:snapToGrid w:val="0"/>
        <w:spacing w:line="360" w:lineRule="auto"/>
        <w:ind w:firstLine="420" w:firstLineChars="200"/>
        <w:jc w:val="left"/>
        <w:rPr>
          <w:rFonts w:cs="宋体"/>
          <w:color w:val="auto"/>
          <w:sz w:val="21"/>
          <w:szCs w:val="21"/>
        </w:rPr>
      </w:pPr>
      <w:r>
        <w:rPr>
          <w:rFonts w:hint="eastAsia" w:cs="宋体"/>
          <w:color w:val="auto"/>
          <w:sz w:val="21"/>
          <w:szCs w:val="21"/>
        </w:rPr>
        <w:t>本款补充5.4.3项：</w:t>
      </w:r>
    </w:p>
    <w:p w14:paraId="59FA3BFF">
      <w:pPr>
        <w:snapToGrid w:val="0"/>
        <w:spacing w:line="360" w:lineRule="auto"/>
        <w:ind w:firstLine="420" w:firstLineChars="200"/>
        <w:jc w:val="left"/>
        <w:rPr>
          <w:rFonts w:cs="宋体"/>
          <w:color w:val="auto"/>
          <w:sz w:val="21"/>
          <w:szCs w:val="21"/>
        </w:rPr>
      </w:pPr>
      <w:r>
        <w:rPr>
          <w:rFonts w:hint="eastAsia" w:cs="宋体"/>
          <w:color w:val="auto"/>
          <w:sz w:val="21"/>
          <w:szCs w:val="21"/>
        </w:rPr>
        <w:t>5.4.3 承包人在收到监理人发出的《不合格分项报告》或监理通知单后，必须在监理人规定时间内按要求完成整改，未能在限定时间内完成整改的，须承担相应违约责任。</w:t>
      </w:r>
    </w:p>
    <w:p w14:paraId="2B3AF76D">
      <w:pPr>
        <w:snapToGrid w:val="0"/>
        <w:spacing w:line="360" w:lineRule="auto"/>
        <w:ind w:firstLine="420" w:firstLineChars="200"/>
        <w:jc w:val="left"/>
        <w:rPr>
          <w:rFonts w:cs="宋体"/>
          <w:color w:val="auto"/>
          <w:sz w:val="21"/>
          <w:szCs w:val="21"/>
        </w:rPr>
      </w:pPr>
      <w:r>
        <w:rPr>
          <w:rFonts w:hint="eastAsia" w:cs="宋体"/>
          <w:color w:val="auto"/>
          <w:sz w:val="21"/>
          <w:szCs w:val="21"/>
        </w:rPr>
        <w:t>本条补充5.6款：</w:t>
      </w:r>
    </w:p>
    <w:p w14:paraId="5FFBE3FD">
      <w:pPr>
        <w:keepNext/>
        <w:keepLines/>
        <w:snapToGrid w:val="0"/>
        <w:spacing w:before="120" w:after="120" w:line="360" w:lineRule="auto"/>
        <w:ind w:firstLine="420" w:firstLineChars="200"/>
        <w:outlineLvl w:val="3"/>
        <w:rPr>
          <w:rFonts w:cs="宋体"/>
          <w:bCs/>
          <w:color w:val="auto"/>
          <w:sz w:val="21"/>
          <w:szCs w:val="21"/>
        </w:rPr>
      </w:pPr>
      <w:bookmarkStart w:id="201" w:name="_Toc532377348"/>
      <w:r>
        <w:rPr>
          <w:rFonts w:hint="eastAsia" w:cs="宋体"/>
          <w:bCs/>
          <w:color w:val="auto"/>
          <w:sz w:val="21"/>
          <w:szCs w:val="21"/>
        </w:rPr>
        <w:t>5.6 质量事故的处理</w:t>
      </w:r>
      <w:bookmarkEnd w:id="201"/>
    </w:p>
    <w:p w14:paraId="7F8E1152">
      <w:pPr>
        <w:snapToGrid w:val="0"/>
        <w:spacing w:line="360" w:lineRule="auto"/>
        <w:ind w:firstLine="420" w:firstLineChars="200"/>
        <w:jc w:val="left"/>
        <w:rPr>
          <w:rFonts w:cs="宋体"/>
          <w:color w:val="auto"/>
          <w:sz w:val="21"/>
          <w:szCs w:val="21"/>
        </w:rPr>
      </w:pPr>
      <w:r>
        <w:rPr>
          <w:rFonts w:hint="eastAsia" w:cs="宋体"/>
          <w:color w:val="auto"/>
          <w:sz w:val="21"/>
          <w:szCs w:val="21"/>
        </w:rPr>
        <w:t>5.6.1 合同履行过程中，发生工程质量事故的调查处理按照国家现行规定处理。</w:t>
      </w:r>
    </w:p>
    <w:p w14:paraId="012C94C0">
      <w:pPr>
        <w:snapToGrid w:val="0"/>
        <w:spacing w:line="360" w:lineRule="auto"/>
        <w:ind w:firstLine="420" w:firstLineChars="200"/>
        <w:jc w:val="left"/>
        <w:rPr>
          <w:rFonts w:cs="宋体"/>
          <w:color w:val="auto"/>
          <w:sz w:val="21"/>
          <w:szCs w:val="21"/>
        </w:rPr>
      </w:pPr>
      <w:r>
        <w:rPr>
          <w:rFonts w:hint="eastAsia" w:cs="宋体"/>
          <w:color w:val="auto"/>
          <w:sz w:val="21"/>
          <w:szCs w:val="21"/>
        </w:rPr>
        <w:t>5.6.2 发包人在对工程质量、安全和环境保护、水土保持等建设全过程管理中发现有技术、质量和其他问题的，可通过监理人责令承包人返工或整改；对存在的隐患，有权责令承包人予以解决，承包人按照合同中其他条款约定承担违约责任。</w:t>
      </w:r>
    </w:p>
    <w:p w14:paraId="7D2B5900">
      <w:pPr>
        <w:snapToGrid w:val="0"/>
        <w:spacing w:before="312" w:beforeLines="100" w:after="312" w:afterLines="100" w:line="360" w:lineRule="auto"/>
        <w:outlineLvl w:val="2"/>
        <w:rPr>
          <w:rFonts w:cs="宋体"/>
          <w:color w:val="auto"/>
          <w:sz w:val="21"/>
          <w:szCs w:val="21"/>
        </w:rPr>
      </w:pPr>
      <w:r>
        <w:rPr>
          <w:rFonts w:hint="eastAsia" w:cs="宋体"/>
          <w:color w:val="auto"/>
          <w:sz w:val="21"/>
          <w:szCs w:val="21"/>
        </w:rPr>
        <w:t>6. 安全文明施工与环境保护</w:t>
      </w:r>
      <w:bookmarkEnd w:id="199"/>
    </w:p>
    <w:p w14:paraId="15E88DE4">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6.1 安全文明施工</w:t>
      </w:r>
    </w:p>
    <w:p w14:paraId="01554CFF">
      <w:pPr>
        <w:keepNext w:val="0"/>
        <w:keepLines w:val="0"/>
        <w:widowControl/>
        <w:suppressLineNumbers w:val="0"/>
        <w:ind w:firstLine="420" w:firstLineChars="200"/>
        <w:jc w:val="left"/>
        <w:rPr>
          <w:u w:val="single"/>
        </w:rPr>
      </w:pPr>
      <w:r>
        <w:rPr>
          <w:rFonts w:hint="eastAsia" w:cs="宋体"/>
          <w:color w:val="auto"/>
          <w:sz w:val="21"/>
          <w:szCs w:val="21"/>
        </w:rPr>
        <w:t>6.1.1 项目安全生产的达标目标及相应事项的约定：</w:t>
      </w:r>
      <w:r>
        <w:rPr>
          <w:rFonts w:hint="eastAsia" w:ascii="宋体" w:hAnsi="宋体" w:eastAsia="宋体" w:cs="宋体"/>
          <w:color w:val="000000"/>
          <w:kern w:val="0"/>
          <w:sz w:val="21"/>
          <w:szCs w:val="21"/>
          <w:u w:val="single"/>
          <w:lang w:val="en-US" w:eastAsia="zh-CN" w:bidi="ar"/>
        </w:rPr>
        <w:t>1、达标目标：无重伤及以上人身伤亡事 故或5万元及以上的直接经济损失等生产安全事故</w:t>
      </w:r>
      <w:r>
        <w:rPr>
          <w:rFonts w:hint="eastAsia" w:cs="宋体"/>
          <w:color w:val="auto"/>
          <w:sz w:val="21"/>
          <w:szCs w:val="21"/>
          <w:u w:val="single"/>
        </w:rPr>
        <w:t>。</w:t>
      </w:r>
      <w:r>
        <w:rPr>
          <w:rFonts w:hint="eastAsia" w:ascii="宋体" w:hAnsi="宋体" w:eastAsia="宋体" w:cs="宋体"/>
          <w:color w:val="000000"/>
          <w:kern w:val="0"/>
          <w:sz w:val="21"/>
          <w:szCs w:val="21"/>
          <w:u w:val="single"/>
          <w:lang w:val="en-US" w:eastAsia="zh-CN" w:bidi="ar"/>
        </w:rPr>
        <w:t xml:space="preserve">2、相应事项的约定： </w:t>
      </w:r>
    </w:p>
    <w:p w14:paraId="107E531C">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（1）承包人应按设置专职安全生产管理人员，并按照相关内容及国家行业规范要求采取有效 的安全措施，确保自身和第三人及周边环境的安全。承包人应严格按工程建设安全生产的有关规定采取安全措施组织施工，所发生的安全事故由承包人承担相应法律和经济责任。若因安全事故导致发包人遭受经济损失的，承包人在下次款项支付前向发包人交纳。 </w:t>
      </w:r>
    </w:p>
    <w:p w14:paraId="5C710902">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（2）安全防护相关费用均以措施费形式包含于合同价中，不再另行计价。 </w:t>
      </w:r>
    </w:p>
    <w:p w14:paraId="3B09E729">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（3）发包人（含监理单位）对承包人责任范围内在安全检查中发现的安全生产事故隐患（根 </w:t>
      </w:r>
    </w:p>
    <w:p w14:paraId="0F47E286">
      <w:pPr>
        <w:keepNext w:val="0"/>
        <w:keepLines w:val="0"/>
        <w:widowControl/>
        <w:suppressLineNumbers w:val="0"/>
        <w:jc w:val="left"/>
        <w:rPr>
          <w:rFonts w:hint="eastAsia" w:ascii="宋体" w:hAnsi="宋体" w:eastAsia="宋体" w:cs="宋体"/>
          <w:color w:val="000000"/>
          <w:kern w:val="0"/>
          <w:sz w:val="21"/>
          <w:szCs w:val="21"/>
          <w:u w:val="single"/>
          <w:lang w:val="en-US" w:eastAsia="zh-CN" w:bidi="ar"/>
        </w:rPr>
      </w:pPr>
      <w:r>
        <w:rPr>
          <w:rFonts w:hint="eastAsia" w:ascii="宋体" w:hAnsi="宋体" w:eastAsia="宋体" w:cs="宋体"/>
          <w:color w:val="000000"/>
          <w:kern w:val="0"/>
          <w:sz w:val="21"/>
          <w:szCs w:val="21"/>
          <w:u w:val="single"/>
          <w:lang w:val="en-US" w:eastAsia="zh-CN" w:bidi="ar"/>
        </w:rPr>
        <w:t>据《安全生产事故隐患排查治理暂行规定 国家安监局2007年第16号总局令》，包括但不限于工伤和职业健康、火灾、治保、交通、食品与防疫），按事故隐患严重程度及整改情况，发包人有权对承包人500元/次至2万元/次的违约金处罚；对重复发生的事故隐患或习惯性违章应加倍违约金处罚，上述违约金承包人在下次款项支付前向发包人交纳。</w:t>
      </w:r>
    </w:p>
    <w:p w14:paraId="7AA3776F">
      <w:pPr>
        <w:keepNext w:val="0"/>
        <w:keepLines w:val="0"/>
        <w:widowControl/>
        <w:suppressLineNumbers w:val="0"/>
        <w:jc w:val="left"/>
        <w:rPr>
          <w:rFonts w:hint="eastAsia" w:ascii="宋体" w:hAnsi="宋体" w:eastAsia="宋体" w:cs="宋体"/>
          <w:color w:val="000000"/>
          <w:kern w:val="0"/>
          <w:sz w:val="21"/>
          <w:szCs w:val="21"/>
          <w:u w:val="single"/>
          <w:lang w:val="en-US" w:eastAsia="zh-CN" w:bidi="ar"/>
        </w:rPr>
      </w:pPr>
      <w:r>
        <w:rPr>
          <w:rFonts w:hint="eastAsia" w:ascii="宋体" w:hAnsi="宋体" w:eastAsia="宋体" w:cs="宋体"/>
          <w:color w:val="000000"/>
          <w:kern w:val="0"/>
          <w:sz w:val="21"/>
          <w:szCs w:val="21"/>
          <w:u w:val="single"/>
          <w:lang w:val="en-US" w:eastAsia="zh-CN" w:bidi="ar"/>
        </w:rPr>
        <w:t>（4）工程安全方面的违约责任：</w:t>
      </w:r>
    </w:p>
    <w:p w14:paraId="44D578EF">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承包人应执行国家、地方的有关建筑施工安全检查标准和发包人制定的安全文明施工相关管理制度。如承包人不按经批准的施工组织设计中的各项措施内容进行投入施工，由发包人另行委托队伍施工，所发生的费用从履约保证金或工程款内支付。在合同工期内，监理工程师对承包人的施工现场安全生产施工措施和文明施工进行每日检查，并按相应的管理制度执行。发包人可随时对各项安全、文明施工措施进行检查，并按相应的管理制度执行。 </w:t>
      </w:r>
    </w:p>
    <w:p w14:paraId="06E3798A">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5）文明施工、环境保护方面的违约责任：1）发包人、总监理工程师按照本合同专用条款相关约定，对承包人文明施工措施进行对照检查。经检查发现承包人因自身原因未能落实的，承包人必须承担一般违约责任，并限期改正；如限期不改正，承包人须承担严重违约责任。 </w:t>
      </w:r>
    </w:p>
    <w:p w14:paraId="61496A18">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2）在政府行政主管部门的检查中，承包人的施工场地被评为不合格工地的，或者被通报批 </w:t>
      </w:r>
    </w:p>
    <w:p w14:paraId="564F2B3A">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评的，或者被新闻媒体曝光的，承包人必须承担严重违约责任，并立即采取切实有效措施予 </w:t>
      </w:r>
    </w:p>
    <w:p w14:paraId="6DBAFC9D">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以整改；拒不采取切实有效的措施整改的，或整改效果不明显的，发包人有权部分或全部解除合同，并要求承包人赔偿由此造成的损失。 </w:t>
      </w:r>
    </w:p>
    <w:p w14:paraId="7280C904">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3） 承包人在施工过程中因其自身原因造成周围环境影响的，被其他施工单位或周围居民投 </w:t>
      </w:r>
    </w:p>
    <w:p w14:paraId="085F8EC7">
      <w:pPr>
        <w:keepNext w:val="0"/>
        <w:keepLines w:val="0"/>
        <w:widowControl/>
        <w:suppressLineNumbers w:val="0"/>
        <w:jc w:val="left"/>
      </w:pPr>
      <w:r>
        <w:rPr>
          <w:rFonts w:hint="eastAsia" w:ascii="宋体" w:hAnsi="宋体" w:eastAsia="宋体" w:cs="宋体"/>
          <w:color w:val="000000"/>
          <w:kern w:val="0"/>
          <w:sz w:val="21"/>
          <w:szCs w:val="21"/>
          <w:u w:val="single"/>
          <w:lang w:val="en-US" w:eastAsia="zh-CN" w:bidi="ar"/>
        </w:rPr>
        <w:t>诉的，承包人必须在当天内整改。若故意拖延或同样问题累计被投诉2次，经查实，承包人必须承担一般违约责任1次</w:t>
      </w:r>
      <w:r>
        <w:rPr>
          <w:rFonts w:hint="eastAsia" w:ascii="宋体" w:hAnsi="宋体" w:eastAsia="宋体" w:cs="宋体"/>
          <w:color w:val="000000"/>
          <w:kern w:val="0"/>
          <w:sz w:val="21"/>
          <w:szCs w:val="21"/>
          <w:lang w:val="en-US" w:eastAsia="zh-CN" w:bidi="ar"/>
        </w:rPr>
        <w:t>。</w:t>
      </w:r>
    </w:p>
    <w:p w14:paraId="212EA459">
      <w:pPr>
        <w:keepNext w:val="0"/>
        <w:keepLines w:val="0"/>
        <w:widowControl/>
        <w:suppressLineNumbers w:val="0"/>
        <w:jc w:val="left"/>
      </w:pPr>
      <w:r>
        <w:rPr>
          <w:rFonts w:hint="eastAsia" w:ascii="宋体" w:hAnsi="宋体" w:eastAsia="宋体" w:cs="宋体"/>
          <w:color w:val="000000"/>
          <w:kern w:val="0"/>
          <w:sz w:val="21"/>
          <w:szCs w:val="21"/>
          <w:lang w:val="en-US" w:eastAsia="zh-CN" w:bidi="ar"/>
        </w:rPr>
        <w:t>（4）工程安全方面的违约责任：</w:t>
      </w:r>
    </w:p>
    <w:p w14:paraId="32961FB6">
      <w:pPr>
        <w:keepNext w:val="0"/>
        <w:keepLines w:val="0"/>
        <w:widowControl/>
        <w:suppressLineNumbers w:val="0"/>
        <w:jc w:val="left"/>
        <w:rPr>
          <w:rFonts w:hint="eastAsia" w:cs="宋体"/>
          <w:color w:val="auto"/>
          <w:sz w:val="21"/>
          <w:szCs w:val="21"/>
        </w:rPr>
      </w:pPr>
    </w:p>
    <w:p w14:paraId="63623ECF">
      <w:pPr>
        <w:keepNext w:val="0"/>
        <w:keepLines w:val="0"/>
        <w:widowControl/>
        <w:suppressLineNumbers w:val="0"/>
        <w:ind w:firstLine="420" w:firstLineChars="200"/>
        <w:jc w:val="left"/>
        <w:rPr>
          <w:rFonts w:cs="宋体"/>
          <w:color w:val="auto"/>
          <w:sz w:val="21"/>
          <w:szCs w:val="21"/>
          <w:u w:val="single"/>
        </w:rPr>
      </w:pPr>
      <w:r>
        <w:rPr>
          <w:rFonts w:hint="eastAsia" w:cs="宋体"/>
          <w:color w:val="auto"/>
          <w:sz w:val="21"/>
          <w:szCs w:val="21"/>
        </w:rPr>
        <w:t>6.1.4 关于治安保卫的特别约定：</w:t>
      </w:r>
      <w:r>
        <w:rPr>
          <w:rFonts w:hint="eastAsia" w:ascii="宋体" w:hAnsi="宋体" w:eastAsia="宋体" w:cs="宋体"/>
          <w:color w:val="000000"/>
          <w:kern w:val="0"/>
          <w:sz w:val="21"/>
          <w:szCs w:val="21"/>
          <w:u w:val="single"/>
          <w:lang w:val="en-US" w:eastAsia="zh-CN" w:bidi="ar"/>
        </w:rPr>
        <w:t>执行通用条款</w:t>
      </w:r>
      <w:r>
        <w:rPr>
          <w:rFonts w:hint="eastAsia" w:cs="宋体"/>
          <w:color w:val="auto"/>
          <w:sz w:val="21"/>
          <w:szCs w:val="21"/>
        </w:rPr>
        <w:t>。</w:t>
      </w:r>
    </w:p>
    <w:p w14:paraId="3371B175">
      <w:pPr>
        <w:keepNext w:val="0"/>
        <w:keepLines w:val="0"/>
        <w:widowControl/>
        <w:suppressLineNumbers w:val="0"/>
        <w:ind w:firstLine="420" w:firstLineChars="200"/>
        <w:jc w:val="left"/>
        <w:rPr>
          <w:rFonts w:cs="宋体"/>
          <w:color w:val="auto"/>
          <w:sz w:val="21"/>
          <w:szCs w:val="21"/>
        </w:rPr>
      </w:pPr>
      <w:r>
        <w:rPr>
          <w:rFonts w:hint="eastAsia" w:cs="宋体"/>
          <w:color w:val="auto"/>
          <w:sz w:val="21"/>
          <w:szCs w:val="21"/>
        </w:rPr>
        <w:t>关于编制施工场地治安管理计划的约定：</w:t>
      </w:r>
      <w:r>
        <w:rPr>
          <w:rFonts w:hint="eastAsia" w:ascii="宋体" w:hAnsi="宋体" w:eastAsia="宋体" w:cs="宋体"/>
          <w:color w:val="000000"/>
          <w:kern w:val="0"/>
          <w:sz w:val="21"/>
          <w:szCs w:val="21"/>
          <w:u w:val="single"/>
          <w:lang w:val="en-US" w:eastAsia="zh-CN" w:bidi="ar"/>
        </w:rPr>
        <w:t>开工前提供施工场地治安管理计划</w:t>
      </w:r>
      <w:r>
        <w:rPr>
          <w:rFonts w:hint="eastAsia" w:cs="宋体"/>
          <w:color w:val="auto"/>
          <w:sz w:val="21"/>
          <w:szCs w:val="21"/>
        </w:rPr>
        <w:t>。</w:t>
      </w:r>
    </w:p>
    <w:p w14:paraId="646D808B">
      <w:pPr>
        <w:adjustRightInd w:val="0"/>
        <w:snapToGrid w:val="0"/>
        <w:spacing w:line="360" w:lineRule="auto"/>
        <w:ind w:firstLine="420" w:firstLineChars="200"/>
        <w:rPr>
          <w:rFonts w:cs="宋体"/>
          <w:color w:val="auto"/>
          <w:sz w:val="21"/>
          <w:szCs w:val="21"/>
        </w:rPr>
      </w:pPr>
      <w:r>
        <w:rPr>
          <w:rFonts w:hint="eastAsia" w:cs="宋体"/>
          <w:color w:val="auto"/>
          <w:sz w:val="21"/>
          <w:szCs w:val="21"/>
        </w:rPr>
        <w:t>6.1.5 文明施工</w:t>
      </w:r>
    </w:p>
    <w:p w14:paraId="09EEA11D">
      <w:pPr>
        <w:keepNext w:val="0"/>
        <w:keepLines w:val="0"/>
        <w:widowControl/>
        <w:suppressLineNumbers w:val="0"/>
        <w:ind w:firstLine="420" w:firstLineChars="200"/>
        <w:jc w:val="left"/>
        <w:rPr>
          <w:rFonts w:cs="宋体"/>
          <w:color w:val="auto"/>
          <w:sz w:val="21"/>
          <w:szCs w:val="21"/>
          <w:u w:val="single"/>
        </w:rPr>
      </w:pPr>
      <w:r>
        <w:rPr>
          <w:rFonts w:hint="eastAsia" w:cs="宋体"/>
          <w:color w:val="auto"/>
          <w:sz w:val="21"/>
          <w:szCs w:val="21"/>
        </w:rPr>
        <w:t>合同当事人对文明施工的要求：</w:t>
      </w:r>
      <w:r>
        <w:rPr>
          <w:rFonts w:hint="eastAsia" w:ascii="宋体" w:hAnsi="宋体" w:eastAsia="宋体" w:cs="宋体"/>
          <w:color w:val="000000"/>
          <w:kern w:val="0"/>
          <w:sz w:val="21"/>
          <w:szCs w:val="21"/>
          <w:u w:val="single"/>
          <w:lang w:val="en-US" w:eastAsia="zh-CN" w:bidi="ar"/>
        </w:rPr>
        <w:t>达到《建筑施工现场环境与卫生标准》，文明施工和环保管理等规章制度应符合现行相关规范、规定等，如因经监理人、发包人或相关主管部门检查发现承包人有违反文明施工和环保管理等规章制度行为，除去相关主管部门对其做出处罚和罚款外，第一次发包人予以警告，二次以上（含二次）每发现一次发包人有权每次再进行罚款</w:t>
      </w:r>
      <w:r>
        <w:rPr>
          <w:rFonts w:hint="default" w:ascii="Times New Roman" w:hAnsi="Times New Roman" w:eastAsia="宋体" w:cs="Times New Roman"/>
          <w:color w:val="000000"/>
          <w:kern w:val="0"/>
          <w:sz w:val="21"/>
          <w:szCs w:val="21"/>
          <w:u w:val="single"/>
          <w:lang w:val="en-US" w:eastAsia="zh-CN" w:bidi="ar"/>
        </w:rPr>
        <w:t>30000</w:t>
      </w:r>
      <w:r>
        <w:rPr>
          <w:rFonts w:hint="eastAsia" w:ascii="宋体" w:hAnsi="宋体" w:eastAsia="宋体" w:cs="宋体"/>
          <w:color w:val="000000"/>
          <w:kern w:val="0"/>
          <w:sz w:val="21"/>
          <w:szCs w:val="21"/>
          <w:u w:val="single"/>
          <w:lang w:val="en-US" w:eastAsia="zh-CN" w:bidi="ar"/>
        </w:rPr>
        <w:t>元</w:t>
      </w:r>
      <w:r>
        <w:rPr>
          <w:rFonts w:hint="eastAsia" w:ascii="宋体" w:hAnsi="宋体" w:eastAsia="宋体" w:cs="宋体"/>
          <w:color w:val="000000"/>
          <w:kern w:val="0"/>
          <w:sz w:val="21"/>
          <w:szCs w:val="21"/>
          <w:lang w:val="en-US" w:eastAsia="zh-CN" w:bidi="ar"/>
        </w:rPr>
        <w:t>。</w:t>
      </w:r>
    </w:p>
    <w:p w14:paraId="53BC7263">
      <w:pPr>
        <w:keepNext w:val="0"/>
        <w:keepLines w:val="0"/>
        <w:widowControl/>
        <w:suppressLineNumbers w:val="0"/>
        <w:ind w:firstLine="420" w:firstLineChars="200"/>
        <w:jc w:val="left"/>
        <w:rPr>
          <w:rFonts w:cs="宋体"/>
          <w:color w:val="auto"/>
          <w:sz w:val="21"/>
          <w:szCs w:val="21"/>
        </w:rPr>
      </w:pPr>
      <w:r>
        <w:rPr>
          <w:rFonts w:hint="eastAsia" w:cs="宋体"/>
          <w:color w:val="auto"/>
          <w:sz w:val="21"/>
          <w:szCs w:val="21"/>
        </w:rPr>
        <w:t>6.1.6 关于安全文明施工费支付比例和支付期限的约定：</w:t>
      </w:r>
      <w:r>
        <w:rPr>
          <w:rFonts w:hint="eastAsia" w:ascii="宋体" w:hAnsi="宋体" w:eastAsia="宋体" w:cs="宋体"/>
          <w:color w:val="000000"/>
          <w:kern w:val="0"/>
          <w:sz w:val="21"/>
          <w:szCs w:val="21"/>
          <w:u w:val="single"/>
          <w:lang w:val="en-US" w:eastAsia="zh-CN" w:bidi="ar"/>
        </w:rPr>
        <w:t>已含在合同总价中，随工程进度款同期支付</w:t>
      </w:r>
      <w:r>
        <w:rPr>
          <w:rFonts w:hint="eastAsia" w:cs="宋体"/>
          <w:color w:val="auto"/>
          <w:sz w:val="21"/>
          <w:szCs w:val="21"/>
        </w:rPr>
        <w:t>。</w:t>
      </w:r>
    </w:p>
    <w:bookmarkEnd w:id="192"/>
    <w:bookmarkEnd w:id="193"/>
    <w:bookmarkEnd w:id="194"/>
    <w:bookmarkEnd w:id="195"/>
    <w:bookmarkEnd w:id="196"/>
    <w:bookmarkEnd w:id="197"/>
    <w:bookmarkEnd w:id="198"/>
    <w:p w14:paraId="40AEB5A7">
      <w:pPr>
        <w:snapToGrid w:val="0"/>
        <w:spacing w:before="312" w:beforeLines="100" w:after="312" w:afterLines="100" w:line="360" w:lineRule="auto"/>
        <w:outlineLvl w:val="2"/>
        <w:rPr>
          <w:rFonts w:cs="宋体"/>
          <w:color w:val="auto"/>
          <w:sz w:val="21"/>
          <w:szCs w:val="21"/>
        </w:rPr>
      </w:pPr>
      <w:bookmarkStart w:id="202" w:name="_Toc351203639"/>
      <w:r>
        <w:rPr>
          <w:rFonts w:hint="eastAsia" w:cs="宋体"/>
          <w:color w:val="auto"/>
          <w:sz w:val="21"/>
          <w:szCs w:val="21"/>
        </w:rPr>
        <w:t>7. 工期和进度</w:t>
      </w:r>
      <w:bookmarkEnd w:id="202"/>
    </w:p>
    <w:p w14:paraId="4984BC19">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7.1 施工组织设计</w:t>
      </w:r>
    </w:p>
    <w:p w14:paraId="35D6FE04">
      <w:pPr>
        <w:keepNext w:val="0"/>
        <w:keepLines w:val="0"/>
        <w:widowControl/>
        <w:suppressLineNumbers w:val="0"/>
        <w:ind w:firstLine="420" w:firstLineChars="200"/>
        <w:jc w:val="left"/>
        <w:rPr>
          <w:rFonts w:cs="宋体"/>
          <w:color w:val="auto"/>
          <w:sz w:val="21"/>
          <w:szCs w:val="21"/>
          <w:u w:val="single"/>
        </w:rPr>
      </w:pPr>
      <w:r>
        <w:rPr>
          <w:rFonts w:hint="eastAsia" w:cs="宋体"/>
          <w:color w:val="auto"/>
          <w:sz w:val="21"/>
          <w:szCs w:val="21"/>
        </w:rPr>
        <w:t>7.1.1 合同当事人约定的施工组织设计应包括的其他内容：</w:t>
      </w:r>
      <w:r>
        <w:rPr>
          <w:rFonts w:hint="eastAsia" w:ascii="宋体" w:hAnsi="宋体" w:eastAsia="宋体" w:cs="宋体"/>
          <w:color w:val="000000"/>
          <w:kern w:val="0"/>
          <w:sz w:val="21"/>
          <w:szCs w:val="21"/>
          <w:u w:val="single"/>
          <w:lang w:val="en-US" w:eastAsia="zh-CN" w:bidi="ar"/>
        </w:rPr>
        <w:t>按采购文件约定，采购文件无约定的按通用条款或双方另行约定</w:t>
      </w:r>
      <w:r>
        <w:rPr>
          <w:rFonts w:hint="eastAsia" w:cs="宋体"/>
          <w:color w:val="auto"/>
          <w:sz w:val="21"/>
          <w:szCs w:val="21"/>
          <w:u w:val="single"/>
        </w:rPr>
        <w:t>。</w:t>
      </w:r>
    </w:p>
    <w:p w14:paraId="4CF72FA9">
      <w:pPr>
        <w:adjustRightInd w:val="0"/>
        <w:snapToGrid w:val="0"/>
        <w:spacing w:line="360" w:lineRule="auto"/>
        <w:ind w:firstLine="420" w:firstLineChars="200"/>
        <w:rPr>
          <w:rFonts w:cs="宋体"/>
          <w:color w:val="auto"/>
          <w:sz w:val="21"/>
          <w:szCs w:val="21"/>
        </w:rPr>
      </w:pPr>
      <w:r>
        <w:rPr>
          <w:rFonts w:hint="eastAsia" w:cs="宋体"/>
          <w:color w:val="auto"/>
          <w:sz w:val="21"/>
          <w:szCs w:val="21"/>
        </w:rPr>
        <w:t>7.1.2 施工组织设计的提交和修改</w:t>
      </w:r>
    </w:p>
    <w:p w14:paraId="730E8AB8">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承包人提交详细施工组织设计的期限的约定：</w:t>
      </w:r>
      <w:r>
        <w:rPr>
          <w:rFonts w:hint="eastAsia" w:cs="宋体"/>
          <w:color w:val="auto"/>
          <w:sz w:val="21"/>
          <w:szCs w:val="21"/>
          <w:u w:val="single"/>
          <w:lang w:val="en-US" w:eastAsia="zh-CN"/>
        </w:rPr>
        <w:t>开工前</w:t>
      </w:r>
      <w:r>
        <w:rPr>
          <w:rFonts w:hint="eastAsia" w:cs="宋体"/>
          <w:color w:val="auto"/>
          <w:sz w:val="21"/>
          <w:szCs w:val="21"/>
        </w:rPr>
        <w:t>。</w:t>
      </w:r>
    </w:p>
    <w:p w14:paraId="4A637A0A">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发包人和监理人在收到详细的施工组织设计后确认或提出修改意见的期限：</w:t>
      </w:r>
      <w:r>
        <w:rPr>
          <w:rFonts w:hint="eastAsia" w:cs="宋体"/>
          <w:color w:val="auto"/>
          <w:sz w:val="21"/>
          <w:szCs w:val="21"/>
          <w:u w:val="single"/>
          <w:lang w:val="en-US" w:eastAsia="zh-CN"/>
        </w:rPr>
        <w:t>收到后3天内</w:t>
      </w:r>
      <w:r>
        <w:rPr>
          <w:rFonts w:hint="eastAsia" w:cs="宋体"/>
          <w:color w:val="auto"/>
          <w:sz w:val="21"/>
          <w:szCs w:val="21"/>
        </w:rPr>
        <w:t>。</w:t>
      </w:r>
    </w:p>
    <w:p w14:paraId="7559B31B">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7</w:t>
      </w:r>
      <w:bookmarkStart w:id="203" w:name="_Toc312677479"/>
      <w:bookmarkStart w:id="204" w:name="_Toc297123514"/>
      <w:bookmarkStart w:id="205" w:name="_Toc297216173"/>
      <w:bookmarkStart w:id="206" w:name="_Toc300934966"/>
      <w:bookmarkStart w:id="207" w:name="_Toc304295541"/>
      <w:bookmarkStart w:id="208" w:name="_Toc312678005"/>
      <w:bookmarkStart w:id="209" w:name="_Toc303539123"/>
      <w:r>
        <w:rPr>
          <w:rFonts w:hint="eastAsia" w:cs="宋体"/>
          <w:bCs/>
          <w:color w:val="auto"/>
          <w:sz w:val="21"/>
          <w:szCs w:val="21"/>
        </w:rPr>
        <w:t>.2 施工进度计划</w:t>
      </w:r>
    </w:p>
    <w:p w14:paraId="06D8D7D2">
      <w:pPr>
        <w:adjustRightInd w:val="0"/>
        <w:snapToGrid w:val="0"/>
        <w:spacing w:line="360" w:lineRule="auto"/>
        <w:ind w:firstLine="420" w:firstLineChars="200"/>
        <w:rPr>
          <w:rFonts w:cs="宋体"/>
          <w:color w:val="auto"/>
          <w:sz w:val="21"/>
          <w:szCs w:val="21"/>
        </w:rPr>
      </w:pPr>
      <w:r>
        <w:rPr>
          <w:rFonts w:hint="eastAsia" w:cs="宋体"/>
          <w:color w:val="auto"/>
          <w:sz w:val="21"/>
          <w:szCs w:val="21"/>
        </w:rPr>
        <w:t>7.2.2 施工进度计划的修订</w:t>
      </w:r>
    </w:p>
    <w:p w14:paraId="2EA9B7F0">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发包人和监理人在收到修订的施工进度计划后确认或提出修改意见的期限：</w:t>
      </w:r>
      <w:r>
        <w:rPr>
          <w:rFonts w:hint="eastAsia" w:cs="宋体"/>
          <w:color w:val="auto"/>
          <w:sz w:val="21"/>
          <w:szCs w:val="21"/>
          <w:u w:val="single"/>
          <w:lang w:val="en-US" w:eastAsia="zh-CN"/>
        </w:rPr>
        <w:t>收到后1天内</w:t>
      </w:r>
      <w:r>
        <w:rPr>
          <w:rFonts w:hint="eastAsia" w:cs="宋体"/>
          <w:color w:val="auto"/>
          <w:sz w:val="21"/>
          <w:szCs w:val="21"/>
        </w:rPr>
        <w:t>。</w:t>
      </w:r>
    </w:p>
    <w:p w14:paraId="3E02811C">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7.3 开工</w:t>
      </w:r>
    </w:p>
    <w:p w14:paraId="727658A1">
      <w:pPr>
        <w:adjustRightInd w:val="0"/>
        <w:snapToGrid w:val="0"/>
        <w:spacing w:line="360" w:lineRule="auto"/>
        <w:ind w:firstLine="420" w:firstLineChars="200"/>
        <w:rPr>
          <w:rFonts w:cs="宋体"/>
          <w:color w:val="auto"/>
          <w:sz w:val="21"/>
          <w:szCs w:val="21"/>
        </w:rPr>
      </w:pPr>
      <w:r>
        <w:rPr>
          <w:rFonts w:hint="eastAsia" w:cs="宋体"/>
          <w:color w:val="auto"/>
          <w:sz w:val="21"/>
          <w:szCs w:val="21"/>
        </w:rPr>
        <w:t>7.3.1 开工准备</w:t>
      </w:r>
    </w:p>
    <w:p w14:paraId="0791DCE9">
      <w:pPr>
        <w:keepNext w:val="0"/>
        <w:keepLines w:val="0"/>
        <w:widowControl/>
        <w:suppressLineNumbers w:val="0"/>
        <w:ind w:firstLine="420" w:firstLineChars="200"/>
        <w:jc w:val="left"/>
        <w:rPr>
          <w:rFonts w:cs="宋体"/>
          <w:color w:val="auto"/>
          <w:sz w:val="21"/>
          <w:szCs w:val="21"/>
          <w:u w:val="single"/>
        </w:rPr>
      </w:pPr>
      <w:r>
        <w:rPr>
          <w:rFonts w:hint="eastAsia" w:cs="宋体"/>
          <w:color w:val="auto"/>
          <w:sz w:val="21"/>
          <w:szCs w:val="21"/>
        </w:rPr>
        <w:t>关于承包人提交工程开工报审表的期限：</w:t>
      </w:r>
      <w:r>
        <w:rPr>
          <w:rFonts w:hint="eastAsia" w:ascii="宋体" w:hAnsi="宋体" w:eastAsia="宋体" w:cs="宋体"/>
          <w:color w:val="000000"/>
          <w:kern w:val="0"/>
          <w:sz w:val="21"/>
          <w:szCs w:val="21"/>
          <w:u w:val="single"/>
          <w:lang w:val="en-US" w:eastAsia="zh-CN" w:bidi="ar"/>
        </w:rPr>
        <w:t>合同签订后、开工前</w:t>
      </w:r>
      <w:r>
        <w:rPr>
          <w:rFonts w:hint="eastAsia" w:cs="宋体"/>
          <w:color w:val="auto"/>
          <w:sz w:val="21"/>
          <w:szCs w:val="21"/>
        </w:rPr>
        <w:t>。</w:t>
      </w:r>
    </w:p>
    <w:p w14:paraId="6A3A95CB">
      <w:pPr>
        <w:keepNext w:val="0"/>
        <w:keepLines w:val="0"/>
        <w:widowControl/>
        <w:suppressLineNumbers w:val="0"/>
        <w:ind w:firstLine="420" w:firstLineChars="200"/>
        <w:jc w:val="left"/>
        <w:rPr>
          <w:rFonts w:cs="宋体"/>
          <w:color w:val="auto"/>
          <w:sz w:val="21"/>
          <w:szCs w:val="21"/>
          <w:u w:val="single"/>
        </w:rPr>
      </w:pPr>
      <w:r>
        <w:rPr>
          <w:rFonts w:hint="eastAsia" w:cs="宋体"/>
          <w:color w:val="auto"/>
          <w:sz w:val="21"/>
          <w:szCs w:val="21"/>
        </w:rPr>
        <w:t>关于发包人应完成的其他开工准备工作及期限：</w:t>
      </w:r>
      <w:r>
        <w:rPr>
          <w:rFonts w:hint="eastAsia" w:ascii="宋体" w:hAnsi="宋体" w:eastAsia="宋体" w:cs="宋体"/>
          <w:color w:val="000000"/>
          <w:kern w:val="0"/>
          <w:sz w:val="21"/>
          <w:szCs w:val="21"/>
          <w:u w:val="single"/>
          <w:lang w:val="en-US" w:eastAsia="zh-CN" w:bidi="ar"/>
        </w:rPr>
        <w:t>执行通用条款</w:t>
      </w:r>
      <w:r>
        <w:rPr>
          <w:rFonts w:hint="eastAsia" w:ascii="宋体" w:hAnsi="宋体" w:eastAsia="宋体" w:cs="宋体"/>
          <w:color w:val="000000"/>
          <w:kern w:val="0"/>
          <w:sz w:val="21"/>
          <w:szCs w:val="21"/>
          <w:lang w:val="en-US" w:eastAsia="zh-CN" w:bidi="ar"/>
        </w:rPr>
        <w:t>。</w:t>
      </w:r>
    </w:p>
    <w:p w14:paraId="0C402E0E">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关于承包人应完成的其他开工准备工作及期限：</w:t>
      </w:r>
      <w:r>
        <w:rPr>
          <w:rFonts w:hint="eastAsia" w:ascii="宋体" w:hAnsi="宋体" w:eastAsia="宋体" w:cs="宋体"/>
          <w:color w:val="000000"/>
          <w:kern w:val="0"/>
          <w:sz w:val="21"/>
          <w:szCs w:val="21"/>
          <w:u w:val="single"/>
          <w:lang w:val="en-US" w:eastAsia="zh-CN" w:bidi="ar"/>
        </w:rPr>
        <w:t>执行通用条款</w:t>
      </w:r>
      <w:r>
        <w:rPr>
          <w:rFonts w:hint="eastAsia" w:ascii="宋体" w:hAnsi="宋体" w:eastAsia="宋体" w:cs="宋体"/>
          <w:color w:val="000000"/>
          <w:kern w:val="0"/>
          <w:sz w:val="21"/>
          <w:szCs w:val="21"/>
          <w:lang w:val="en-US" w:eastAsia="zh-CN" w:bidi="ar"/>
        </w:rPr>
        <w:t>。</w:t>
      </w:r>
    </w:p>
    <w:p w14:paraId="6EDFCCFA">
      <w:pPr>
        <w:adjustRightInd w:val="0"/>
        <w:snapToGrid w:val="0"/>
        <w:spacing w:line="360" w:lineRule="auto"/>
        <w:ind w:firstLine="420" w:firstLineChars="200"/>
        <w:rPr>
          <w:rFonts w:cs="宋体"/>
          <w:color w:val="auto"/>
          <w:sz w:val="21"/>
          <w:szCs w:val="21"/>
        </w:rPr>
      </w:pPr>
      <w:r>
        <w:rPr>
          <w:rFonts w:hint="eastAsia" w:cs="宋体"/>
          <w:color w:val="auto"/>
          <w:sz w:val="21"/>
          <w:szCs w:val="21"/>
        </w:rPr>
        <w:t>7.3.2 开工通知</w:t>
      </w:r>
    </w:p>
    <w:p w14:paraId="16436DE1">
      <w:pPr>
        <w:adjustRightInd w:val="0"/>
        <w:snapToGrid w:val="0"/>
        <w:spacing w:line="360" w:lineRule="auto"/>
        <w:ind w:firstLine="420" w:firstLineChars="200"/>
        <w:rPr>
          <w:rFonts w:cs="宋体"/>
          <w:color w:val="auto"/>
          <w:sz w:val="21"/>
          <w:szCs w:val="21"/>
        </w:rPr>
      </w:pPr>
      <w:r>
        <w:rPr>
          <w:rFonts w:hint="eastAsia" w:cs="宋体"/>
          <w:color w:val="auto"/>
          <w:sz w:val="21"/>
          <w:szCs w:val="21"/>
        </w:rPr>
        <w:t>因发包人原因造成监理人未能在计划开工日期之日起</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天内发出开工通知的，承包人有权提出价格调整要求，或者解除合同。</w:t>
      </w:r>
    </w:p>
    <w:bookmarkEnd w:id="203"/>
    <w:bookmarkEnd w:id="204"/>
    <w:bookmarkEnd w:id="205"/>
    <w:bookmarkEnd w:id="206"/>
    <w:bookmarkEnd w:id="207"/>
    <w:bookmarkEnd w:id="208"/>
    <w:bookmarkEnd w:id="209"/>
    <w:p w14:paraId="5F3006A9">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7.4 测量放线</w:t>
      </w:r>
    </w:p>
    <w:p w14:paraId="17180DEA">
      <w:pPr>
        <w:keepNext w:val="0"/>
        <w:keepLines w:val="0"/>
        <w:widowControl/>
        <w:suppressLineNumbers w:val="0"/>
        <w:jc w:val="left"/>
        <w:rPr>
          <w:rFonts w:cs="宋体"/>
          <w:color w:val="auto"/>
          <w:sz w:val="21"/>
          <w:szCs w:val="21"/>
          <w:u w:val="single"/>
        </w:rPr>
      </w:pPr>
      <w:r>
        <w:rPr>
          <w:rFonts w:hint="eastAsia" w:cs="宋体"/>
          <w:color w:val="auto"/>
          <w:sz w:val="21"/>
          <w:szCs w:val="21"/>
        </w:rPr>
        <w:t>7.4.1 发包人通过监理人向承包人提供测量基准点、基准线和水准点及其书面资料的期限：</w:t>
      </w:r>
      <w:r>
        <w:rPr>
          <w:rFonts w:hint="eastAsia" w:ascii="宋体" w:hAnsi="宋体" w:eastAsia="宋体" w:cs="宋体"/>
          <w:color w:val="000000"/>
          <w:kern w:val="0"/>
          <w:sz w:val="21"/>
          <w:szCs w:val="21"/>
          <w:u w:val="single"/>
          <w:lang w:val="en-US" w:eastAsia="zh-CN" w:bidi="ar"/>
        </w:rPr>
        <w:t>合同签订后、开工前</w:t>
      </w:r>
      <w:r>
        <w:rPr>
          <w:rFonts w:hint="eastAsia" w:cs="宋体"/>
          <w:color w:val="auto"/>
          <w:sz w:val="21"/>
          <w:szCs w:val="21"/>
        </w:rPr>
        <w:t>。</w:t>
      </w:r>
    </w:p>
    <w:p w14:paraId="59BCFA05">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7</w:t>
      </w:r>
      <w:bookmarkStart w:id="210" w:name="_Toc312678010"/>
      <w:bookmarkStart w:id="211" w:name="_Toc297216175"/>
      <w:bookmarkStart w:id="212" w:name="_Toc304295546"/>
      <w:bookmarkStart w:id="213" w:name="_Toc297123516"/>
      <w:bookmarkStart w:id="214" w:name="_Toc303539125"/>
      <w:bookmarkStart w:id="215" w:name="_Toc300934968"/>
      <w:bookmarkStart w:id="216" w:name="_Toc312677484"/>
      <w:r>
        <w:rPr>
          <w:rFonts w:hint="eastAsia" w:cs="宋体"/>
          <w:bCs/>
          <w:color w:val="auto"/>
          <w:sz w:val="21"/>
          <w:szCs w:val="21"/>
        </w:rPr>
        <w:t>.5 工期延误</w:t>
      </w:r>
    </w:p>
    <w:bookmarkEnd w:id="210"/>
    <w:bookmarkEnd w:id="211"/>
    <w:bookmarkEnd w:id="212"/>
    <w:bookmarkEnd w:id="213"/>
    <w:bookmarkEnd w:id="214"/>
    <w:bookmarkEnd w:id="215"/>
    <w:bookmarkEnd w:id="216"/>
    <w:p w14:paraId="68894226">
      <w:pPr>
        <w:adjustRightInd w:val="0"/>
        <w:snapToGrid w:val="0"/>
        <w:spacing w:line="360" w:lineRule="auto"/>
        <w:ind w:firstLine="420" w:firstLineChars="200"/>
        <w:rPr>
          <w:rFonts w:cs="宋体"/>
          <w:color w:val="auto"/>
          <w:sz w:val="21"/>
          <w:szCs w:val="21"/>
        </w:rPr>
      </w:pPr>
      <w:r>
        <w:rPr>
          <w:rFonts w:hint="eastAsia" w:cs="宋体"/>
          <w:color w:val="auto"/>
          <w:sz w:val="21"/>
          <w:szCs w:val="21"/>
        </w:rPr>
        <w:t>7.5.1 因发包人原因导致工期延误</w:t>
      </w:r>
    </w:p>
    <w:p w14:paraId="07A3DB9A">
      <w:pPr>
        <w:keepNext w:val="0"/>
        <w:keepLines w:val="0"/>
        <w:widowControl/>
        <w:suppressLineNumbers w:val="0"/>
        <w:ind w:firstLine="210" w:firstLineChars="100"/>
        <w:jc w:val="left"/>
        <w:rPr>
          <w:rFonts w:cs="宋体"/>
          <w:color w:val="auto"/>
          <w:sz w:val="21"/>
          <w:szCs w:val="21"/>
          <w:u w:val="single"/>
        </w:rPr>
      </w:pPr>
      <w:r>
        <w:rPr>
          <w:rFonts w:hint="eastAsia" w:cs="宋体"/>
          <w:color w:val="auto"/>
          <w:sz w:val="21"/>
          <w:szCs w:val="21"/>
        </w:rPr>
        <w:t>（7）因发包人原因导致工期延误的其他情形：</w:t>
      </w:r>
      <w:r>
        <w:rPr>
          <w:rFonts w:hint="eastAsia" w:ascii="宋体" w:hAnsi="宋体" w:eastAsia="宋体" w:cs="宋体"/>
          <w:color w:val="000000"/>
          <w:kern w:val="0"/>
          <w:sz w:val="21"/>
          <w:szCs w:val="21"/>
          <w:u w:val="single"/>
          <w:lang w:val="en-US" w:eastAsia="zh-CN" w:bidi="ar"/>
        </w:rPr>
        <w:t>①重大设计变更而影响施工进度；②政策处理问题影响施工进度；③不可抗力，此延误工期须在发现后七天内办理签证，逾期不予认可；因发包人原因导致工期延误，发包人应同意工期相应顺延，发包人不承担任何费用和损失</w:t>
      </w:r>
      <w:r>
        <w:rPr>
          <w:rFonts w:hint="eastAsia" w:cs="宋体"/>
          <w:color w:val="auto"/>
          <w:sz w:val="21"/>
          <w:szCs w:val="21"/>
        </w:rPr>
        <w:t>。</w:t>
      </w:r>
    </w:p>
    <w:p w14:paraId="20A92F73">
      <w:pPr>
        <w:adjustRightInd w:val="0"/>
        <w:snapToGrid w:val="0"/>
        <w:spacing w:line="360" w:lineRule="auto"/>
        <w:ind w:firstLine="420" w:firstLineChars="200"/>
        <w:rPr>
          <w:rFonts w:cs="宋体"/>
          <w:color w:val="auto"/>
          <w:sz w:val="21"/>
          <w:szCs w:val="21"/>
        </w:rPr>
      </w:pPr>
      <w:r>
        <w:rPr>
          <w:rFonts w:hint="eastAsia" w:cs="宋体"/>
          <w:color w:val="auto"/>
          <w:sz w:val="21"/>
          <w:szCs w:val="21"/>
        </w:rPr>
        <w:t>7</w:t>
      </w:r>
      <w:bookmarkStart w:id="217" w:name="_Toc318581169"/>
      <w:bookmarkStart w:id="218" w:name="_Toc312678012"/>
      <w:bookmarkStart w:id="219" w:name="_Toc312677486"/>
      <w:bookmarkStart w:id="220" w:name="_Toc304295548"/>
      <w:bookmarkStart w:id="221" w:name="_Toc297123518"/>
      <w:bookmarkStart w:id="222" w:name="_Toc297216177"/>
      <w:bookmarkStart w:id="223" w:name="_Toc303539127"/>
      <w:bookmarkStart w:id="224" w:name="_Toc300934970"/>
      <w:r>
        <w:rPr>
          <w:rFonts w:hint="eastAsia" w:cs="宋体"/>
          <w:color w:val="auto"/>
          <w:sz w:val="21"/>
          <w:szCs w:val="21"/>
        </w:rPr>
        <w:t>.5.2 因承包人原因导致工期延误</w:t>
      </w:r>
    </w:p>
    <w:bookmarkEnd w:id="217"/>
    <w:bookmarkEnd w:id="218"/>
    <w:bookmarkEnd w:id="219"/>
    <w:p w14:paraId="2D55CD74">
      <w:pPr>
        <w:keepNext w:val="0"/>
        <w:keepLines w:val="0"/>
        <w:widowControl/>
        <w:suppressLineNumbers w:val="0"/>
        <w:ind w:firstLine="210" w:firstLineChars="100"/>
        <w:jc w:val="left"/>
        <w:rPr>
          <w:rFonts w:cs="宋体"/>
          <w:color w:val="auto"/>
          <w:sz w:val="21"/>
          <w:szCs w:val="21"/>
        </w:rPr>
      </w:pPr>
      <w:r>
        <w:rPr>
          <w:rFonts w:hint="eastAsia" w:cs="宋体"/>
          <w:color w:val="auto"/>
          <w:sz w:val="21"/>
          <w:szCs w:val="21"/>
        </w:rPr>
        <w:t>因</w:t>
      </w:r>
      <w:bookmarkStart w:id="225" w:name="_Toc312678013"/>
      <w:bookmarkStart w:id="226" w:name="_Toc312677487"/>
      <w:bookmarkStart w:id="227" w:name="_Toc318581170"/>
      <w:r>
        <w:rPr>
          <w:rFonts w:hint="eastAsia" w:cs="宋体"/>
          <w:color w:val="auto"/>
          <w:sz w:val="21"/>
          <w:szCs w:val="21"/>
        </w:rPr>
        <w:t>承包人原因造成工期延误，逾期竣工违约金的计算方法为：</w:t>
      </w:r>
      <w:r>
        <w:rPr>
          <w:rFonts w:hint="eastAsia" w:ascii="宋体" w:hAnsi="宋体" w:eastAsia="宋体" w:cs="宋体"/>
          <w:color w:val="000000"/>
          <w:kern w:val="0"/>
          <w:sz w:val="21"/>
          <w:szCs w:val="21"/>
          <w:u w:val="single"/>
          <w:lang w:val="en-US" w:eastAsia="zh-CN" w:bidi="ar"/>
        </w:rPr>
        <w:t>按合同工期，每延期竣工一天，承包人支付发包人合同价款的千分之一的违约金；工程延期10日以上的，每日按合同价款千分之三向发包人支付违约金；延期竣工20日以上的，发包人有权解除合同，并追究连带损失</w:t>
      </w:r>
      <w:r>
        <w:rPr>
          <w:rFonts w:hint="eastAsia" w:cs="宋体"/>
          <w:color w:val="auto"/>
          <w:sz w:val="21"/>
          <w:szCs w:val="21"/>
        </w:rPr>
        <w:t>。</w:t>
      </w:r>
      <w:bookmarkEnd w:id="220"/>
      <w:bookmarkEnd w:id="221"/>
      <w:bookmarkEnd w:id="222"/>
      <w:bookmarkEnd w:id="223"/>
      <w:bookmarkEnd w:id="224"/>
      <w:bookmarkEnd w:id="225"/>
      <w:bookmarkEnd w:id="226"/>
    </w:p>
    <w:bookmarkEnd w:id="227"/>
    <w:p w14:paraId="64BE71E9">
      <w:pPr>
        <w:keepNext w:val="0"/>
        <w:keepLines w:val="0"/>
        <w:widowControl/>
        <w:suppressLineNumbers w:val="0"/>
        <w:ind w:firstLine="420" w:firstLineChars="200"/>
        <w:jc w:val="left"/>
        <w:rPr>
          <w:rFonts w:cs="宋体"/>
          <w:b/>
          <w:color w:val="auto"/>
          <w:sz w:val="21"/>
          <w:szCs w:val="21"/>
          <w:u w:val="single"/>
        </w:rPr>
      </w:pPr>
      <w:r>
        <w:rPr>
          <w:rFonts w:hint="eastAsia" w:cs="宋体"/>
          <w:color w:val="auto"/>
          <w:sz w:val="21"/>
          <w:szCs w:val="21"/>
        </w:rPr>
        <w:t>因承包人原因造成工期延误，逾</w:t>
      </w:r>
      <w:bookmarkStart w:id="228" w:name="_Toc318581171"/>
      <w:bookmarkStart w:id="229" w:name="_Toc312678014"/>
      <w:r>
        <w:rPr>
          <w:rFonts w:hint="eastAsia" w:cs="宋体"/>
          <w:color w:val="auto"/>
          <w:sz w:val="21"/>
          <w:szCs w:val="21"/>
        </w:rPr>
        <w:t>期竣工违约金的上限：</w:t>
      </w:r>
      <w:r>
        <w:rPr>
          <w:rFonts w:hint="eastAsia" w:ascii="宋体" w:hAnsi="宋体" w:eastAsia="宋体" w:cs="宋体"/>
          <w:color w:val="auto"/>
          <w:sz w:val="21"/>
          <w:szCs w:val="21"/>
          <w:u w:val="single"/>
          <w:lang w:val="en-US" w:eastAsia="zh-CN"/>
        </w:rPr>
        <w:t>总额不超过合同价款的5%</w:t>
      </w:r>
      <w:r>
        <w:rPr>
          <w:rFonts w:hint="eastAsia" w:cs="宋体"/>
          <w:color w:val="auto"/>
          <w:sz w:val="21"/>
          <w:szCs w:val="21"/>
        </w:rPr>
        <w:t>。</w:t>
      </w:r>
    </w:p>
    <w:bookmarkEnd w:id="228"/>
    <w:bookmarkEnd w:id="229"/>
    <w:p w14:paraId="1DF8E212">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7</w:t>
      </w:r>
      <w:bookmarkStart w:id="230" w:name="_Toc304295549"/>
      <w:bookmarkStart w:id="231" w:name="_Toc297123519"/>
      <w:bookmarkStart w:id="232" w:name="_Toc303539128"/>
      <w:bookmarkStart w:id="233" w:name="_Toc312678015"/>
      <w:bookmarkStart w:id="234" w:name="_Toc297216178"/>
      <w:bookmarkStart w:id="235" w:name="_Toc300934971"/>
      <w:r>
        <w:rPr>
          <w:rFonts w:hint="eastAsia" w:cs="宋体"/>
          <w:bCs/>
          <w:color w:val="auto"/>
          <w:sz w:val="21"/>
          <w:szCs w:val="21"/>
        </w:rPr>
        <w:t>.6 不</w:t>
      </w:r>
      <w:bookmarkEnd w:id="230"/>
      <w:bookmarkEnd w:id="231"/>
      <w:bookmarkEnd w:id="232"/>
      <w:bookmarkEnd w:id="233"/>
      <w:bookmarkEnd w:id="234"/>
      <w:bookmarkEnd w:id="235"/>
      <w:r>
        <w:rPr>
          <w:rFonts w:hint="eastAsia" w:cs="宋体"/>
          <w:bCs/>
          <w:color w:val="auto"/>
          <w:sz w:val="21"/>
          <w:szCs w:val="21"/>
        </w:rPr>
        <w:t>利物质条件</w:t>
      </w:r>
    </w:p>
    <w:p w14:paraId="1A5FA5F1">
      <w:pPr>
        <w:adjustRightInd w:val="0"/>
        <w:snapToGrid w:val="0"/>
        <w:spacing w:line="360" w:lineRule="auto"/>
        <w:ind w:firstLine="420" w:firstLineChars="200"/>
        <w:rPr>
          <w:rFonts w:cs="宋体"/>
          <w:b/>
          <w:color w:val="auto"/>
          <w:sz w:val="21"/>
          <w:szCs w:val="21"/>
          <w:u w:val="single"/>
        </w:rPr>
      </w:pPr>
      <w:bookmarkStart w:id="236" w:name="_Toc303539129"/>
      <w:bookmarkStart w:id="237" w:name="_Toc297216179"/>
      <w:bookmarkStart w:id="238" w:name="_Toc300934972"/>
      <w:bookmarkStart w:id="239" w:name="_Toc297123520"/>
      <w:bookmarkStart w:id="240" w:name="_Toc318581172"/>
      <w:bookmarkStart w:id="241" w:name="_Toc312678016"/>
      <w:bookmarkStart w:id="242" w:name="_Toc304295550"/>
      <w:r>
        <w:rPr>
          <w:rFonts w:hint="eastAsia" w:cs="宋体"/>
          <w:color w:val="auto"/>
          <w:sz w:val="21"/>
          <w:szCs w:val="21"/>
        </w:rPr>
        <w:t>不利物质条件的其他情形和有关约定：</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bookmarkEnd w:id="236"/>
    <w:bookmarkEnd w:id="237"/>
    <w:bookmarkEnd w:id="238"/>
    <w:bookmarkEnd w:id="239"/>
    <w:bookmarkEnd w:id="240"/>
    <w:bookmarkEnd w:id="241"/>
    <w:bookmarkEnd w:id="242"/>
    <w:p w14:paraId="3A6FC548">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7</w:t>
      </w:r>
      <w:bookmarkStart w:id="243" w:name="_Toc304295551"/>
      <w:bookmarkStart w:id="244" w:name="_Toc297123521"/>
      <w:bookmarkStart w:id="245" w:name="_Toc297216180"/>
      <w:bookmarkStart w:id="246" w:name="_Toc312678017"/>
      <w:bookmarkStart w:id="247" w:name="_Toc300934973"/>
      <w:bookmarkStart w:id="248" w:name="_Toc303539130"/>
      <w:r>
        <w:rPr>
          <w:rFonts w:hint="eastAsia" w:cs="宋体"/>
          <w:bCs/>
          <w:color w:val="auto"/>
          <w:sz w:val="21"/>
          <w:szCs w:val="21"/>
        </w:rPr>
        <w:t>.7 异常恶劣的气候条件</w:t>
      </w:r>
    </w:p>
    <w:bookmarkEnd w:id="243"/>
    <w:bookmarkEnd w:id="244"/>
    <w:bookmarkEnd w:id="245"/>
    <w:bookmarkEnd w:id="246"/>
    <w:bookmarkEnd w:id="247"/>
    <w:bookmarkEnd w:id="248"/>
    <w:p w14:paraId="1868E507">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发包人和承包人同意以下情形视为异常恶劣的气候条件：</w:t>
      </w:r>
    </w:p>
    <w:p w14:paraId="378A5266">
      <w:pPr>
        <w:keepNext w:val="0"/>
        <w:keepLines w:val="0"/>
        <w:widowControl/>
        <w:suppressLineNumbers w:val="0"/>
        <w:ind w:firstLine="210" w:firstLineChars="100"/>
        <w:jc w:val="left"/>
        <w:rPr>
          <w:rFonts w:hint="eastAsia" w:ascii="宋体" w:hAnsi="宋体" w:eastAsia="宋体" w:cs="宋体"/>
          <w:color w:val="000000"/>
          <w:kern w:val="0"/>
          <w:sz w:val="21"/>
          <w:szCs w:val="21"/>
          <w:u w:val="single"/>
          <w:lang w:val="en-US" w:eastAsia="zh-CN" w:bidi="ar"/>
        </w:rPr>
      </w:pPr>
      <w:r>
        <w:rPr>
          <w:rFonts w:hint="eastAsia" w:ascii="宋体" w:hAnsi="宋体" w:eastAsia="宋体" w:cs="宋体"/>
          <w:color w:val="000000"/>
          <w:kern w:val="0"/>
          <w:sz w:val="21"/>
          <w:szCs w:val="21"/>
          <w:u w:val="single"/>
          <w:lang w:val="en-US" w:eastAsia="zh-CN" w:bidi="ar"/>
        </w:rPr>
        <w:t xml:space="preserve">（1）日降雨量大于25㎜的连续雨日超过3天； </w:t>
      </w:r>
    </w:p>
    <w:p w14:paraId="360B16B1">
      <w:pPr>
        <w:keepNext w:val="0"/>
        <w:keepLines w:val="0"/>
        <w:widowControl/>
        <w:suppressLineNumbers w:val="0"/>
        <w:ind w:firstLine="210" w:firstLineChars="100"/>
        <w:jc w:val="left"/>
        <w:rPr>
          <w:rFonts w:hint="eastAsia" w:ascii="宋体" w:hAnsi="宋体" w:eastAsia="宋体" w:cs="宋体"/>
          <w:color w:val="000000"/>
          <w:kern w:val="0"/>
          <w:sz w:val="21"/>
          <w:szCs w:val="21"/>
          <w:u w:val="single"/>
          <w:lang w:val="en-US" w:eastAsia="zh-CN" w:bidi="ar"/>
        </w:rPr>
      </w:pPr>
      <w:r>
        <w:rPr>
          <w:rFonts w:hint="eastAsia" w:ascii="宋体" w:hAnsi="宋体" w:eastAsia="宋体" w:cs="宋体"/>
          <w:color w:val="000000"/>
          <w:kern w:val="0"/>
          <w:sz w:val="21"/>
          <w:szCs w:val="21"/>
          <w:u w:val="single"/>
          <w:lang w:val="en-US" w:eastAsia="zh-CN" w:bidi="ar"/>
        </w:rPr>
        <w:t xml:space="preserve">（2）风速大于10.8m/s的6级以上强风灾害； </w:t>
      </w:r>
    </w:p>
    <w:p w14:paraId="2E2A9C70">
      <w:pPr>
        <w:keepNext w:val="0"/>
        <w:keepLines w:val="0"/>
        <w:widowControl/>
        <w:suppressLineNumbers w:val="0"/>
        <w:ind w:firstLine="210" w:firstLineChars="100"/>
        <w:jc w:val="left"/>
        <w:rPr>
          <w:rFonts w:hint="eastAsia" w:ascii="宋体" w:hAnsi="宋体" w:eastAsia="宋体" w:cs="宋体"/>
          <w:color w:val="000000"/>
          <w:kern w:val="0"/>
          <w:sz w:val="21"/>
          <w:szCs w:val="21"/>
          <w:u w:val="single"/>
          <w:lang w:val="en-US" w:eastAsia="zh-CN" w:bidi="ar"/>
        </w:rPr>
      </w:pPr>
      <w:r>
        <w:rPr>
          <w:rFonts w:hint="eastAsia" w:ascii="宋体" w:hAnsi="宋体" w:eastAsia="宋体" w:cs="宋体"/>
          <w:color w:val="000000"/>
          <w:kern w:val="0"/>
          <w:sz w:val="21"/>
          <w:szCs w:val="21"/>
          <w:u w:val="single"/>
          <w:lang w:val="en-US" w:eastAsia="zh-CN" w:bidi="ar"/>
        </w:rPr>
        <w:t xml:space="preserve">（3）日气温低于-10℃的严寒大于3天； </w:t>
      </w:r>
    </w:p>
    <w:p w14:paraId="30B2CA26">
      <w:pPr>
        <w:keepNext w:val="0"/>
        <w:keepLines w:val="0"/>
        <w:widowControl/>
        <w:suppressLineNumbers w:val="0"/>
        <w:ind w:firstLine="210" w:firstLineChars="100"/>
        <w:jc w:val="left"/>
        <w:rPr>
          <w:rFonts w:hint="eastAsia" w:ascii="宋体" w:hAnsi="宋体" w:eastAsia="宋体" w:cs="宋体"/>
          <w:color w:val="000000"/>
          <w:kern w:val="0"/>
          <w:sz w:val="21"/>
          <w:szCs w:val="21"/>
          <w:u w:val="single"/>
          <w:lang w:val="en-US" w:eastAsia="zh-CN" w:bidi="ar"/>
        </w:rPr>
      </w:pPr>
      <w:r>
        <w:rPr>
          <w:rFonts w:hint="eastAsia" w:ascii="宋体" w:hAnsi="宋体" w:eastAsia="宋体" w:cs="宋体"/>
          <w:color w:val="000000"/>
          <w:kern w:val="0"/>
          <w:sz w:val="21"/>
          <w:szCs w:val="21"/>
          <w:u w:val="single"/>
          <w:lang w:val="en-US" w:eastAsia="zh-CN" w:bidi="ar"/>
        </w:rPr>
        <w:t xml:space="preserve">（4）造成工程损坏的冰雹和大雪灾害； </w:t>
      </w:r>
    </w:p>
    <w:p w14:paraId="6B571C92">
      <w:pPr>
        <w:keepNext w:val="0"/>
        <w:keepLines w:val="0"/>
        <w:widowControl/>
        <w:suppressLineNumbers w:val="0"/>
        <w:ind w:firstLine="210" w:firstLineChars="100"/>
        <w:jc w:val="left"/>
        <w:rPr>
          <w:rFonts w:hint="eastAsia" w:ascii="宋体" w:hAnsi="宋体" w:eastAsia="宋体" w:cs="宋体"/>
          <w:color w:val="000000"/>
          <w:kern w:val="0"/>
          <w:sz w:val="21"/>
          <w:szCs w:val="21"/>
          <w:u w:val="single"/>
          <w:lang w:val="en-US" w:eastAsia="zh-CN" w:bidi="ar"/>
        </w:rPr>
      </w:pPr>
      <w:r>
        <w:rPr>
          <w:rFonts w:hint="eastAsia" w:ascii="宋体" w:hAnsi="宋体" w:eastAsia="宋体" w:cs="宋体"/>
          <w:color w:val="000000"/>
          <w:kern w:val="0"/>
          <w:sz w:val="21"/>
          <w:szCs w:val="21"/>
          <w:u w:val="single"/>
          <w:lang w:val="en-US" w:eastAsia="zh-CN" w:bidi="ar"/>
        </w:rPr>
        <w:t xml:space="preserve">（5）其它异常恶劣气候灾害。 </w:t>
      </w:r>
    </w:p>
    <w:p w14:paraId="6D0F2061">
      <w:pPr>
        <w:adjustRightInd w:val="0"/>
        <w:snapToGrid w:val="0"/>
        <w:spacing w:line="360" w:lineRule="auto"/>
        <w:ind w:firstLine="420" w:firstLineChars="200"/>
        <w:rPr>
          <w:rFonts w:cs="宋体"/>
          <w:color w:val="auto"/>
          <w:sz w:val="21"/>
          <w:szCs w:val="21"/>
        </w:rPr>
      </w:pPr>
      <w:r>
        <w:rPr>
          <w:rFonts w:hint="eastAsia" w:ascii="宋体" w:hAnsi="宋体" w:eastAsia="宋体" w:cs="宋体"/>
          <w:color w:val="000000"/>
          <w:kern w:val="0"/>
          <w:sz w:val="21"/>
          <w:szCs w:val="21"/>
          <w:u w:val="single"/>
          <w:lang w:val="en-US" w:eastAsia="zh-CN" w:bidi="ar"/>
        </w:rPr>
        <w:t>（6）监理工程师认为确有必要暂停施工时，应当以书面形式要求承包人暂停施工，并在提出要求后24小时内提出书面处理意见。承包人应当按监理工程师要求停止施工，并妥善保护已完工程。承包人实施监理工程师作出的处理意见后，可以书面形式提出复工要求，监理工程师应当在24小时内给予答复。监理工程师未能在规定时间内提出处理意见，或收到承包人复工要求后24小时内未予答复，承包人可自行复工</w:t>
      </w:r>
      <w:r>
        <w:rPr>
          <w:rFonts w:hint="eastAsia" w:ascii="宋体" w:hAnsi="宋体" w:eastAsia="宋体" w:cs="宋体"/>
          <w:color w:val="000000"/>
          <w:kern w:val="0"/>
          <w:sz w:val="21"/>
          <w:szCs w:val="21"/>
          <w:lang w:val="en-US" w:eastAsia="zh-CN" w:bidi="ar"/>
        </w:rPr>
        <w:t>。</w:t>
      </w:r>
      <w:r>
        <w:rPr>
          <w:rFonts w:hint="eastAsia" w:cs="宋体"/>
          <w:color w:val="auto"/>
          <w:sz w:val="21"/>
          <w:szCs w:val="21"/>
        </w:rPr>
        <w:t>。</w:t>
      </w:r>
    </w:p>
    <w:p w14:paraId="502E0860">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7.9 提前竣工</w:t>
      </w:r>
    </w:p>
    <w:p w14:paraId="20BB7256">
      <w:pPr>
        <w:adjustRightInd w:val="0"/>
        <w:snapToGrid w:val="0"/>
        <w:spacing w:line="360" w:lineRule="auto"/>
        <w:ind w:firstLine="420" w:firstLineChars="200"/>
        <w:rPr>
          <w:rFonts w:cs="宋体"/>
          <w:color w:val="auto"/>
          <w:sz w:val="21"/>
          <w:szCs w:val="21"/>
        </w:rPr>
      </w:pPr>
      <w:r>
        <w:rPr>
          <w:rFonts w:hint="eastAsia" w:cs="宋体"/>
          <w:color w:val="auto"/>
          <w:sz w:val="21"/>
          <w:szCs w:val="21"/>
        </w:rPr>
        <w:t>7.9.2 提前竣工的奖励：</w:t>
      </w:r>
      <w:r>
        <w:rPr>
          <w:rFonts w:hint="eastAsia" w:cs="宋体"/>
          <w:color w:val="auto"/>
          <w:sz w:val="21"/>
          <w:szCs w:val="21"/>
          <w:u w:val="single"/>
        </w:rPr>
        <w:t>见《专用合同条款数据表》</w:t>
      </w:r>
      <w:r>
        <w:rPr>
          <w:rFonts w:hint="eastAsia" w:cs="宋体"/>
          <w:color w:val="auto"/>
          <w:sz w:val="21"/>
          <w:szCs w:val="21"/>
        </w:rPr>
        <w:t>。</w:t>
      </w:r>
    </w:p>
    <w:p w14:paraId="73EE2546">
      <w:pPr>
        <w:snapToGrid w:val="0"/>
        <w:spacing w:before="312" w:beforeLines="100" w:after="312" w:afterLines="100" w:line="360" w:lineRule="auto"/>
        <w:outlineLvl w:val="2"/>
        <w:rPr>
          <w:rFonts w:cs="宋体"/>
          <w:color w:val="auto"/>
          <w:sz w:val="21"/>
          <w:szCs w:val="21"/>
        </w:rPr>
      </w:pPr>
      <w:bookmarkStart w:id="249" w:name="_Toc351203640"/>
      <w:r>
        <w:rPr>
          <w:rFonts w:hint="eastAsia" w:cs="宋体"/>
          <w:color w:val="auto"/>
          <w:sz w:val="21"/>
          <w:szCs w:val="21"/>
        </w:rPr>
        <w:t>8. 材料与设备</w:t>
      </w:r>
      <w:bookmarkEnd w:id="249"/>
    </w:p>
    <w:bookmarkEnd w:id="182"/>
    <w:bookmarkEnd w:id="183"/>
    <w:bookmarkEnd w:id="184"/>
    <w:bookmarkEnd w:id="185"/>
    <w:bookmarkEnd w:id="186"/>
    <w:bookmarkEnd w:id="187"/>
    <w:bookmarkEnd w:id="188"/>
    <w:bookmarkEnd w:id="189"/>
    <w:bookmarkEnd w:id="190"/>
    <w:bookmarkEnd w:id="191"/>
    <w:p w14:paraId="284DC3CB">
      <w:pPr>
        <w:adjustRightInd w:val="0"/>
        <w:snapToGrid w:val="0"/>
        <w:spacing w:line="360" w:lineRule="auto"/>
        <w:ind w:firstLine="420" w:firstLineChars="200"/>
        <w:rPr>
          <w:rFonts w:cs="宋体"/>
          <w:color w:val="auto"/>
          <w:sz w:val="21"/>
          <w:szCs w:val="21"/>
        </w:rPr>
      </w:pPr>
      <w:r>
        <w:rPr>
          <w:rFonts w:hint="eastAsia" w:cs="宋体"/>
          <w:color w:val="auto"/>
          <w:sz w:val="21"/>
          <w:szCs w:val="21"/>
        </w:rPr>
        <w:t>8</w:t>
      </w:r>
      <w:bookmarkStart w:id="250" w:name="_Toc304295556"/>
      <w:bookmarkStart w:id="251" w:name="_Toc292559372"/>
      <w:bookmarkStart w:id="252" w:name="_Toc312678019"/>
      <w:bookmarkStart w:id="253" w:name="_Toc296503167"/>
      <w:bookmarkStart w:id="254" w:name="_Toc312677493"/>
      <w:bookmarkStart w:id="255" w:name="_Toc280868654"/>
      <w:bookmarkStart w:id="256" w:name="_Toc297123527"/>
      <w:bookmarkStart w:id="257" w:name="_Toc296944506"/>
      <w:bookmarkStart w:id="258" w:name="_Toc296891207"/>
      <w:bookmarkStart w:id="259" w:name="_Toc297048353"/>
      <w:bookmarkStart w:id="260" w:name="_Toc303539136"/>
      <w:bookmarkStart w:id="261" w:name="_Toc296890995"/>
      <w:bookmarkStart w:id="262" w:name="_Toc296347166"/>
      <w:bookmarkStart w:id="263" w:name="_Toc292559877"/>
      <w:bookmarkStart w:id="264" w:name="_Toc300934979"/>
      <w:bookmarkStart w:id="265" w:name="_Toc297120467"/>
      <w:bookmarkStart w:id="266" w:name="_Toc297216186"/>
      <w:bookmarkStart w:id="267" w:name="_Toc296346668"/>
      <w:bookmarkStart w:id="268" w:name="_Toc280868655"/>
      <w:bookmarkStart w:id="269" w:name="_Toc267251424"/>
      <w:bookmarkStart w:id="270" w:name="_Toc280868656"/>
      <w:r>
        <w:rPr>
          <w:rFonts w:hint="eastAsia" w:cs="宋体"/>
          <w:color w:val="auto"/>
          <w:sz w:val="21"/>
          <w:szCs w:val="21"/>
        </w:rPr>
        <w:t>.4 材料与工程设备的保管与使用</w:t>
      </w:r>
    </w:p>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14:paraId="3FCAFFCE">
      <w:pPr>
        <w:keepNext w:val="0"/>
        <w:keepLines w:val="0"/>
        <w:widowControl/>
        <w:suppressLineNumbers w:val="0"/>
        <w:ind w:firstLine="420" w:firstLineChars="200"/>
        <w:jc w:val="left"/>
        <w:rPr>
          <w:rFonts w:cs="宋体"/>
          <w:color w:val="auto"/>
          <w:sz w:val="21"/>
          <w:szCs w:val="21"/>
          <w:u w:val="single"/>
        </w:rPr>
      </w:pPr>
      <w:r>
        <w:rPr>
          <w:rFonts w:hint="eastAsia" w:cs="宋体"/>
          <w:color w:val="auto"/>
          <w:sz w:val="21"/>
          <w:szCs w:val="21"/>
        </w:rPr>
        <w:t>8</w:t>
      </w:r>
      <w:bookmarkStart w:id="271" w:name="_Toc292559878"/>
      <w:bookmarkStart w:id="272" w:name="_Toc292559373"/>
      <w:bookmarkStart w:id="273" w:name="_Toc297120468"/>
      <w:bookmarkStart w:id="274" w:name="_Toc312677494"/>
      <w:bookmarkStart w:id="275" w:name="_Toc312678020"/>
      <w:bookmarkStart w:id="276" w:name="_Toc304295557"/>
      <w:bookmarkStart w:id="277" w:name="_Toc300934980"/>
      <w:bookmarkStart w:id="278" w:name="_Toc296346669"/>
      <w:bookmarkStart w:id="279" w:name="_Toc296890996"/>
      <w:bookmarkStart w:id="280" w:name="_Toc297048354"/>
      <w:bookmarkStart w:id="281" w:name="_Toc303539137"/>
      <w:bookmarkStart w:id="282" w:name="_Toc297123528"/>
      <w:bookmarkStart w:id="283" w:name="_Toc297216187"/>
      <w:bookmarkStart w:id="284" w:name="_Toc296944507"/>
      <w:bookmarkStart w:id="285" w:name="_Toc296347167"/>
      <w:bookmarkStart w:id="286" w:name="_Toc296503168"/>
      <w:bookmarkStart w:id="287" w:name="_Toc318581173"/>
      <w:bookmarkStart w:id="288" w:name="_Toc296891208"/>
      <w:r>
        <w:rPr>
          <w:rFonts w:hint="eastAsia" w:cs="宋体"/>
          <w:color w:val="auto"/>
          <w:sz w:val="21"/>
          <w:szCs w:val="21"/>
        </w:rPr>
        <w:t>.4.1 发包人供应的材料设备的保管费用的承担：</w:t>
      </w:r>
      <w:r>
        <w:rPr>
          <w:rFonts w:hint="eastAsia" w:ascii="宋体" w:hAnsi="宋体" w:eastAsia="宋体" w:cs="宋体"/>
          <w:color w:val="000000"/>
          <w:kern w:val="0"/>
          <w:sz w:val="21"/>
          <w:szCs w:val="21"/>
          <w:u w:val="single"/>
          <w:lang w:val="en-US" w:eastAsia="zh-CN" w:bidi="ar"/>
        </w:rPr>
        <w:t>由承包人承担</w:t>
      </w:r>
      <w:r>
        <w:rPr>
          <w:rFonts w:hint="eastAsia" w:cs="宋体"/>
          <w:color w:val="auto"/>
          <w:sz w:val="21"/>
          <w:szCs w:val="21"/>
        </w:rPr>
        <w:t>。</w:t>
      </w:r>
      <w:bookmarkEnd w:id="271"/>
      <w:bookmarkEnd w:id="272"/>
    </w:p>
    <w:p w14:paraId="44E60998">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8.6 样品</w:t>
      </w:r>
    </w:p>
    <w:p w14:paraId="57902265">
      <w:pPr>
        <w:adjustRightInd w:val="0"/>
        <w:snapToGrid w:val="0"/>
        <w:spacing w:line="360" w:lineRule="auto"/>
        <w:ind w:firstLine="420" w:firstLineChars="200"/>
        <w:rPr>
          <w:rFonts w:cs="宋体"/>
          <w:color w:val="auto"/>
          <w:sz w:val="21"/>
          <w:szCs w:val="21"/>
        </w:rPr>
      </w:pPr>
      <w:r>
        <w:rPr>
          <w:rFonts w:hint="eastAsia" w:cs="宋体"/>
          <w:color w:val="auto"/>
          <w:sz w:val="21"/>
          <w:szCs w:val="21"/>
        </w:rPr>
        <w:t>8.6.1 样品的报送与封存</w:t>
      </w:r>
    </w:p>
    <w:p w14:paraId="45C4C07F">
      <w:pPr>
        <w:keepNext w:val="0"/>
        <w:keepLines w:val="0"/>
        <w:widowControl/>
        <w:suppressLineNumbers w:val="0"/>
        <w:ind w:firstLine="420" w:firstLineChars="200"/>
        <w:jc w:val="left"/>
        <w:rPr>
          <w:rFonts w:cs="宋体"/>
          <w:color w:val="auto"/>
          <w:sz w:val="21"/>
          <w:szCs w:val="21"/>
          <w:u w:val="single"/>
        </w:rPr>
      </w:pPr>
      <w:r>
        <w:rPr>
          <w:rFonts w:hint="eastAsia" w:cs="宋体"/>
          <w:color w:val="auto"/>
          <w:sz w:val="21"/>
          <w:szCs w:val="21"/>
        </w:rPr>
        <w:t>需要承包人报送样品的材料或工程设备，样品的种类、名称、规格、数量要求：</w:t>
      </w:r>
      <w:r>
        <w:rPr>
          <w:rFonts w:hint="eastAsia" w:ascii="宋体" w:hAnsi="宋体" w:eastAsia="宋体" w:cs="宋体"/>
          <w:color w:val="000000"/>
          <w:kern w:val="0"/>
          <w:sz w:val="21"/>
          <w:szCs w:val="21"/>
          <w:u w:val="single"/>
          <w:lang w:val="en-US" w:eastAsia="zh-CN" w:bidi="ar"/>
        </w:rPr>
        <w:t>工程实施过程中按发包人的要求提供，承包人充分考虑发包人对本项目的设计要求、质量要求，严格按照清单描述、图纸设计及要求采购或订购，所有材料均需经设计、监理和发包人认可。承包人报送的样品经设计、监理和发包人确认后，由发包人封存，以便在实际施工过程中核对，如发现承包人使用的建材与送报的样品不一致的，视承包人违约，发包人有权扣除其履约保证金</w:t>
      </w:r>
      <w:r>
        <w:rPr>
          <w:rFonts w:hint="eastAsia" w:cs="宋体"/>
          <w:color w:val="auto"/>
          <w:sz w:val="21"/>
          <w:szCs w:val="21"/>
        </w:rPr>
        <w:t>。</w:t>
      </w:r>
    </w:p>
    <w:p w14:paraId="1C6474A1">
      <w:pPr>
        <w:adjustRightInd w:val="0"/>
        <w:snapToGrid w:val="0"/>
        <w:spacing w:line="360" w:lineRule="auto"/>
        <w:ind w:firstLine="420" w:firstLineChars="200"/>
        <w:rPr>
          <w:rFonts w:cs="宋体"/>
          <w:color w:val="auto"/>
          <w:sz w:val="21"/>
          <w:szCs w:val="21"/>
        </w:rPr>
      </w:pPr>
      <w:r>
        <w:rPr>
          <w:rFonts w:hint="eastAsia" w:cs="宋体"/>
          <w:color w:val="auto"/>
          <w:sz w:val="21"/>
          <w:szCs w:val="21"/>
        </w:rPr>
        <w:t>8.8 施工设备和临时设施</w:t>
      </w:r>
    </w:p>
    <w:p w14:paraId="7A1C4B4D">
      <w:pPr>
        <w:adjustRightInd w:val="0"/>
        <w:snapToGrid w:val="0"/>
        <w:spacing w:line="360" w:lineRule="auto"/>
        <w:ind w:firstLine="420" w:firstLineChars="200"/>
        <w:rPr>
          <w:rFonts w:cs="宋体"/>
          <w:color w:val="auto"/>
          <w:sz w:val="21"/>
          <w:szCs w:val="21"/>
        </w:rPr>
      </w:pPr>
      <w:r>
        <w:rPr>
          <w:rFonts w:hint="eastAsia" w:cs="宋体"/>
          <w:color w:val="auto"/>
          <w:sz w:val="21"/>
          <w:szCs w:val="21"/>
        </w:rPr>
        <w:t>8.8.1 承包人提供的施工设备和临时设施</w:t>
      </w:r>
    </w:p>
    <w:p w14:paraId="30B6137D">
      <w:pPr>
        <w:keepNext w:val="0"/>
        <w:keepLines w:val="0"/>
        <w:widowControl/>
        <w:suppressLineNumbers w:val="0"/>
        <w:ind w:firstLine="420" w:firstLineChars="200"/>
        <w:jc w:val="left"/>
        <w:rPr>
          <w:rFonts w:cs="宋体"/>
          <w:color w:val="auto"/>
          <w:sz w:val="21"/>
          <w:szCs w:val="21"/>
          <w:u w:val="single"/>
        </w:rPr>
      </w:pPr>
      <w:r>
        <w:rPr>
          <w:rFonts w:hint="eastAsia" w:cs="宋体"/>
          <w:color w:val="auto"/>
          <w:sz w:val="21"/>
          <w:szCs w:val="21"/>
        </w:rPr>
        <w:t>关于修建临时设施费用承担的约定：</w:t>
      </w:r>
      <w:r>
        <w:rPr>
          <w:rFonts w:hint="eastAsia" w:ascii="宋体" w:hAnsi="宋体" w:eastAsia="宋体" w:cs="宋体"/>
          <w:color w:val="000000"/>
          <w:kern w:val="0"/>
          <w:sz w:val="21"/>
          <w:szCs w:val="21"/>
          <w:u w:val="single"/>
          <w:lang w:val="en-US" w:eastAsia="zh-CN" w:bidi="ar"/>
        </w:rPr>
        <w:t>由承包人承担</w:t>
      </w:r>
      <w:r>
        <w:rPr>
          <w:rFonts w:hint="eastAsia" w:cs="宋体"/>
          <w:color w:val="auto"/>
          <w:sz w:val="21"/>
          <w:szCs w:val="21"/>
        </w:rPr>
        <w:t>。</w:t>
      </w:r>
    </w:p>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14:paraId="4901A1AA">
      <w:pPr>
        <w:snapToGrid w:val="0"/>
        <w:spacing w:before="312" w:beforeLines="100" w:after="312" w:afterLines="100" w:line="360" w:lineRule="auto"/>
        <w:outlineLvl w:val="2"/>
        <w:rPr>
          <w:rFonts w:cs="宋体"/>
          <w:color w:val="auto"/>
          <w:sz w:val="21"/>
          <w:szCs w:val="21"/>
        </w:rPr>
      </w:pPr>
      <w:bookmarkStart w:id="289" w:name="_Toc351203641"/>
      <w:r>
        <w:rPr>
          <w:rFonts w:hint="eastAsia" w:cs="宋体"/>
          <w:color w:val="auto"/>
          <w:sz w:val="21"/>
          <w:szCs w:val="21"/>
        </w:rPr>
        <w:t>9</w:t>
      </w:r>
      <w:bookmarkEnd w:id="268"/>
      <w:bookmarkEnd w:id="269"/>
      <w:bookmarkEnd w:id="270"/>
      <w:bookmarkStart w:id="290" w:name="_Toc300934982"/>
      <w:bookmarkStart w:id="291" w:name="_Toc312677495"/>
      <w:bookmarkStart w:id="292" w:name="_Toc297123533"/>
      <w:bookmarkStart w:id="293" w:name="_Toc312678021"/>
      <w:bookmarkStart w:id="294" w:name="_Toc303539139"/>
      <w:bookmarkStart w:id="295" w:name="_Toc304295559"/>
      <w:bookmarkStart w:id="296" w:name="_Toc297216192"/>
      <w:bookmarkStart w:id="297" w:name="_Toc296347172"/>
      <w:bookmarkStart w:id="298" w:name="_Toc297048359"/>
      <w:bookmarkStart w:id="299" w:name="_Toc292559883"/>
      <w:bookmarkStart w:id="300" w:name="_Toc296891213"/>
      <w:bookmarkStart w:id="301" w:name="_Toc296503173"/>
      <w:bookmarkStart w:id="302" w:name="_Toc267251427"/>
      <w:bookmarkStart w:id="303" w:name="_Toc292559378"/>
      <w:bookmarkStart w:id="304" w:name="_Toc267251428"/>
      <w:bookmarkStart w:id="305" w:name="_Toc297120473"/>
      <w:bookmarkStart w:id="306" w:name="_Toc296891001"/>
      <w:bookmarkStart w:id="307" w:name="_Toc296944512"/>
      <w:bookmarkStart w:id="308" w:name="_Toc296346674"/>
      <w:r>
        <w:rPr>
          <w:rFonts w:hint="eastAsia" w:cs="宋体"/>
          <w:color w:val="auto"/>
          <w:sz w:val="21"/>
          <w:szCs w:val="21"/>
        </w:rPr>
        <w:t>. 试验与检验</w:t>
      </w:r>
      <w:bookmarkEnd w:id="289"/>
    </w:p>
    <w:bookmarkEnd w:id="290"/>
    <w:bookmarkEnd w:id="291"/>
    <w:bookmarkEnd w:id="292"/>
    <w:bookmarkEnd w:id="293"/>
    <w:bookmarkEnd w:id="294"/>
    <w:bookmarkEnd w:id="295"/>
    <w:bookmarkEnd w:id="296"/>
    <w:p w14:paraId="3B1648A8">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9</w:t>
      </w:r>
      <w:bookmarkStart w:id="309" w:name="_Toc297123534"/>
      <w:bookmarkStart w:id="310" w:name="_Toc304295560"/>
      <w:bookmarkStart w:id="311" w:name="_Toc312677496"/>
      <w:bookmarkStart w:id="312" w:name="_Toc303539140"/>
      <w:bookmarkStart w:id="313" w:name="_Toc300934983"/>
      <w:bookmarkStart w:id="314" w:name="_Toc312678022"/>
      <w:bookmarkStart w:id="315" w:name="_Toc297216193"/>
      <w:r>
        <w:rPr>
          <w:rFonts w:hint="eastAsia" w:cs="宋体"/>
          <w:bCs/>
          <w:color w:val="auto"/>
          <w:sz w:val="21"/>
          <w:szCs w:val="21"/>
        </w:rPr>
        <w:t>.1 试验设备与试验人员</w:t>
      </w:r>
    </w:p>
    <w:bookmarkEnd w:id="309"/>
    <w:bookmarkEnd w:id="310"/>
    <w:bookmarkEnd w:id="311"/>
    <w:bookmarkEnd w:id="312"/>
    <w:bookmarkEnd w:id="313"/>
    <w:bookmarkEnd w:id="314"/>
    <w:bookmarkEnd w:id="315"/>
    <w:p w14:paraId="52D4B8CC">
      <w:pPr>
        <w:adjustRightInd w:val="0"/>
        <w:snapToGrid w:val="0"/>
        <w:spacing w:line="360" w:lineRule="auto"/>
        <w:ind w:firstLine="420" w:firstLineChars="200"/>
        <w:rPr>
          <w:rFonts w:cs="宋体"/>
          <w:color w:val="auto"/>
          <w:sz w:val="21"/>
          <w:szCs w:val="21"/>
        </w:rPr>
      </w:pPr>
      <w:r>
        <w:rPr>
          <w:rFonts w:hint="eastAsia" w:cs="宋体"/>
          <w:color w:val="auto"/>
          <w:sz w:val="21"/>
          <w:szCs w:val="21"/>
        </w:rPr>
        <w:t>9</w:t>
      </w:r>
      <w:bookmarkStart w:id="316" w:name="_Toc312678023"/>
      <w:bookmarkStart w:id="317" w:name="_Toc312677497"/>
      <w:bookmarkStart w:id="318" w:name="_Toc300934984"/>
      <w:bookmarkStart w:id="319" w:name="_Toc297123535"/>
      <w:bookmarkStart w:id="320" w:name="_Toc303539141"/>
      <w:bookmarkStart w:id="321" w:name="_Toc304295561"/>
      <w:bookmarkStart w:id="322" w:name="_Toc297216194"/>
      <w:bookmarkStart w:id="323" w:name="_Toc318581174"/>
      <w:r>
        <w:rPr>
          <w:rFonts w:hint="eastAsia" w:cs="宋体"/>
          <w:color w:val="auto"/>
          <w:sz w:val="21"/>
          <w:szCs w:val="21"/>
        </w:rPr>
        <w:t>.1.2 试验设备</w:t>
      </w:r>
    </w:p>
    <w:p w14:paraId="31FDD6D2">
      <w:pPr>
        <w:keepNext w:val="0"/>
        <w:keepLines w:val="0"/>
        <w:widowControl/>
        <w:suppressLineNumbers w:val="0"/>
        <w:ind w:firstLine="420" w:firstLineChars="200"/>
        <w:jc w:val="left"/>
        <w:rPr>
          <w:rFonts w:cs="宋体"/>
          <w:color w:val="auto"/>
          <w:sz w:val="21"/>
          <w:szCs w:val="21"/>
          <w:u w:val="single"/>
        </w:rPr>
      </w:pPr>
      <w:r>
        <w:rPr>
          <w:rFonts w:hint="eastAsia" w:cs="宋体"/>
          <w:color w:val="auto"/>
          <w:sz w:val="21"/>
          <w:szCs w:val="21"/>
        </w:rPr>
        <w:t>施工现场需要配置的试验场所</w:t>
      </w:r>
      <w:bookmarkEnd w:id="316"/>
      <w:bookmarkEnd w:id="317"/>
      <w:bookmarkEnd w:id="318"/>
      <w:bookmarkEnd w:id="319"/>
      <w:bookmarkEnd w:id="320"/>
      <w:bookmarkEnd w:id="321"/>
      <w:bookmarkEnd w:id="322"/>
      <w:bookmarkStart w:id="324" w:name="_Toc312678024"/>
      <w:bookmarkStart w:id="325" w:name="_Toc304295562"/>
      <w:bookmarkStart w:id="326" w:name="_Toc297216195"/>
      <w:bookmarkStart w:id="327" w:name="_Toc297123536"/>
      <w:bookmarkStart w:id="328" w:name="_Toc300934985"/>
      <w:bookmarkStart w:id="329" w:name="_Toc303539142"/>
      <w:bookmarkStart w:id="330" w:name="_Toc312677498"/>
      <w:r>
        <w:rPr>
          <w:rFonts w:hint="eastAsia" w:cs="宋体"/>
          <w:color w:val="auto"/>
          <w:sz w:val="21"/>
          <w:szCs w:val="21"/>
        </w:rPr>
        <w:t>：</w:t>
      </w:r>
      <w:r>
        <w:rPr>
          <w:rFonts w:hint="eastAsia" w:ascii="宋体" w:hAnsi="宋体" w:eastAsia="宋体" w:cs="宋体"/>
          <w:color w:val="000000"/>
          <w:kern w:val="0"/>
          <w:sz w:val="21"/>
          <w:szCs w:val="21"/>
          <w:u w:val="single"/>
          <w:lang w:val="en-US" w:eastAsia="zh-CN" w:bidi="ar"/>
        </w:rPr>
        <w:t>执行通用条款</w:t>
      </w:r>
      <w:r>
        <w:rPr>
          <w:rFonts w:hint="eastAsia" w:cs="宋体"/>
          <w:color w:val="auto"/>
          <w:sz w:val="21"/>
          <w:szCs w:val="21"/>
          <w:u w:val="single"/>
        </w:rPr>
        <w:t xml:space="preserve"> </w:t>
      </w:r>
      <w:r>
        <w:rPr>
          <w:rFonts w:hint="eastAsia" w:cs="宋体"/>
          <w:color w:val="auto"/>
          <w:sz w:val="21"/>
          <w:szCs w:val="21"/>
        </w:rPr>
        <w:t>。</w:t>
      </w:r>
    </w:p>
    <w:p w14:paraId="6E3C34B9">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施工现场需要配备的试验设备：</w:t>
      </w:r>
      <w:r>
        <w:rPr>
          <w:rFonts w:hint="eastAsia" w:cs="宋体"/>
          <w:color w:val="auto"/>
          <w:sz w:val="21"/>
          <w:szCs w:val="21"/>
          <w:u w:val="single"/>
        </w:rPr>
        <w:t xml:space="preserve"> </w:t>
      </w:r>
      <w:r>
        <w:rPr>
          <w:rFonts w:hint="eastAsia" w:ascii="宋体" w:hAnsi="宋体" w:eastAsia="宋体" w:cs="宋体"/>
          <w:color w:val="000000"/>
          <w:kern w:val="0"/>
          <w:sz w:val="21"/>
          <w:szCs w:val="21"/>
          <w:u w:val="single"/>
          <w:lang w:val="en-US" w:eastAsia="zh-CN" w:bidi="ar"/>
        </w:rPr>
        <w:t>执行通用条款</w:t>
      </w:r>
      <w:r>
        <w:rPr>
          <w:rFonts w:hint="eastAsia" w:cs="宋体"/>
          <w:color w:val="auto"/>
          <w:sz w:val="21"/>
          <w:szCs w:val="21"/>
          <w:u w:val="single"/>
        </w:rPr>
        <w:t xml:space="preserve"> </w:t>
      </w:r>
      <w:r>
        <w:rPr>
          <w:rFonts w:hint="eastAsia" w:cs="宋体"/>
          <w:color w:val="auto"/>
          <w:sz w:val="21"/>
          <w:szCs w:val="21"/>
        </w:rPr>
        <w:t>。。</w:t>
      </w:r>
    </w:p>
    <w:p w14:paraId="52FEC675">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施工现场需要具备的其他试验条件：</w:t>
      </w:r>
      <w:r>
        <w:rPr>
          <w:rFonts w:hint="eastAsia" w:ascii="宋体" w:hAnsi="宋体" w:eastAsia="宋体" w:cs="宋体"/>
          <w:color w:val="000000"/>
          <w:kern w:val="0"/>
          <w:sz w:val="21"/>
          <w:szCs w:val="21"/>
          <w:u w:val="single"/>
          <w:lang w:val="en-US" w:eastAsia="zh-CN" w:bidi="ar"/>
        </w:rPr>
        <w:t>执行通用条款</w:t>
      </w:r>
      <w:r>
        <w:rPr>
          <w:rFonts w:hint="eastAsia" w:cs="宋体"/>
          <w:color w:val="auto"/>
          <w:sz w:val="21"/>
          <w:szCs w:val="21"/>
          <w:u w:val="single"/>
        </w:rPr>
        <w:t xml:space="preserve"> </w:t>
      </w:r>
      <w:r>
        <w:rPr>
          <w:rFonts w:hint="eastAsia" w:cs="宋体"/>
          <w:color w:val="auto"/>
          <w:sz w:val="21"/>
          <w:szCs w:val="21"/>
        </w:rPr>
        <w:t>。</w:t>
      </w:r>
      <w:r>
        <w:rPr>
          <w:rFonts w:hint="eastAsia" w:cs="宋体"/>
          <w:color w:val="auto"/>
          <w:sz w:val="21"/>
          <w:szCs w:val="21"/>
          <w:u w:val="single"/>
        </w:rPr>
        <w:t xml:space="preserve"> </w:t>
      </w:r>
      <w:r>
        <w:rPr>
          <w:rFonts w:hint="eastAsia" w:cs="宋体"/>
          <w:color w:val="auto"/>
          <w:sz w:val="21"/>
          <w:szCs w:val="21"/>
        </w:rPr>
        <w:t>。</w:t>
      </w:r>
    </w:p>
    <w:p w14:paraId="7280C230">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 xml:space="preserve">9.4 现场工艺试验 </w:t>
      </w:r>
    </w:p>
    <w:p w14:paraId="7D27C65E">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现场工艺试验的有关约定：</w:t>
      </w:r>
      <w:r>
        <w:rPr>
          <w:rFonts w:hint="eastAsia" w:cs="宋体"/>
          <w:color w:val="auto"/>
          <w:sz w:val="21"/>
          <w:szCs w:val="21"/>
          <w:u w:val="single"/>
        </w:rPr>
        <w:t xml:space="preserve"> </w:t>
      </w:r>
      <w:r>
        <w:rPr>
          <w:rFonts w:hint="eastAsia" w:ascii="宋体" w:hAnsi="宋体" w:eastAsia="宋体" w:cs="宋体"/>
          <w:color w:val="000000"/>
          <w:kern w:val="0"/>
          <w:sz w:val="21"/>
          <w:szCs w:val="21"/>
          <w:u w:val="single"/>
          <w:lang w:val="en-US" w:eastAsia="zh-CN" w:bidi="ar"/>
        </w:rPr>
        <w:t>执行通用条款</w:t>
      </w:r>
      <w:r>
        <w:rPr>
          <w:rFonts w:hint="eastAsia" w:cs="宋体"/>
          <w:color w:val="auto"/>
          <w:sz w:val="21"/>
          <w:szCs w:val="21"/>
          <w:u w:val="single"/>
        </w:rPr>
        <w:t xml:space="preserve"> </w:t>
      </w:r>
      <w:r>
        <w:rPr>
          <w:rFonts w:hint="eastAsia" w:cs="宋体"/>
          <w:color w:val="auto"/>
          <w:sz w:val="21"/>
          <w:szCs w:val="21"/>
        </w:rPr>
        <w:t>。</w:t>
      </w:r>
    </w:p>
    <w:bookmarkEnd w:id="323"/>
    <w:bookmarkEnd w:id="324"/>
    <w:bookmarkEnd w:id="325"/>
    <w:bookmarkEnd w:id="326"/>
    <w:bookmarkEnd w:id="327"/>
    <w:bookmarkEnd w:id="328"/>
    <w:bookmarkEnd w:id="329"/>
    <w:bookmarkEnd w:id="330"/>
    <w:p w14:paraId="3FA137E3">
      <w:pPr>
        <w:snapToGrid w:val="0"/>
        <w:spacing w:before="312" w:beforeLines="100" w:after="312" w:afterLines="100" w:line="360" w:lineRule="auto"/>
        <w:outlineLvl w:val="2"/>
        <w:rPr>
          <w:rFonts w:cs="宋体"/>
          <w:color w:val="auto"/>
          <w:sz w:val="21"/>
          <w:szCs w:val="21"/>
        </w:rPr>
      </w:pPr>
      <w:bookmarkStart w:id="331" w:name="_Toc351203642"/>
      <w:r>
        <w:rPr>
          <w:rFonts w:hint="eastAsia" w:cs="宋体"/>
          <w:color w:val="auto"/>
          <w:sz w:val="21"/>
          <w:szCs w:val="21"/>
        </w:rPr>
        <w:t>1</w:t>
      </w:r>
      <w:bookmarkEnd w:id="297"/>
      <w:bookmarkEnd w:id="298"/>
      <w:bookmarkEnd w:id="299"/>
      <w:bookmarkEnd w:id="300"/>
      <w:bookmarkEnd w:id="301"/>
      <w:bookmarkEnd w:id="302"/>
      <w:bookmarkEnd w:id="303"/>
      <w:bookmarkEnd w:id="304"/>
      <w:bookmarkEnd w:id="305"/>
      <w:bookmarkEnd w:id="306"/>
      <w:bookmarkEnd w:id="307"/>
      <w:bookmarkEnd w:id="308"/>
      <w:bookmarkStart w:id="332" w:name="_Toc296347192"/>
      <w:bookmarkStart w:id="333" w:name="_Toc296503193"/>
      <w:bookmarkStart w:id="334" w:name="_Toc297216199"/>
      <w:bookmarkStart w:id="335" w:name="_Toc296891021"/>
      <w:bookmarkStart w:id="336" w:name="_Toc297120493"/>
      <w:bookmarkStart w:id="337" w:name="_Toc297048379"/>
      <w:bookmarkStart w:id="338" w:name="_Toc304295566"/>
      <w:bookmarkStart w:id="339" w:name="_Toc292559903"/>
      <w:bookmarkStart w:id="340" w:name="_Toc292559398"/>
      <w:bookmarkStart w:id="341" w:name="_Toc297123540"/>
      <w:bookmarkStart w:id="342" w:name="_Toc296891233"/>
      <w:bookmarkStart w:id="343" w:name="_Toc300934989"/>
      <w:bookmarkStart w:id="344" w:name="_Toc296944532"/>
      <w:bookmarkStart w:id="345" w:name="_Toc303539146"/>
      <w:bookmarkStart w:id="346" w:name="_Toc296346694"/>
      <w:bookmarkStart w:id="347" w:name="_Toc312677499"/>
      <w:bookmarkStart w:id="348" w:name="_Toc312678025"/>
      <w:bookmarkStart w:id="349" w:name="_Toc267251440"/>
      <w:bookmarkStart w:id="350" w:name="_Toc267251437"/>
      <w:bookmarkStart w:id="351" w:name="_Toc267251435"/>
      <w:bookmarkStart w:id="352" w:name="_Toc267251433"/>
      <w:bookmarkStart w:id="353" w:name="_Toc267251441"/>
      <w:bookmarkStart w:id="354" w:name="_Toc267251439"/>
      <w:bookmarkStart w:id="355" w:name="_Toc267251442"/>
      <w:r>
        <w:rPr>
          <w:rFonts w:hint="eastAsia" w:cs="宋体"/>
          <w:color w:val="auto"/>
          <w:sz w:val="21"/>
          <w:szCs w:val="21"/>
        </w:rPr>
        <w:t>0. 变更</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bookmarkEnd w:id="347"/>
    <w:bookmarkEnd w:id="348"/>
    <w:p w14:paraId="235FD31B">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w:t>
      </w:r>
      <w:bookmarkStart w:id="356" w:name="_Toc303539147"/>
      <w:bookmarkStart w:id="357" w:name="_Toc297120494"/>
      <w:bookmarkStart w:id="358" w:name="_Toc292559399"/>
      <w:bookmarkStart w:id="359" w:name="_Toc292559904"/>
      <w:bookmarkStart w:id="360" w:name="_Toc297048380"/>
      <w:bookmarkStart w:id="361" w:name="_Toc296347193"/>
      <w:bookmarkStart w:id="362" w:name="_Toc296503194"/>
      <w:bookmarkStart w:id="363" w:name="_Toc297123541"/>
      <w:bookmarkStart w:id="364" w:name="_Toc297216200"/>
      <w:bookmarkStart w:id="365" w:name="_Toc296891022"/>
      <w:bookmarkStart w:id="366" w:name="_Toc304295567"/>
      <w:bookmarkStart w:id="367" w:name="_Toc296891234"/>
      <w:bookmarkStart w:id="368" w:name="_Toc296944533"/>
      <w:bookmarkStart w:id="369" w:name="_Toc312678026"/>
      <w:bookmarkStart w:id="370" w:name="_Toc300934990"/>
      <w:bookmarkStart w:id="371" w:name="_Toc312677500"/>
      <w:bookmarkStart w:id="372" w:name="_Toc296346695"/>
      <w:r>
        <w:rPr>
          <w:rFonts w:hint="eastAsia" w:cs="宋体"/>
          <w:bCs/>
          <w:color w:val="auto"/>
          <w:sz w:val="21"/>
          <w:szCs w:val="21"/>
        </w:rPr>
        <w:t>0.1 变更的范围</w:t>
      </w:r>
    </w:p>
    <w:p w14:paraId="64364A0C">
      <w:pPr>
        <w:keepNext w:val="0"/>
        <w:keepLines w:val="0"/>
        <w:widowControl/>
        <w:suppressLineNumbers w:val="0"/>
        <w:jc w:val="left"/>
        <w:rPr>
          <w:u w:val="single"/>
        </w:rPr>
      </w:pPr>
      <w:r>
        <w:rPr>
          <w:rFonts w:hint="eastAsia" w:cs="宋体"/>
          <w:color w:val="auto"/>
          <w:sz w:val="21"/>
          <w:szCs w:val="21"/>
        </w:rPr>
        <w:t>关于变更的范围的约定：</w:t>
      </w:r>
      <w:r>
        <w:rPr>
          <w:rFonts w:hint="eastAsia" w:ascii="宋体" w:hAnsi="宋体" w:eastAsia="宋体" w:cs="宋体"/>
          <w:color w:val="000000"/>
          <w:kern w:val="0"/>
          <w:sz w:val="21"/>
          <w:szCs w:val="21"/>
          <w:u w:val="single"/>
          <w:lang w:val="en-US" w:eastAsia="zh-CN" w:bidi="ar"/>
        </w:rPr>
        <w:t xml:space="preserve">本工程原则上不予变更。确需变更的，执行 </w:t>
      </w:r>
      <w:r>
        <w:rPr>
          <w:rFonts w:hint="default" w:ascii="Times New Roman" w:hAnsi="Times New Roman" w:eastAsia="宋体" w:cs="Times New Roman"/>
          <w:color w:val="000000"/>
          <w:kern w:val="0"/>
          <w:sz w:val="21"/>
          <w:szCs w:val="21"/>
          <w:u w:val="single"/>
          <w:lang w:val="en-US" w:eastAsia="zh-CN" w:bidi="ar"/>
        </w:rPr>
        <w:t xml:space="preserve">2020 </w:t>
      </w:r>
      <w:r>
        <w:rPr>
          <w:rFonts w:hint="eastAsia" w:ascii="宋体" w:hAnsi="宋体" w:eastAsia="宋体" w:cs="宋体"/>
          <w:color w:val="000000"/>
          <w:kern w:val="0"/>
          <w:sz w:val="21"/>
          <w:szCs w:val="21"/>
          <w:u w:val="single"/>
          <w:lang w:val="en-US" w:eastAsia="zh-CN" w:bidi="ar"/>
        </w:rPr>
        <w:t xml:space="preserve">年新修订的《界 </w:t>
      </w:r>
    </w:p>
    <w:p w14:paraId="207FE5AE">
      <w:pPr>
        <w:keepNext w:val="0"/>
        <w:keepLines w:val="0"/>
        <w:widowControl/>
        <w:suppressLineNumbers w:val="0"/>
        <w:jc w:val="left"/>
        <w:rPr>
          <w:rFonts w:cs="宋体"/>
          <w:color w:val="auto"/>
          <w:sz w:val="21"/>
          <w:szCs w:val="21"/>
          <w:u w:val="single"/>
        </w:rPr>
      </w:pPr>
      <w:r>
        <w:rPr>
          <w:rFonts w:hint="eastAsia" w:ascii="宋体" w:hAnsi="宋体" w:eastAsia="宋体" w:cs="宋体"/>
          <w:color w:val="000000"/>
          <w:kern w:val="0"/>
          <w:sz w:val="21"/>
          <w:szCs w:val="21"/>
          <w:u w:val="single"/>
          <w:lang w:val="en-US" w:eastAsia="zh-CN" w:bidi="ar"/>
        </w:rPr>
        <w:t>首市政府投资项目工程变更管理暂行办法》执行；图纸变更经设计部门签章、监理单位签章审核、现场业主代表认可并且发包人单位签章，方可调整；经济签证经监理单位签章审核、现场业主代表认可并且发包人单位签章，方可调整；本次招标工程变更及签证部分最终结算款以业主委托的造价咨询单位审核结果为准。本项目招标文件、投标文件、图纸都是合同一部分，承包人投标时已认真研究图纸、招标文件，并应按图施工。工程量清单漏项部分，不属于变更，不予调整中标价款</w:t>
      </w:r>
      <w:r>
        <w:rPr>
          <w:rFonts w:hint="eastAsia" w:cs="宋体"/>
          <w:color w:val="auto"/>
          <w:sz w:val="21"/>
          <w:szCs w:val="21"/>
        </w:rPr>
        <w:t>。</w:t>
      </w:r>
    </w:p>
    <w:p w14:paraId="72B8FFB1">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10.4 变更估价</w:t>
      </w:r>
    </w:p>
    <w:p w14:paraId="0B17A4EE">
      <w:pPr>
        <w:adjustRightInd w:val="0"/>
        <w:snapToGrid w:val="0"/>
        <w:spacing w:line="360" w:lineRule="auto"/>
        <w:ind w:firstLine="420" w:firstLineChars="200"/>
        <w:rPr>
          <w:rFonts w:cs="宋体"/>
          <w:color w:val="auto"/>
          <w:sz w:val="21"/>
          <w:szCs w:val="21"/>
        </w:rPr>
      </w:pPr>
      <w:r>
        <w:rPr>
          <w:rFonts w:hint="eastAsia" w:cs="宋体"/>
          <w:color w:val="auto"/>
          <w:sz w:val="21"/>
          <w:szCs w:val="21"/>
        </w:rPr>
        <w:t>10.4.1 变更估价原则</w:t>
      </w:r>
    </w:p>
    <w:p w14:paraId="03B8E0A6">
      <w:pPr>
        <w:adjustRightInd w:val="0"/>
        <w:snapToGrid w:val="0"/>
        <w:spacing w:line="360" w:lineRule="auto"/>
        <w:ind w:firstLine="420" w:firstLineChars="200"/>
        <w:rPr>
          <w:rFonts w:cs="宋体"/>
          <w:color w:val="auto"/>
          <w:sz w:val="21"/>
          <w:szCs w:val="21"/>
        </w:rPr>
      </w:pPr>
      <w:r>
        <w:rPr>
          <w:rFonts w:hint="eastAsia" w:cs="宋体"/>
          <w:color w:val="auto"/>
          <w:sz w:val="21"/>
          <w:szCs w:val="21"/>
        </w:rPr>
        <w:t>关于变更估价的约定：</w:t>
      </w:r>
    </w:p>
    <w:p w14:paraId="34EA2FE6">
      <w:pPr>
        <w:keepNext w:val="0"/>
        <w:keepLines w:val="0"/>
        <w:widowControl/>
        <w:suppressLineNumbers w:val="0"/>
        <w:jc w:val="left"/>
        <w:rPr>
          <w:u w:val="single"/>
        </w:rPr>
      </w:pPr>
      <w:r>
        <w:rPr>
          <w:rFonts w:hint="eastAsia" w:cs="宋体"/>
          <w:b/>
          <w:color w:val="auto"/>
          <w:sz w:val="21"/>
          <w:szCs w:val="21"/>
        </w:rPr>
        <w:t xml:space="preserve">10.4.1.1 </w:t>
      </w:r>
      <w:r>
        <w:rPr>
          <w:rFonts w:hint="eastAsia" w:ascii="宋体" w:hAnsi="宋体" w:eastAsia="宋体" w:cs="宋体"/>
          <w:color w:val="000000"/>
          <w:kern w:val="0"/>
          <w:sz w:val="21"/>
          <w:szCs w:val="21"/>
          <w:u w:val="single"/>
          <w:lang w:val="en-US" w:eastAsia="zh-CN" w:bidi="ar"/>
        </w:rPr>
        <w:t xml:space="preserve">由于设计变更、签证等引起的工程量变化，按实际调整。设计变更、签证引起新的工程量清单项目，其相应综合单价按以下规则由承包人提出，经发包人、发包人委托的审计单位、监理单位共同确认后作为结算依据，变更、签证程序执行阜阳市政府相关文件规定。 </w:t>
      </w:r>
    </w:p>
    <w:p w14:paraId="4BAEF8B9">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a. 最高投标限价中已列项目，按最高投标限价中的综合单价*报价浮动率 。 </w:t>
      </w:r>
    </w:p>
    <w:p w14:paraId="154EC6B5">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b.如工程量清单与施工图纸不一致；工程量清单描述不清的；工程量清单中未列的项目及数 </w:t>
      </w:r>
    </w:p>
    <w:p w14:paraId="6B3163B8">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量有差异的项目，由供应商在报价中自行考虑费用，视为供应商已列入投标总价中。 </w:t>
      </w:r>
    </w:p>
    <w:p w14:paraId="758CD0E1">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c.工程变更中的报价：采购人最高投标限价中有相同或类似综合单价的，按相同或类似综合 </w:t>
      </w:r>
    </w:p>
    <w:p w14:paraId="054D838F">
      <w:pPr>
        <w:keepNext w:val="0"/>
        <w:keepLines w:val="0"/>
        <w:widowControl/>
        <w:suppressLineNumbers w:val="0"/>
        <w:jc w:val="left"/>
        <w:rPr>
          <w:rFonts w:cs="宋体"/>
          <w:b/>
          <w:strike/>
          <w:color w:val="auto"/>
          <w:sz w:val="21"/>
          <w:szCs w:val="21"/>
          <w:u w:val="single"/>
        </w:rPr>
      </w:pPr>
      <w:r>
        <w:rPr>
          <w:rFonts w:hint="eastAsia" w:ascii="宋体" w:hAnsi="宋体" w:eastAsia="宋体" w:cs="宋体"/>
          <w:color w:val="000000"/>
          <w:kern w:val="0"/>
          <w:sz w:val="21"/>
          <w:szCs w:val="21"/>
          <w:u w:val="single"/>
          <w:lang w:val="en-US" w:eastAsia="zh-CN" w:bidi="ar"/>
        </w:rPr>
        <w:t>单价*报价浮动率记取；承包人报价中无相同或类似综合单价的，参照竞争性谈判文件重新组价；其中材料价格按采购人最高投标限价中的材料价格执行；若最高投标限价中没有，执行编制最高投标限价时采用的同期阜阳市建设工程造价管理站发布的信息价，阜阳市建设工程造价管理站发布的信息价中若没有，按造价管理部门备案价格执行；机械台班单价按上述机械台班费用定额执行；人工费单价按安徽省最新政策文件规定执行。重新组价部分按最高限价与中标人报价的报价浮动率同比例下浮后进行结算</w:t>
      </w:r>
      <w:r>
        <w:rPr>
          <w:rFonts w:hint="eastAsia" w:cs="宋体"/>
          <w:b/>
          <w:color w:val="auto"/>
          <w:sz w:val="21"/>
          <w:szCs w:val="21"/>
          <w:u w:val="single"/>
        </w:rPr>
        <w:t>。</w:t>
      </w:r>
    </w:p>
    <w:p w14:paraId="48B8638A">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Start w:id="373" w:name="_Toc292559402"/>
      <w:bookmarkStart w:id="374" w:name="_Toc303539150"/>
      <w:bookmarkStart w:id="375" w:name="_Toc296891025"/>
      <w:bookmarkStart w:id="376" w:name="_Toc300934993"/>
      <w:bookmarkStart w:id="377" w:name="_Toc297216203"/>
      <w:bookmarkStart w:id="378" w:name="_Toc292559907"/>
      <w:bookmarkStart w:id="379" w:name="_Toc296346698"/>
      <w:bookmarkStart w:id="380" w:name="_Toc297048383"/>
      <w:bookmarkStart w:id="381" w:name="_Toc297120497"/>
      <w:bookmarkStart w:id="382" w:name="_Toc296503197"/>
      <w:bookmarkStart w:id="383" w:name="_Toc296891237"/>
      <w:bookmarkStart w:id="384" w:name="_Toc296347196"/>
      <w:bookmarkStart w:id="385" w:name="_Toc296944536"/>
      <w:bookmarkStart w:id="386" w:name="_Toc297123544"/>
      <w:bookmarkStart w:id="387" w:name="_Toc312678029"/>
      <w:bookmarkStart w:id="388" w:name="_Toc312677503"/>
      <w:bookmarkStart w:id="389" w:name="_Toc304295570"/>
      <w:r>
        <w:rPr>
          <w:rFonts w:hint="eastAsia" w:cs="宋体"/>
          <w:bCs/>
          <w:color w:val="auto"/>
          <w:sz w:val="21"/>
          <w:szCs w:val="21"/>
        </w:rPr>
        <w:t>0.5 承</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Start w:id="390" w:name="_Toc292559913"/>
      <w:bookmarkStart w:id="391" w:name="_Toc297048389"/>
      <w:bookmarkStart w:id="392" w:name="_Toc300934994"/>
      <w:bookmarkStart w:id="393" w:name="_Toc292559408"/>
      <w:bookmarkStart w:id="394" w:name="_Toc297123545"/>
      <w:bookmarkStart w:id="395" w:name="_Toc296346704"/>
      <w:bookmarkStart w:id="396" w:name="_Toc296503203"/>
      <w:bookmarkStart w:id="397" w:name="_Toc296347202"/>
      <w:bookmarkStart w:id="398" w:name="_Toc297216204"/>
      <w:bookmarkStart w:id="399" w:name="_Toc303539151"/>
      <w:bookmarkStart w:id="400" w:name="_Toc297120503"/>
      <w:bookmarkStart w:id="401" w:name="_Toc296944542"/>
      <w:bookmarkStart w:id="402" w:name="_Toc296891243"/>
      <w:bookmarkStart w:id="403" w:name="_Toc296891031"/>
      <w:r>
        <w:rPr>
          <w:rFonts w:hint="eastAsia" w:cs="宋体"/>
          <w:bCs/>
          <w:color w:val="auto"/>
          <w:sz w:val="21"/>
          <w:szCs w:val="21"/>
        </w:rPr>
        <w:t>包人的合理化建议</w:t>
      </w:r>
    </w:p>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14:paraId="3B004676">
      <w:pPr>
        <w:keepNext w:val="0"/>
        <w:keepLines w:val="0"/>
        <w:widowControl/>
        <w:suppressLineNumbers w:val="0"/>
        <w:ind w:firstLine="420" w:firstLineChars="200"/>
        <w:jc w:val="left"/>
        <w:rPr>
          <w:rFonts w:cs="宋体"/>
          <w:color w:val="auto"/>
          <w:sz w:val="21"/>
          <w:szCs w:val="21"/>
          <w:u w:val="single"/>
        </w:rPr>
      </w:pPr>
      <w:r>
        <w:rPr>
          <w:rFonts w:hint="eastAsia" w:cs="宋体"/>
          <w:color w:val="auto"/>
          <w:sz w:val="21"/>
          <w:szCs w:val="21"/>
        </w:rPr>
        <w:t>监理人审查承包人合理化建议的期限：</w:t>
      </w:r>
      <w:r>
        <w:rPr>
          <w:rFonts w:hint="eastAsia" w:cs="宋体"/>
          <w:color w:val="auto"/>
          <w:sz w:val="21"/>
          <w:szCs w:val="21"/>
          <w:u w:val="single"/>
        </w:rPr>
        <w:t xml:space="preserve"> </w:t>
      </w:r>
      <w:r>
        <w:rPr>
          <w:rFonts w:hint="eastAsia" w:ascii="宋体" w:hAnsi="宋体" w:eastAsia="宋体" w:cs="宋体"/>
          <w:color w:val="000000"/>
          <w:kern w:val="0"/>
          <w:sz w:val="21"/>
          <w:szCs w:val="21"/>
          <w:u w:val="single"/>
          <w:lang w:val="en-US" w:eastAsia="zh-CN" w:bidi="ar"/>
        </w:rPr>
        <w:t>执行通用条款</w:t>
      </w:r>
      <w:r>
        <w:rPr>
          <w:rFonts w:hint="eastAsia" w:cs="宋体"/>
          <w:color w:val="auto"/>
          <w:sz w:val="21"/>
          <w:szCs w:val="21"/>
          <w:u w:val="single"/>
        </w:rPr>
        <w:t xml:space="preserve"> </w:t>
      </w:r>
      <w:r>
        <w:rPr>
          <w:rFonts w:hint="eastAsia" w:cs="宋体"/>
          <w:color w:val="auto"/>
          <w:sz w:val="21"/>
          <w:szCs w:val="21"/>
        </w:rPr>
        <w:t>。</w:t>
      </w:r>
    </w:p>
    <w:p w14:paraId="70C16EE1">
      <w:pPr>
        <w:adjustRightInd w:val="0"/>
        <w:snapToGrid w:val="0"/>
        <w:spacing w:line="360" w:lineRule="auto"/>
        <w:ind w:firstLine="420" w:firstLineChars="200"/>
        <w:rPr>
          <w:rFonts w:hint="eastAsia" w:cs="宋体"/>
          <w:color w:val="auto"/>
          <w:sz w:val="21"/>
          <w:szCs w:val="21"/>
        </w:rPr>
      </w:pPr>
      <w:r>
        <w:rPr>
          <w:rFonts w:hint="eastAsia" w:cs="宋体"/>
          <w:color w:val="auto"/>
          <w:sz w:val="21"/>
          <w:szCs w:val="21"/>
        </w:rPr>
        <w:t>发包人审批承包人合理化建议的期限：</w:t>
      </w:r>
      <w:r>
        <w:rPr>
          <w:rFonts w:hint="eastAsia" w:ascii="宋体" w:hAnsi="宋体" w:eastAsia="宋体" w:cs="宋体"/>
          <w:color w:val="000000"/>
          <w:kern w:val="0"/>
          <w:sz w:val="21"/>
          <w:szCs w:val="21"/>
          <w:u w:val="single"/>
          <w:lang w:val="en-US" w:eastAsia="zh-CN" w:bidi="ar"/>
        </w:rPr>
        <w:t>执行通用条款</w:t>
      </w:r>
      <w:r>
        <w:rPr>
          <w:rFonts w:hint="eastAsia" w:cs="宋体"/>
          <w:color w:val="auto"/>
          <w:sz w:val="21"/>
          <w:szCs w:val="21"/>
          <w:u w:val="single"/>
        </w:rPr>
        <w:t xml:space="preserve"> </w:t>
      </w:r>
      <w:r>
        <w:rPr>
          <w:rFonts w:hint="eastAsia" w:cs="宋体"/>
          <w:color w:val="auto"/>
          <w:sz w:val="21"/>
          <w:szCs w:val="21"/>
        </w:rPr>
        <w:t>。</w:t>
      </w:r>
    </w:p>
    <w:p w14:paraId="19E618FE">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承</w:t>
      </w:r>
      <w:bookmarkStart w:id="404" w:name="_Toc312678030"/>
      <w:bookmarkStart w:id="405" w:name="_Toc297216205"/>
      <w:bookmarkStart w:id="406" w:name="_Toc300934995"/>
      <w:bookmarkStart w:id="407" w:name="_Toc297048390"/>
      <w:bookmarkStart w:id="408" w:name="_Toc292559409"/>
      <w:bookmarkStart w:id="409" w:name="_Toc312677504"/>
      <w:bookmarkStart w:id="410" w:name="_Toc296347203"/>
      <w:bookmarkStart w:id="411" w:name="_Toc296891244"/>
      <w:bookmarkStart w:id="412" w:name="_Toc297120504"/>
      <w:bookmarkStart w:id="413" w:name="_Toc296346705"/>
      <w:bookmarkStart w:id="414" w:name="_Toc303539152"/>
      <w:bookmarkStart w:id="415" w:name="_Toc318581175"/>
      <w:bookmarkStart w:id="416" w:name="_Toc296944543"/>
      <w:bookmarkStart w:id="417" w:name="_Toc304295571"/>
      <w:bookmarkStart w:id="418" w:name="_Toc296503204"/>
      <w:bookmarkStart w:id="419" w:name="_Toc292559914"/>
      <w:bookmarkStart w:id="420" w:name="_Toc297123546"/>
      <w:bookmarkStart w:id="421" w:name="_Toc296891032"/>
      <w:r>
        <w:rPr>
          <w:rFonts w:hint="eastAsia" w:cs="宋体"/>
          <w:color w:val="auto"/>
          <w:sz w:val="21"/>
          <w:szCs w:val="21"/>
        </w:rPr>
        <w:t>包人提出的合理化建议降低了合同价格或者提高了工程经济效益的奖励的方法和金额为：</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14:paraId="72E7B594">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w:t>
      </w:r>
      <w:bookmarkStart w:id="422" w:name="_Toc297120499"/>
      <w:bookmarkStart w:id="423" w:name="_Toc292559909"/>
      <w:bookmarkStart w:id="424" w:name="_Toc296944538"/>
      <w:bookmarkStart w:id="425" w:name="_Toc296347198"/>
      <w:bookmarkStart w:id="426" w:name="_Toc292559404"/>
      <w:bookmarkStart w:id="427" w:name="_Toc296503199"/>
      <w:bookmarkStart w:id="428" w:name="_Toc296891239"/>
      <w:bookmarkStart w:id="429" w:name="_Toc312678033"/>
      <w:bookmarkStart w:id="430" w:name="_Toc300934997"/>
      <w:bookmarkStart w:id="431" w:name="_Toc297048385"/>
      <w:bookmarkStart w:id="432" w:name="_Toc296891027"/>
      <w:bookmarkStart w:id="433" w:name="_Toc304295574"/>
      <w:bookmarkStart w:id="434" w:name="_Toc303539154"/>
      <w:bookmarkStart w:id="435" w:name="_Toc312677507"/>
      <w:bookmarkStart w:id="436" w:name="_Toc297216207"/>
      <w:bookmarkStart w:id="437" w:name="_Toc297123548"/>
      <w:bookmarkStart w:id="438" w:name="_Toc296346700"/>
      <w:r>
        <w:rPr>
          <w:rFonts w:hint="eastAsia" w:cs="宋体"/>
          <w:bCs/>
          <w:color w:val="auto"/>
          <w:sz w:val="21"/>
          <w:szCs w:val="21"/>
        </w:rPr>
        <w:t>0.7 暂估价</w:t>
      </w:r>
    </w:p>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14:paraId="5CBCFFBB">
      <w:pPr>
        <w:adjustRightInd w:val="0"/>
        <w:snapToGrid w:val="0"/>
        <w:spacing w:line="360" w:lineRule="auto"/>
        <w:ind w:firstLine="420" w:firstLineChars="200"/>
        <w:rPr>
          <w:rFonts w:cs="宋体"/>
          <w:color w:val="auto"/>
          <w:sz w:val="21"/>
          <w:szCs w:val="21"/>
        </w:rPr>
      </w:pPr>
      <w:r>
        <w:rPr>
          <w:rFonts w:hint="eastAsia" w:cs="宋体"/>
          <w:color w:val="auto"/>
          <w:sz w:val="21"/>
          <w:szCs w:val="21"/>
        </w:rPr>
        <w:t>暂</w:t>
      </w:r>
      <w:bookmarkStart w:id="439" w:name="_Toc312677508"/>
      <w:bookmarkStart w:id="440" w:name="_Toc312678034"/>
      <w:bookmarkStart w:id="441" w:name="_Toc318581176"/>
      <w:r>
        <w:rPr>
          <w:rFonts w:hint="eastAsia" w:cs="宋体"/>
          <w:color w:val="auto"/>
          <w:sz w:val="21"/>
          <w:szCs w:val="21"/>
        </w:rPr>
        <w:t>估价材料和工程设备的明细见附件12：《暂估价一览表》。</w:t>
      </w:r>
    </w:p>
    <w:bookmarkEnd w:id="439"/>
    <w:bookmarkEnd w:id="440"/>
    <w:bookmarkEnd w:id="441"/>
    <w:p w14:paraId="2710B5F5">
      <w:pPr>
        <w:adjustRightInd w:val="0"/>
        <w:snapToGrid w:val="0"/>
        <w:spacing w:line="360" w:lineRule="auto"/>
        <w:ind w:firstLine="420" w:firstLineChars="200"/>
        <w:rPr>
          <w:rFonts w:cs="宋体"/>
          <w:color w:val="auto"/>
          <w:sz w:val="21"/>
          <w:szCs w:val="21"/>
        </w:rPr>
      </w:pPr>
      <w:r>
        <w:rPr>
          <w:rFonts w:hint="eastAsia" w:cs="宋体"/>
          <w:color w:val="auto"/>
          <w:sz w:val="21"/>
          <w:szCs w:val="21"/>
        </w:rPr>
        <w:t>1</w:t>
      </w:r>
      <w:bookmarkStart w:id="442" w:name="_Toc312677509"/>
      <w:bookmarkStart w:id="443" w:name="_Toc312678035"/>
      <w:bookmarkStart w:id="444" w:name="_Toc318581177"/>
      <w:r>
        <w:rPr>
          <w:rFonts w:hint="eastAsia" w:cs="宋体"/>
          <w:color w:val="auto"/>
          <w:sz w:val="21"/>
          <w:szCs w:val="21"/>
        </w:rPr>
        <w:t>0.7.1 依法必须招标的暂估价项目</w:t>
      </w:r>
    </w:p>
    <w:bookmarkEnd w:id="442"/>
    <w:bookmarkEnd w:id="443"/>
    <w:bookmarkEnd w:id="444"/>
    <w:p w14:paraId="5B8DB455">
      <w:pPr>
        <w:adjustRightInd w:val="0"/>
        <w:snapToGrid w:val="0"/>
        <w:spacing w:line="360" w:lineRule="auto"/>
        <w:ind w:firstLine="420" w:firstLineChars="200"/>
        <w:rPr>
          <w:rFonts w:cs="宋体"/>
          <w:color w:val="auto"/>
          <w:sz w:val="21"/>
          <w:szCs w:val="21"/>
        </w:rPr>
      </w:pPr>
      <w:r>
        <w:rPr>
          <w:rFonts w:hint="eastAsia" w:cs="宋体"/>
          <w:color w:val="auto"/>
          <w:sz w:val="21"/>
          <w:szCs w:val="21"/>
        </w:rPr>
        <w:t>对于依法必须招标的暂估价项目的确认和批准采取第</w:t>
      </w:r>
      <w:r>
        <w:rPr>
          <w:rFonts w:hint="eastAsia" w:cs="宋体"/>
          <w:color w:val="auto"/>
          <w:sz w:val="21"/>
          <w:szCs w:val="21"/>
          <w:u w:val="single"/>
          <w:lang w:val="en-US" w:eastAsia="zh-CN"/>
        </w:rPr>
        <w:t xml:space="preserve">/ </w:t>
      </w:r>
      <w:r>
        <w:rPr>
          <w:rFonts w:hint="eastAsia" w:cs="宋体"/>
          <w:color w:val="auto"/>
          <w:sz w:val="21"/>
          <w:szCs w:val="21"/>
        </w:rPr>
        <w:t>种方式确定。</w:t>
      </w:r>
      <w:r>
        <w:rPr>
          <w:rFonts w:hint="eastAsia" w:cs="宋体"/>
          <w:b/>
          <w:color w:val="auto"/>
          <w:sz w:val="21"/>
          <w:szCs w:val="21"/>
          <w:u w:val="single"/>
        </w:rPr>
        <w:t>并应按相关规定进行二次招标</w:t>
      </w:r>
      <w:r>
        <w:rPr>
          <w:rFonts w:hint="eastAsia" w:cs="宋体"/>
          <w:color w:val="auto"/>
          <w:sz w:val="21"/>
          <w:szCs w:val="21"/>
        </w:rPr>
        <w:t>。</w:t>
      </w:r>
    </w:p>
    <w:p w14:paraId="2C42DD5B">
      <w:pPr>
        <w:adjustRightInd w:val="0"/>
        <w:snapToGrid w:val="0"/>
        <w:spacing w:line="360" w:lineRule="auto"/>
        <w:ind w:firstLine="420" w:firstLineChars="200"/>
        <w:rPr>
          <w:rFonts w:cs="宋体"/>
          <w:color w:val="auto"/>
          <w:sz w:val="21"/>
          <w:szCs w:val="21"/>
        </w:rPr>
      </w:pPr>
      <w:r>
        <w:rPr>
          <w:rFonts w:hint="eastAsia" w:cs="宋体"/>
          <w:color w:val="auto"/>
          <w:sz w:val="21"/>
          <w:szCs w:val="21"/>
        </w:rPr>
        <w:t>10.7.2 不属于依法必须招标的暂估价项目</w:t>
      </w:r>
    </w:p>
    <w:p w14:paraId="1F2E0896">
      <w:pPr>
        <w:adjustRightInd w:val="0"/>
        <w:snapToGrid w:val="0"/>
        <w:spacing w:line="360" w:lineRule="auto"/>
        <w:ind w:firstLine="420" w:firstLineChars="200"/>
        <w:rPr>
          <w:rFonts w:cs="宋体"/>
          <w:color w:val="auto"/>
          <w:sz w:val="21"/>
          <w:szCs w:val="21"/>
        </w:rPr>
      </w:pPr>
      <w:r>
        <w:rPr>
          <w:rFonts w:hint="eastAsia" w:cs="宋体"/>
          <w:color w:val="auto"/>
          <w:sz w:val="21"/>
          <w:szCs w:val="21"/>
        </w:rPr>
        <w:t>对于不属于依法必须招标的暂估价项目的确认和批准采取第</w:t>
      </w:r>
      <w:r>
        <w:rPr>
          <w:rFonts w:hint="eastAsia" w:cs="宋体"/>
          <w:color w:val="auto"/>
          <w:sz w:val="21"/>
          <w:szCs w:val="21"/>
          <w:u w:val="single"/>
          <w:lang w:val="en-US" w:eastAsia="zh-CN"/>
        </w:rPr>
        <w:t>/</w:t>
      </w:r>
      <w:r>
        <w:rPr>
          <w:rFonts w:hint="eastAsia" w:cs="宋体"/>
          <w:color w:val="auto"/>
          <w:sz w:val="21"/>
          <w:szCs w:val="21"/>
        </w:rPr>
        <w:t>种方式确定。</w:t>
      </w:r>
    </w:p>
    <w:p w14:paraId="79C51C32">
      <w:pPr>
        <w:adjustRightInd w:val="0"/>
        <w:snapToGrid w:val="0"/>
        <w:spacing w:line="360" w:lineRule="auto"/>
        <w:ind w:firstLine="420" w:firstLineChars="200"/>
        <w:rPr>
          <w:rFonts w:cs="宋体"/>
          <w:color w:val="auto"/>
          <w:sz w:val="21"/>
          <w:szCs w:val="21"/>
        </w:rPr>
      </w:pPr>
      <w:r>
        <w:rPr>
          <w:rFonts w:hint="eastAsia" w:cs="宋体"/>
          <w:color w:val="auto"/>
          <w:sz w:val="21"/>
          <w:szCs w:val="21"/>
        </w:rPr>
        <w:t>第3种方式：承包人直接实施的暂估价项目</w:t>
      </w:r>
    </w:p>
    <w:p w14:paraId="320AFD73">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承包人直接实施的暂估价项目的约定：</w:t>
      </w:r>
      <w:r>
        <w:rPr>
          <w:rFonts w:hint="eastAsia" w:cs="宋体"/>
          <w:color w:val="auto"/>
          <w:sz w:val="21"/>
          <w:szCs w:val="21"/>
          <w:u w:val="single"/>
        </w:rPr>
        <w:t xml:space="preserve">  /  </w:t>
      </w:r>
      <w:r>
        <w:rPr>
          <w:rFonts w:hint="eastAsia" w:cs="宋体"/>
          <w:color w:val="auto"/>
          <w:sz w:val="21"/>
          <w:szCs w:val="21"/>
        </w:rPr>
        <w:t>。</w:t>
      </w:r>
    </w:p>
    <w:p w14:paraId="0E00A846">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10.8 暂列金额</w:t>
      </w:r>
    </w:p>
    <w:p w14:paraId="1774D99A">
      <w:pPr>
        <w:adjustRightInd w:val="0"/>
        <w:snapToGrid w:val="0"/>
        <w:spacing w:line="360" w:lineRule="auto"/>
        <w:ind w:firstLine="420" w:firstLineChars="200"/>
        <w:rPr>
          <w:rFonts w:cs="宋体"/>
          <w:color w:val="auto"/>
          <w:sz w:val="21"/>
          <w:szCs w:val="21"/>
        </w:rPr>
      </w:pPr>
      <w:r>
        <w:rPr>
          <w:rFonts w:hint="eastAsia" w:cs="宋体"/>
          <w:color w:val="auto"/>
          <w:sz w:val="21"/>
          <w:szCs w:val="21"/>
        </w:rPr>
        <w:t>合同当事人关于暂列金额使用的约定：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42E827ED">
      <w:pPr>
        <w:snapToGrid w:val="0"/>
        <w:spacing w:before="312" w:beforeLines="100" w:after="312" w:afterLines="100" w:line="360" w:lineRule="auto"/>
        <w:outlineLvl w:val="2"/>
        <w:rPr>
          <w:rFonts w:cs="宋体"/>
          <w:color w:val="auto"/>
          <w:sz w:val="21"/>
          <w:szCs w:val="21"/>
        </w:rPr>
      </w:pPr>
      <w:bookmarkStart w:id="445" w:name="_Toc351203643"/>
      <w:r>
        <w:rPr>
          <w:rFonts w:hint="eastAsia" w:cs="宋体"/>
          <w:color w:val="auto"/>
          <w:sz w:val="21"/>
          <w:szCs w:val="21"/>
        </w:rPr>
        <w:t>11. 价格调整</w:t>
      </w:r>
      <w:bookmarkEnd w:id="445"/>
    </w:p>
    <w:p w14:paraId="371F4B0C">
      <w:pPr>
        <w:keepNext/>
        <w:keepLines/>
        <w:snapToGrid w:val="0"/>
        <w:spacing w:before="120" w:after="120" w:line="360" w:lineRule="auto"/>
        <w:ind w:firstLine="420" w:firstLineChars="200"/>
        <w:outlineLvl w:val="3"/>
        <w:rPr>
          <w:rFonts w:cs="宋体"/>
          <w:bCs/>
          <w:color w:val="auto"/>
          <w:sz w:val="21"/>
          <w:szCs w:val="21"/>
        </w:rPr>
      </w:pPr>
      <w:bookmarkStart w:id="446" w:name="_Toc297216209"/>
      <w:bookmarkStart w:id="447" w:name="_Toc297048387"/>
      <w:bookmarkStart w:id="448" w:name="_Toc304295577"/>
      <w:bookmarkStart w:id="449" w:name="_Toc296891241"/>
      <w:bookmarkStart w:id="450" w:name="_Toc296347200"/>
      <w:bookmarkStart w:id="451" w:name="_Toc297123550"/>
      <w:bookmarkStart w:id="452" w:name="_Toc292559911"/>
      <w:bookmarkStart w:id="453" w:name="_Toc292559406"/>
      <w:bookmarkStart w:id="454" w:name="_Toc297120501"/>
      <w:bookmarkStart w:id="455" w:name="_Toc303539157"/>
      <w:bookmarkStart w:id="456" w:name="_Toc296346702"/>
      <w:bookmarkStart w:id="457" w:name="_Toc296944540"/>
      <w:bookmarkStart w:id="458" w:name="_Toc312678039"/>
      <w:bookmarkStart w:id="459" w:name="_Toc300935000"/>
      <w:bookmarkStart w:id="460" w:name="_Toc296503201"/>
      <w:bookmarkStart w:id="461" w:name="_Toc296891029"/>
      <w:r>
        <w:rPr>
          <w:rFonts w:hint="eastAsia" w:cs="宋体"/>
          <w:bCs/>
          <w:color w:val="auto"/>
          <w:sz w:val="21"/>
          <w:szCs w:val="21"/>
        </w:rPr>
        <w:t>11.1 市场价格波动引起的调整</w:t>
      </w:r>
    </w:p>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14:paraId="1BA4133E">
      <w:pPr>
        <w:keepNext w:val="0"/>
        <w:keepLines w:val="0"/>
        <w:widowControl/>
        <w:suppressLineNumbers w:val="0"/>
        <w:ind w:firstLine="420" w:firstLineChars="200"/>
        <w:jc w:val="left"/>
        <w:rPr>
          <w:rFonts w:cs="宋体"/>
          <w:color w:val="auto"/>
          <w:sz w:val="21"/>
          <w:szCs w:val="21"/>
        </w:rPr>
      </w:pPr>
      <w:r>
        <w:rPr>
          <w:rFonts w:hint="eastAsia" w:cs="宋体"/>
          <w:color w:val="auto"/>
          <w:sz w:val="21"/>
          <w:szCs w:val="21"/>
        </w:rPr>
        <w:t>市场价格波动是否调整合同价格的约定：</w:t>
      </w:r>
      <w:r>
        <w:rPr>
          <w:rFonts w:hint="eastAsia" w:ascii="宋体" w:hAnsi="宋体" w:eastAsia="宋体" w:cs="宋体"/>
          <w:color w:val="000000"/>
          <w:kern w:val="0"/>
          <w:sz w:val="21"/>
          <w:szCs w:val="21"/>
          <w:u w:val="single"/>
          <w:lang w:val="en-US" w:eastAsia="zh-CN" w:bidi="ar"/>
        </w:rPr>
        <w:t>予以调整</w:t>
      </w:r>
      <w:r>
        <w:rPr>
          <w:rFonts w:hint="eastAsia" w:cs="宋体"/>
          <w:color w:val="auto"/>
          <w:sz w:val="21"/>
          <w:szCs w:val="21"/>
        </w:rPr>
        <w:t>。</w:t>
      </w:r>
    </w:p>
    <w:p w14:paraId="13518129">
      <w:pPr>
        <w:adjustRightInd w:val="0"/>
        <w:snapToGrid w:val="0"/>
        <w:spacing w:line="360" w:lineRule="auto"/>
        <w:ind w:firstLine="420" w:firstLineChars="200"/>
        <w:rPr>
          <w:rFonts w:cs="宋体"/>
          <w:color w:val="auto"/>
          <w:sz w:val="21"/>
          <w:szCs w:val="21"/>
        </w:rPr>
      </w:pPr>
      <w:r>
        <w:rPr>
          <w:rFonts w:hint="eastAsia" w:cs="宋体"/>
          <w:color w:val="auto"/>
          <w:sz w:val="21"/>
          <w:szCs w:val="21"/>
        </w:rPr>
        <w:t>因市场价格波动调整合同价格，采用以下第</w:t>
      </w:r>
      <w:r>
        <w:rPr>
          <w:rFonts w:hint="eastAsia" w:cs="宋体"/>
          <w:color w:val="auto"/>
          <w:sz w:val="21"/>
          <w:szCs w:val="21"/>
          <w:u w:val="single"/>
          <w:lang w:val="en-US" w:eastAsia="zh-CN"/>
        </w:rPr>
        <w:t>2</w:t>
      </w:r>
      <w:r>
        <w:rPr>
          <w:rFonts w:hint="eastAsia" w:cs="宋体"/>
          <w:color w:val="auto"/>
          <w:sz w:val="21"/>
          <w:szCs w:val="21"/>
          <w:u w:val="single"/>
        </w:rPr>
        <w:t xml:space="preserve"> </w:t>
      </w:r>
      <w:r>
        <w:rPr>
          <w:rFonts w:hint="eastAsia" w:cs="宋体"/>
          <w:color w:val="auto"/>
          <w:sz w:val="21"/>
          <w:szCs w:val="21"/>
        </w:rPr>
        <w:t>种方式对合同价格进行调整：</w:t>
      </w:r>
    </w:p>
    <w:p w14:paraId="6C45ED0C">
      <w:pPr>
        <w:adjustRightInd w:val="0"/>
        <w:snapToGrid w:val="0"/>
        <w:spacing w:line="360" w:lineRule="auto"/>
        <w:ind w:firstLine="420" w:firstLineChars="200"/>
        <w:rPr>
          <w:rFonts w:cs="宋体"/>
          <w:color w:val="auto"/>
          <w:sz w:val="21"/>
          <w:szCs w:val="21"/>
        </w:rPr>
      </w:pPr>
      <w:r>
        <w:rPr>
          <w:rFonts w:hint="eastAsia" w:cs="宋体"/>
          <w:color w:val="auto"/>
          <w:sz w:val="21"/>
          <w:szCs w:val="21"/>
        </w:rPr>
        <w:t>第1种方式：采用价格指数进行价格调整。</w:t>
      </w:r>
    </w:p>
    <w:p w14:paraId="13B7A18A">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关于各可调因子、定值和变值权重，以及基本价格指数及其来源的约定：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 xml:space="preserve">； </w:t>
      </w:r>
    </w:p>
    <w:p w14:paraId="7C4A59BB">
      <w:pPr>
        <w:adjustRightInd w:val="0"/>
        <w:snapToGrid w:val="0"/>
        <w:spacing w:line="360" w:lineRule="auto"/>
        <w:ind w:firstLine="420" w:firstLineChars="200"/>
        <w:rPr>
          <w:rFonts w:cs="宋体"/>
          <w:color w:val="auto"/>
          <w:sz w:val="21"/>
          <w:szCs w:val="21"/>
        </w:rPr>
      </w:pPr>
      <w:r>
        <w:rPr>
          <w:rFonts w:hint="eastAsia" w:cs="宋体"/>
          <w:color w:val="auto"/>
          <w:sz w:val="21"/>
          <w:szCs w:val="21"/>
        </w:rPr>
        <w:t>第2种方式：采用造价信息进行价格调整。</w:t>
      </w:r>
    </w:p>
    <w:p w14:paraId="63DF84FE">
      <w:pPr>
        <w:keepNext w:val="0"/>
        <w:keepLines w:val="0"/>
        <w:widowControl/>
        <w:suppressLineNumbers w:val="0"/>
        <w:ind w:firstLine="210" w:firstLineChars="100"/>
        <w:jc w:val="left"/>
      </w:pPr>
      <w:r>
        <w:rPr>
          <w:rFonts w:hint="eastAsia" w:ascii="宋体" w:hAnsi="宋体" w:eastAsia="宋体" w:cs="宋体"/>
          <w:color w:val="000000"/>
          <w:kern w:val="0"/>
          <w:sz w:val="21"/>
          <w:szCs w:val="21"/>
          <w:lang w:val="en-US" w:eastAsia="zh-CN" w:bidi="ar"/>
        </w:rPr>
        <w:t xml:space="preserve">（2）关于基准价格的约定：调整材料范围：材料价值占单位专业工程分部分项工程费5%（含5%）以上且收录在阜阳市工程建设信息价以内的，其余不予调整。 </w:t>
      </w:r>
    </w:p>
    <w:p w14:paraId="78D9A7FF">
      <w:pPr>
        <w:keepNext w:val="0"/>
        <w:keepLines w:val="0"/>
        <w:widowControl/>
        <w:suppressLineNumbers w:val="0"/>
        <w:jc w:val="left"/>
      </w:pPr>
      <w:r>
        <w:rPr>
          <w:rFonts w:hint="eastAsia" w:ascii="宋体" w:hAnsi="宋体" w:eastAsia="宋体" w:cs="宋体"/>
          <w:color w:val="000000"/>
          <w:kern w:val="0"/>
          <w:sz w:val="21"/>
          <w:szCs w:val="21"/>
          <w:lang w:val="en-US" w:eastAsia="zh-CN" w:bidi="ar"/>
        </w:rPr>
        <w:t xml:space="preserve">以清单控制价编制当期信息价为基准价格，施工当月阜阳市工程建设当期信息价涨跌幅在± </w:t>
      </w:r>
    </w:p>
    <w:p w14:paraId="66EAEA36">
      <w:pPr>
        <w:keepNext w:val="0"/>
        <w:keepLines w:val="0"/>
        <w:widowControl/>
        <w:suppressLineNumbers w:val="0"/>
        <w:jc w:val="left"/>
      </w:pPr>
      <w:r>
        <w:rPr>
          <w:rFonts w:hint="eastAsia" w:ascii="宋体" w:hAnsi="宋体" w:eastAsia="宋体" w:cs="宋体"/>
          <w:color w:val="000000"/>
          <w:kern w:val="0"/>
          <w:sz w:val="21"/>
          <w:szCs w:val="21"/>
          <w:lang w:val="en-US" w:eastAsia="zh-CN" w:bidi="ar"/>
        </w:rPr>
        <w:t xml:space="preserve">5%（含 5%）以内不予调整，对超出±5%部分按清单控制价与中标人投标报价的降幅比率同比例下浮后进行结算 。 </w:t>
      </w:r>
    </w:p>
    <w:p w14:paraId="342A4D12">
      <w:pPr>
        <w:keepNext w:val="0"/>
        <w:keepLines w:val="0"/>
        <w:widowControl/>
        <w:suppressLineNumbers w:val="0"/>
        <w:ind w:firstLine="420" w:firstLineChars="200"/>
        <w:jc w:val="left"/>
        <w:rPr>
          <w:rFonts w:cs="宋体"/>
          <w:color w:val="auto"/>
          <w:sz w:val="21"/>
          <w:szCs w:val="21"/>
        </w:rPr>
      </w:pPr>
      <w:r>
        <w:rPr>
          <w:rFonts w:hint="eastAsia" w:ascii="宋体" w:hAnsi="宋体" w:eastAsia="宋体" w:cs="宋体"/>
          <w:color w:val="000000"/>
          <w:kern w:val="0"/>
          <w:sz w:val="21"/>
          <w:szCs w:val="21"/>
          <w:lang w:val="en-US" w:eastAsia="zh-CN" w:bidi="ar"/>
        </w:rPr>
        <w:t xml:space="preserve">因发包人或承包人原因造成工期延误的，延误期间遇价格波动造成的价差损失由责任方承担 </w:t>
      </w:r>
      <w:r>
        <w:rPr>
          <w:rFonts w:hint="eastAsia" w:cs="宋体"/>
          <w:color w:val="auto"/>
          <w:sz w:val="21"/>
          <w:szCs w:val="21"/>
        </w:rPr>
        <w:t>。</w:t>
      </w:r>
    </w:p>
    <w:p w14:paraId="1FC64817">
      <w:pPr>
        <w:adjustRightInd w:val="0"/>
        <w:snapToGrid w:val="0"/>
        <w:spacing w:line="360" w:lineRule="auto"/>
        <w:ind w:firstLine="420" w:firstLineChars="200"/>
        <w:rPr>
          <w:rFonts w:cs="宋体"/>
          <w:color w:val="auto"/>
          <w:sz w:val="21"/>
          <w:szCs w:val="21"/>
        </w:rPr>
      </w:pPr>
      <w:r>
        <w:rPr>
          <w:rFonts w:hint="eastAsia" w:cs="宋体"/>
          <w:color w:val="auto"/>
          <w:sz w:val="21"/>
          <w:szCs w:val="21"/>
        </w:rPr>
        <w:t>①承包人在已标价工程量清单或预算书中载明的材料单价低于基准价格的：专用合同条款合同履行期间材料单价涨幅以基准价格为基础超过</w:t>
      </w:r>
      <w:r>
        <w:rPr>
          <w:rFonts w:hint="eastAsia" w:ascii="宋体" w:hAnsi="宋体" w:eastAsia="宋体" w:cs="宋体"/>
          <w:color w:val="000000"/>
          <w:kern w:val="0"/>
          <w:sz w:val="21"/>
          <w:szCs w:val="21"/>
          <w:u w:val="single"/>
          <w:lang w:val="en-US" w:eastAsia="zh-CN" w:bidi="ar"/>
        </w:rPr>
        <w:t>±5</w:t>
      </w:r>
      <w:r>
        <w:rPr>
          <w:rFonts w:hint="eastAsia" w:cs="宋体"/>
          <w:color w:val="auto"/>
          <w:sz w:val="21"/>
          <w:szCs w:val="21"/>
          <w:u w:val="single"/>
        </w:rPr>
        <w:t xml:space="preserve"> </w:t>
      </w:r>
      <w:r>
        <w:rPr>
          <w:rFonts w:hint="eastAsia" w:cs="宋体"/>
          <w:color w:val="auto"/>
          <w:sz w:val="21"/>
          <w:szCs w:val="21"/>
        </w:rPr>
        <w:t>%时，或材料单价跌幅以已标价工程量清单或预算书中载明材料单价为基础超过</w:t>
      </w:r>
      <w:r>
        <w:rPr>
          <w:rFonts w:hint="eastAsia" w:ascii="宋体" w:hAnsi="宋体" w:eastAsia="宋体" w:cs="宋体"/>
          <w:color w:val="000000"/>
          <w:kern w:val="0"/>
          <w:sz w:val="21"/>
          <w:szCs w:val="21"/>
          <w:u w:val="single"/>
          <w:lang w:val="en-US" w:eastAsia="zh-CN" w:bidi="ar"/>
        </w:rPr>
        <w:t>±5</w:t>
      </w:r>
      <w:r>
        <w:rPr>
          <w:rFonts w:hint="eastAsia" w:cs="宋体"/>
          <w:color w:val="auto"/>
          <w:sz w:val="21"/>
          <w:szCs w:val="21"/>
          <w:u w:val="single"/>
        </w:rPr>
        <w:t xml:space="preserve"> </w:t>
      </w:r>
      <w:r>
        <w:rPr>
          <w:rFonts w:hint="eastAsia" w:cs="宋体"/>
          <w:color w:val="auto"/>
          <w:sz w:val="21"/>
          <w:szCs w:val="21"/>
        </w:rPr>
        <w:t>%时，其超过部分据实调整。</w:t>
      </w:r>
    </w:p>
    <w:p w14:paraId="24DF32CC">
      <w:pPr>
        <w:adjustRightInd w:val="0"/>
        <w:snapToGrid w:val="0"/>
        <w:spacing w:line="360" w:lineRule="auto"/>
        <w:ind w:firstLine="420" w:firstLineChars="200"/>
        <w:rPr>
          <w:rFonts w:cs="宋体"/>
          <w:color w:val="auto"/>
          <w:sz w:val="21"/>
          <w:szCs w:val="21"/>
        </w:rPr>
      </w:pPr>
      <w:r>
        <w:rPr>
          <w:rFonts w:hint="eastAsia" w:cs="宋体"/>
          <w:color w:val="auto"/>
          <w:sz w:val="21"/>
          <w:szCs w:val="21"/>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000000"/>
          <w:kern w:val="0"/>
          <w:sz w:val="21"/>
          <w:szCs w:val="21"/>
          <w:u w:val="single"/>
          <w:lang w:val="en-US" w:eastAsia="zh-CN" w:bidi="ar"/>
        </w:rPr>
        <w:t>±5</w:t>
      </w:r>
      <w:r>
        <w:rPr>
          <w:rFonts w:hint="eastAsia" w:cs="宋体"/>
          <w:color w:val="auto"/>
          <w:sz w:val="21"/>
          <w:szCs w:val="21"/>
          <w:u w:val="single"/>
        </w:rPr>
        <w:t xml:space="preserve"> </w:t>
      </w:r>
      <w:r>
        <w:rPr>
          <w:rFonts w:hint="eastAsia" w:cs="宋体"/>
          <w:color w:val="auto"/>
          <w:sz w:val="21"/>
          <w:szCs w:val="21"/>
        </w:rPr>
        <w:t>%时，材料单价涨幅以已标价工程量清单或预算书中载明材料单价为基础超过</w:t>
      </w:r>
      <w:r>
        <w:rPr>
          <w:rFonts w:hint="eastAsia" w:cs="宋体"/>
          <w:color w:val="auto"/>
          <w:sz w:val="21"/>
          <w:szCs w:val="21"/>
          <w:u w:val="single"/>
        </w:rPr>
        <w:t xml:space="preserve">  </w:t>
      </w:r>
      <w:r>
        <w:rPr>
          <w:rFonts w:hint="eastAsia" w:ascii="宋体" w:hAnsi="宋体" w:eastAsia="宋体" w:cs="宋体"/>
          <w:color w:val="000000"/>
          <w:kern w:val="0"/>
          <w:sz w:val="21"/>
          <w:szCs w:val="21"/>
          <w:u w:val="single"/>
          <w:lang w:val="en-US" w:eastAsia="zh-CN" w:bidi="ar"/>
        </w:rPr>
        <w:t>±5</w:t>
      </w:r>
      <w:r>
        <w:rPr>
          <w:rFonts w:hint="eastAsia" w:cs="宋体"/>
          <w:color w:val="auto"/>
          <w:sz w:val="21"/>
          <w:szCs w:val="21"/>
        </w:rPr>
        <w:t>%时，其超过部分据实调整。</w:t>
      </w:r>
    </w:p>
    <w:p w14:paraId="47812BE4">
      <w:pPr>
        <w:adjustRightInd w:val="0"/>
        <w:snapToGrid w:val="0"/>
        <w:spacing w:line="360" w:lineRule="auto"/>
        <w:ind w:firstLine="420" w:firstLineChars="200"/>
        <w:rPr>
          <w:rFonts w:cs="宋体"/>
          <w:color w:val="auto"/>
          <w:sz w:val="21"/>
          <w:szCs w:val="21"/>
        </w:rPr>
      </w:pPr>
      <w:r>
        <w:rPr>
          <w:rFonts w:hint="eastAsia" w:cs="宋体"/>
          <w:color w:val="auto"/>
          <w:sz w:val="21"/>
          <w:szCs w:val="21"/>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000000"/>
          <w:kern w:val="0"/>
          <w:sz w:val="21"/>
          <w:szCs w:val="21"/>
          <w:u w:val="single"/>
          <w:lang w:val="en-US" w:eastAsia="zh-CN" w:bidi="ar"/>
        </w:rPr>
        <w:t>±5</w:t>
      </w:r>
      <w:r>
        <w:rPr>
          <w:rFonts w:hint="eastAsia" w:cs="宋体"/>
          <w:color w:val="auto"/>
          <w:sz w:val="21"/>
          <w:szCs w:val="21"/>
          <w:u w:val="single"/>
        </w:rPr>
        <w:t xml:space="preserve"> </w:t>
      </w:r>
      <w:r>
        <w:rPr>
          <w:rFonts w:hint="eastAsia" w:cs="宋体"/>
          <w:color w:val="auto"/>
          <w:sz w:val="21"/>
          <w:szCs w:val="21"/>
        </w:rPr>
        <w:t>%时，其超过部分据实调整。</w:t>
      </w:r>
    </w:p>
    <w:p w14:paraId="0D70D491">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第3种方式：其他价格调整方式：</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bookmarkEnd w:id="349"/>
    <w:bookmarkEnd w:id="350"/>
    <w:bookmarkEnd w:id="351"/>
    <w:bookmarkEnd w:id="352"/>
    <w:bookmarkEnd w:id="353"/>
    <w:bookmarkEnd w:id="354"/>
    <w:p w14:paraId="112B6049">
      <w:pPr>
        <w:snapToGrid w:val="0"/>
        <w:spacing w:before="312" w:beforeLines="100" w:after="312" w:afterLines="100" w:line="360" w:lineRule="auto"/>
        <w:outlineLvl w:val="2"/>
        <w:rPr>
          <w:rFonts w:cs="宋体"/>
          <w:color w:val="auto"/>
          <w:sz w:val="21"/>
          <w:szCs w:val="21"/>
        </w:rPr>
      </w:pPr>
      <w:bookmarkStart w:id="462" w:name="_Toc297048391"/>
      <w:bookmarkStart w:id="463" w:name="_Toc297120505"/>
      <w:bookmarkStart w:id="464" w:name="_Toc296891033"/>
      <w:bookmarkStart w:id="465" w:name="_Toc296891245"/>
      <w:bookmarkStart w:id="466" w:name="_Toc296346706"/>
      <w:bookmarkStart w:id="467" w:name="_Toc292559915"/>
      <w:bookmarkStart w:id="468" w:name="_Toc296503205"/>
      <w:bookmarkStart w:id="469" w:name="_Toc296944544"/>
      <w:bookmarkStart w:id="470" w:name="_Toc296347204"/>
      <w:bookmarkStart w:id="471" w:name="_Toc292559410"/>
      <w:bookmarkStart w:id="472" w:name="_Toc351203644"/>
      <w:bookmarkStart w:id="473" w:name="_Toc300935002"/>
      <w:bookmarkStart w:id="474" w:name="_Toc297123552"/>
      <w:bookmarkStart w:id="475" w:name="_Toc304295579"/>
      <w:bookmarkStart w:id="476" w:name="_Toc303539159"/>
      <w:bookmarkStart w:id="477" w:name="_Toc312678040"/>
      <w:bookmarkStart w:id="478" w:name="_Toc297216211"/>
      <w:r>
        <w:rPr>
          <w:rFonts w:hint="eastAsia" w:cs="宋体"/>
          <w:color w:val="auto"/>
          <w:sz w:val="21"/>
          <w:szCs w:val="21"/>
        </w:rPr>
        <w:t xml:space="preserve">12. </w:t>
      </w:r>
      <w:bookmarkEnd w:id="462"/>
      <w:bookmarkEnd w:id="463"/>
      <w:bookmarkEnd w:id="464"/>
      <w:bookmarkEnd w:id="465"/>
      <w:bookmarkEnd w:id="466"/>
      <w:bookmarkEnd w:id="467"/>
      <w:bookmarkEnd w:id="468"/>
      <w:bookmarkEnd w:id="469"/>
      <w:bookmarkEnd w:id="470"/>
      <w:bookmarkEnd w:id="471"/>
      <w:r>
        <w:rPr>
          <w:rFonts w:hint="eastAsia" w:cs="宋体"/>
          <w:color w:val="auto"/>
          <w:sz w:val="21"/>
          <w:szCs w:val="21"/>
        </w:rPr>
        <w:t>合同价格、计量与支付</w:t>
      </w:r>
      <w:bookmarkEnd w:id="472"/>
    </w:p>
    <w:bookmarkEnd w:id="473"/>
    <w:bookmarkEnd w:id="474"/>
    <w:bookmarkEnd w:id="475"/>
    <w:bookmarkEnd w:id="476"/>
    <w:bookmarkEnd w:id="477"/>
    <w:bookmarkEnd w:id="478"/>
    <w:p w14:paraId="4FE74EE7">
      <w:pPr>
        <w:keepNext/>
        <w:keepLines/>
        <w:snapToGrid w:val="0"/>
        <w:spacing w:before="120" w:after="120" w:line="360" w:lineRule="auto"/>
        <w:ind w:firstLine="420" w:firstLineChars="200"/>
        <w:outlineLvl w:val="3"/>
        <w:rPr>
          <w:rFonts w:cs="宋体"/>
          <w:bCs/>
          <w:color w:val="auto"/>
          <w:sz w:val="21"/>
          <w:szCs w:val="21"/>
        </w:rPr>
      </w:pPr>
      <w:bookmarkStart w:id="479" w:name="_Toc267251461"/>
      <w:bookmarkStart w:id="480" w:name="_Toc292559411"/>
      <w:bookmarkStart w:id="481" w:name="_Toc292559916"/>
      <w:bookmarkStart w:id="482" w:name="_Toc296891246"/>
      <w:bookmarkStart w:id="483" w:name="_Toc296503206"/>
      <w:bookmarkStart w:id="484" w:name="_Toc296891034"/>
      <w:bookmarkStart w:id="485" w:name="_Toc297120506"/>
      <w:bookmarkStart w:id="486" w:name="_Toc296346707"/>
      <w:bookmarkStart w:id="487" w:name="_Toc297048392"/>
      <w:bookmarkStart w:id="488" w:name="_Toc296347205"/>
      <w:bookmarkStart w:id="489" w:name="_Toc296944545"/>
      <w:bookmarkStart w:id="490" w:name="_Toc297216212"/>
      <w:bookmarkStart w:id="491" w:name="_Toc303539160"/>
      <w:bookmarkStart w:id="492" w:name="_Toc312678041"/>
      <w:bookmarkStart w:id="493" w:name="_Toc297123553"/>
      <w:bookmarkStart w:id="494" w:name="_Toc304295580"/>
      <w:bookmarkStart w:id="495" w:name="_Toc300935003"/>
      <w:r>
        <w:rPr>
          <w:rFonts w:hint="eastAsia" w:cs="宋体"/>
          <w:bCs/>
          <w:color w:val="auto"/>
          <w:sz w:val="21"/>
          <w:szCs w:val="21"/>
        </w:rPr>
        <w:t>12.1 合</w:t>
      </w:r>
      <w:bookmarkEnd w:id="479"/>
      <w:bookmarkEnd w:id="480"/>
      <w:bookmarkEnd w:id="481"/>
      <w:r>
        <w:rPr>
          <w:rFonts w:hint="eastAsia" w:cs="宋体"/>
          <w:bCs/>
          <w:color w:val="auto"/>
          <w:sz w:val="21"/>
          <w:szCs w:val="21"/>
        </w:rPr>
        <w:t>同价</w:t>
      </w:r>
      <w:bookmarkEnd w:id="482"/>
      <w:bookmarkEnd w:id="483"/>
      <w:bookmarkEnd w:id="484"/>
      <w:bookmarkEnd w:id="485"/>
      <w:bookmarkEnd w:id="486"/>
      <w:bookmarkEnd w:id="487"/>
      <w:bookmarkEnd w:id="488"/>
      <w:bookmarkEnd w:id="489"/>
      <w:r>
        <w:rPr>
          <w:rFonts w:hint="eastAsia" w:cs="宋体"/>
          <w:bCs/>
          <w:color w:val="auto"/>
          <w:sz w:val="21"/>
          <w:szCs w:val="21"/>
        </w:rPr>
        <w:t>格形式</w:t>
      </w:r>
    </w:p>
    <w:bookmarkEnd w:id="490"/>
    <w:bookmarkEnd w:id="491"/>
    <w:bookmarkEnd w:id="492"/>
    <w:bookmarkEnd w:id="493"/>
    <w:bookmarkEnd w:id="494"/>
    <w:bookmarkEnd w:id="495"/>
    <w:p w14:paraId="1A3C7827">
      <w:pPr>
        <w:adjustRightInd w:val="0"/>
        <w:snapToGrid w:val="0"/>
        <w:spacing w:line="360" w:lineRule="auto"/>
        <w:ind w:firstLine="420" w:firstLineChars="200"/>
        <w:rPr>
          <w:rFonts w:cs="宋体"/>
          <w:color w:val="auto"/>
          <w:sz w:val="21"/>
          <w:szCs w:val="21"/>
        </w:rPr>
      </w:pPr>
      <w:r>
        <w:rPr>
          <w:rFonts w:hint="eastAsia" w:cs="宋体"/>
          <w:color w:val="auto"/>
          <w:sz w:val="21"/>
          <w:szCs w:val="21"/>
        </w:rPr>
        <w:t>（1）单价合同。</w:t>
      </w:r>
    </w:p>
    <w:p w14:paraId="6CA4DFFD">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综合单价包含的风险范围：</w:t>
      </w:r>
      <w:r>
        <w:rPr>
          <w:rFonts w:hint="eastAsia" w:cs="宋体"/>
          <w:color w:val="auto"/>
          <w:sz w:val="21"/>
          <w:szCs w:val="21"/>
          <w:u w:val="single"/>
          <w:lang w:val="en-US" w:eastAsia="zh-CN"/>
        </w:rPr>
        <w:t>/</w:t>
      </w:r>
      <w:r>
        <w:rPr>
          <w:rFonts w:hint="eastAsia" w:cs="宋体"/>
          <w:color w:val="auto"/>
          <w:sz w:val="21"/>
          <w:szCs w:val="21"/>
        </w:rPr>
        <w:t>。</w:t>
      </w:r>
    </w:p>
    <w:p w14:paraId="3C8C58F8">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风险费用的计算方法：</w:t>
      </w:r>
      <w:r>
        <w:rPr>
          <w:rFonts w:hint="eastAsia" w:cs="宋体"/>
          <w:color w:val="auto"/>
          <w:sz w:val="21"/>
          <w:szCs w:val="21"/>
          <w:u w:val="single"/>
          <w:lang w:val="en-US" w:eastAsia="zh-CN"/>
        </w:rPr>
        <w:t>/</w:t>
      </w:r>
      <w:r>
        <w:rPr>
          <w:rFonts w:hint="eastAsia" w:cs="宋体"/>
          <w:color w:val="auto"/>
          <w:sz w:val="21"/>
          <w:szCs w:val="21"/>
        </w:rPr>
        <w:t>。</w:t>
      </w:r>
    </w:p>
    <w:p w14:paraId="0843A7F7">
      <w:pPr>
        <w:adjustRightInd w:val="0"/>
        <w:snapToGrid w:val="0"/>
        <w:spacing w:line="360" w:lineRule="auto"/>
        <w:ind w:firstLine="420" w:firstLineChars="200"/>
        <w:rPr>
          <w:rFonts w:cs="宋体"/>
          <w:color w:val="auto"/>
          <w:sz w:val="21"/>
          <w:szCs w:val="21"/>
        </w:rPr>
      </w:pPr>
      <w:r>
        <w:rPr>
          <w:rFonts w:hint="eastAsia" w:cs="宋体"/>
          <w:color w:val="auto"/>
          <w:sz w:val="21"/>
          <w:szCs w:val="21"/>
        </w:rPr>
        <w:t>风险范围以外合同价格的调整方法：</w:t>
      </w:r>
      <w:r>
        <w:rPr>
          <w:rFonts w:hint="eastAsia" w:cs="宋体"/>
          <w:color w:val="auto"/>
          <w:sz w:val="21"/>
          <w:szCs w:val="21"/>
          <w:u w:val="single"/>
          <w:lang w:val="en-US" w:eastAsia="zh-CN"/>
        </w:rPr>
        <w:t>/</w:t>
      </w:r>
      <w:r>
        <w:rPr>
          <w:rFonts w:hint="eastAsia" w:cs="宋体"/>
          <w:color w:val="auto"/>
          <w:sz w:val="21"/>
          <w:szCs w:val="21"/>
        </w:rPr>
        <w:t>。</w:t>
      </w:r>
    </w:p>
    <w:p w14:paraId="6393334E">
      <w:pPr>
        <w:adjustRightInd w:val="0"/>
        <w:snapToGrid w:val="0"/>
        <w:spacing w:line="360" w:lineRule="auto"/>
        <w:ind w:firstLine="420" w:firstLineChars="200"/>
        <w:rPr>
          <w:rFonts w:cs="宋体"/>
          <w:color w:val="auto"/>
          <w:sz w:val="21"/>
          <w:szCs w:val="21"/>
        </w:rPr>
      </w:pPr>
      <w:r>
        <w:rPr>
          <w:rFonts w:hint="eastAsia" w:cs="宋体"/>
          <w:color w:val="auto"/>
          <w:sz w:val="21"/>
          <w:szCs w:val="21"/>
        </w:rPr>
        <w:t>（2）总价合同。</w:t>
      </w:r>
    </w:p>
    <w:p w14:paraId="1D2C72DC">
      <w:pPr>
        <w:keepNext w:val="0"/>
        <w:keepLines w:val="0"/>
        <w:widowControl/>
        <w:suppressLineNumbers w:val="0"/>
        <w:ind w:firstLine="420" w:firstLineChars="200"/>
        <w:jc w:val="left"/>
        <w:rPr>
          <w:u w:val="single"/>
        </w:rPr>
      </w:pPr>
      <w:r>
        <w:rPr>
          <w:rFonts w:hint="eastAsia" w:cs="宋体"/>
          <w:color w:val="auto"/>
          <w:sz w:val="21"/>
          <w:szCs w:val="21"/>
        </w:rPr>
        <w:t>总价包含的风险范围：</w:t>
      </w:r>
      <w:r>
        <w:rPr>
          <w:rFonts w:hint="eastAsia" w:ascii="宋体" w:hAnsi="宋体" w:eastAsia="宋体" w:cs="宋体"/>
          <w:color w:val="000000"/>
          <w:kern w:val="0"/>
          <w:sz w:val="21"/>
          <w:szCs w:val="21"/>
          <w:u w:val="single"/>
          <w:lang w:val="en-US" w:eastAsia="zh-CN" w:bidi="ar"/>
        </w:rPr>
        <w:t xml:space="preserve">各种因素引起的材料价格、人工工资、施工机械使用费、管理费、 </w:t>
      </w:r>
    </w:p>
    <w:p w14:paraId="79E63279">
      <w:pPr>
        <w:keepNext w:val="0"/>
        <w:keepLines w:val="0"/>
        <w:widowControl/>
        <w:suppressLineNumbers w:val="0"/>
        <w:jc w:val="left"/>
        <w:rPr>
          <w:rFonts w:cs="宋体"/>
          <w:b/>
          <w:color w:val="auto"/>
          <w:sz w:val="21"/>
          <w:szCs w:val="21"/>
        </w:rPr>
      </w:pPr>
      <w:r>
        <w:rPr>
          <w:rFonts w:hint="eastAsia" w:ascii="宋体" w:hAnsi="宋体" w:eastAsia="宋体" w:cs="宋体"/>
          <w:color w:val="000000"/>
          <w:kern w:val="0"/>
          <w:sz w:val="21"/>
          <w:szCs w:val="21"/>
          <w:u w:val="single"/>
          <w:lang w:val="en-US" w:eastAsia="zh-CN" w:bidi="ar"/>
        </w:rPr>
        <w:t>利润等变化及风险因素；投标报价失误的风险 ；安全生产风险；除不可抗力以外的其它风险</w:t>
      </w:r>
      <w:r>
        <w:rPr>
          <w:rFonts w:hint="eastAsia" w:cs="宋体"/>
          <w:color w:val="auto"/>
          <w:sz w:val="21"/>
          <w:szCs w:val="21"/>
        </w:rPr>
        <w:t>。</w:t>
      </w:r>
    </w:p>
    <w:p w14:paraId="47FCFDEA">
      <w:pPr>
        <w:keepNext w:val="0"/>
        <w:keepLines w:val="0"/>
        <w:widowControl/>
        <w:suppressLineNumbers w:val="0"/>
        <w:ind w:firstLine="420" w:firstLineChars="200"/>
        <w:jc w:val="left"/>
        <w:rPr>
          <w:rFonts w:cs="宋体"/>
          <w:color w:val="auto"/>
          <w:sz w:val="21"/>
          <w:szCs w:val="21"/>
          <w:u w:val="single"/>
        </w:rPr>
      </w:pPr>
      <w:r>
        <w:rPr>
          <w:rFonts w:hint="eastAsia" w:cs="宋体"/>
          <w:color w:val="auto"/>
          <w:sz w:val="21"/>
          <w:szCs w:val="21"/>
        </w:rPr>
        <w:t>风险费用的计算方法：</w:t>
      </w:r>
      <w:r>
        <w:rPr>
          <w:rFonts w:hint="eastAsia" w:ascii="宋体" w:hAnsi="宋体" w:eastAsia="宋体" w:cs="宋体"/>
          <w:color w:val="000000"/>
          <w:kern w:val="0"/>
          <w:sz w:val="21"/>
          <w:szCs w:val="21"/>
          <w:u w:val="single"/>
          <w:lang w:val="en-US" w:eastAsia="zh-CN" w:bidi="ar"/>
        </w:rPr>
        <w:t>承包人在投标报价时已经充分考虑，不再另行计取</w:t>
      </w:r>
      <w:r>
        <w:rPr>
          <w:rFonts w:hint="eastAsia" w:cs="宋体"/>
          <w:color w:val="auto"/>
          <w:sz w:val="21"/>
          <w:szCs w:val="21"/>
        </w:rPr>
        <w:t>。</w:t>
      </w:r>
    </w:p>
    <w:p w14:paraId="4285A286">
      <w:pPr>
        <w:keepNext w:val="0"/>
        <w:keepLines w:val="0"/>
        <w:widowControl/>
        <w:suppressLineNumbers w:val="0"/>
        <w:ind w:firstLine="420" w:firstLineChars="200"/>
        <w:jc w:val="left"/>
        <w:rPr>
          <w:rFonts w:cs="宋体"/>
          <w:color w:val="auto"/>
          <w:sz w:val="21"/>
          <w:szCs w:val="21"/>
        </w:rPr>
      </w:pPr>
      <w:r>
        <w:rPr>
          <w:rFonts w:hint="eastAsia" w:cs="宋体"/>
          <w:color w:val="auto"/>
          <w:sz w:val="21"/>
          <w:szCs w:val="21"/>
        </w:rPr>
        <w:t>风险范围以外合同价格的调整方法：</w:t>
      </w:r>
      <w:r>
        <w:rPr>
          <w:rFonts w:hint="eastAsia" w:ascii="宋体" w:hAnsi="宋体" w:eastAsia="宋体" w:cs="宋体"/>
          <w:color w:val="000000"/>
          <w:kern w:val="0"/>
          <w:sz w:val="21"/>
          <w:szCs w:val="21"/>
          <w:u w:val="single"/>
          <w:lang w:val="en-US" w:eastAsia="zh-CN" w:bidi="ar"/>
        </w:rPr>
        <w:t>①施工过程中因发包人提出的重大设计变更（变更标准、 改变使用功能及结构类型）按10.2.1条进行价款调整。②施工过程中如有政策文件规定调整相关费用,则按政策性文件规定执行</w:t>
      </w:r>
      <w:r>
        <w:rPr>
          <w:rFonts w:hint="eastAsia" w:cs="宋体"/>
          <w:color w:val="auto"/>
          <w:sz w:val="21"/>
          <w:szCs w:val="21"/>
        </w:rPr>
        <w:t>。</w:t>
      </w:r>
    </w:p>
    <w:p w14:paraId="1B8EC24F">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（3）其他价格方式：</w:t>
      </w:r>
      <w:r>
        <w:rPr>
          <w:rFonts w:hint="eastAsia" w:cs="宋体"/>
          <w:color w:val="auto"/>
          <w:sz w:val="21"/>
          <w:szCs w:val="21"/>
          <w:u w:val="single"/>
        </w:rPr>
        <w:t>见《专用合同条款数据表》</w:t>
      </w:r>
      <w:r>
        <w:rPr>
          <w:rFonts w:hint="eastAsia" w:cs="宋体"/>
          <w:color w:val="auto"/>
          <w:sz w:val="21"/>
          <w:szCs w:val="21"/>
        </w:rPr>
        <w:t>。</w:t>
      </w:r>
    </w:p>
    <w:p w14:paraId="36255701">
      <w:pPr>
        <w:keepNext/>
        <w:keepLines/>
        <w:snapToGrid w:val="0"/>
        <w:spacing w:before="120" w:after="120" w:line="360" w:lineRule="auto"/>
        <w:ind w:firstLine="420" w:firstLineChars="200"/>
        <w:outlineLvl w:val="3"/>
        <w:rPr>
          <w:rFonts w:cs="宋体"/>
          <w:bCs/>
          <w:color w:val="auto"/>
          <w:sz w:val="21"/>
          <w:szCs w:val="21"/>
        </w:rPr>
      </w:pPr>
      <w:bookmarkStart w:id="496" w:name="_Toc297123554"/>
      <w:bookmarkStart w:id="497" w:name="_Toc312678042"/>
      <w:bookmarkStart w:id="498" w:name="_Toc300935004"/>
      <w:bookmarkStart w:id="499" w:name="_Toc297216213"/>
      <w:bookmarkStart w:id="500" w:name="_Toc303539161"/>
      <w:bookmarkStart w:id="501" w:name="_Toc304295581"/>
      <w:bookmarkStart w:id="502" w:name="_Toc292559412"/>
      <w:bookmarkStart w:id="503" w:name="_Toc292559917"/>
      <w:bookmarkStart w:id="504" w:name="_Toc296346708"/>
      <w:bookmarkStart w:id="505" w:name="_Toc296891247"/>
      <w:bookmarkStart w:id="506" w:name="_Toc296944546"/>
      <w:bookmarkStart w:id="507" w:name="_Toc297048393"/>
      <w:bookmarkStart w:id="508" w:name="_Toc296347206"/>
      <w:bookmarkStart w:id="509" w:name="_Toc297120507"/>
      <w:bookmarkStart w:id="510" w:name="_Toc296503207"/>
      <w:bookmarkStart w:id="511" w:name="_Toc296891035"/>
      <w:r>
        <w:rPr>
          <w:rFonts w:hint="eastAsia" w:cs="宋体"/>
          <w:bCs/>
          <w:color w:val="auto"/>
          <w:sz w:val="21"/>
          <w:szCs w:val="21"/>
        </w:rPr>
        <w:t>12.2 预付款</w:t>
      </w:r>
    </w:p>
    <w:bookmarkEnd w:id="496"/>
    <w:bookmarkEnd w:id="497"/>
    <w:bookmarkEnd w:id="498"/>
    <w:bookmarkEnd w:id="499"/>
    <w:bookmarkEnd w:id="500"/>
    <w:bookmarkEnd w:id="501"/>
    <w:p w14:paraId="78F73FB9">
      <w:pPr>
        <w:adjustRightInd w:val="0"/>
        <w:snapToGrid w:val="0"/>
        <w:spacing w:line="360" w:lineRule="auto"/>
        <w:ind w:firstLine="420" w:firstLineChars="200"/>
        <w:rPr>
          <w:rFonts w:cs="宋体"/>
          <w:color w:val="auto"/>
          <w:sz w:val="21"/>
          <w:szCs w:val="21"/>
        </w:rPr>
      </w:pPr>
      <w:r>
        <w:rPr>
          <w:rFonts w:hint="eastAsia" w:cs="宋体"/>
          <w:color w:val="auto"/>
          <w:sz w:val="21"/>
          <w:szCs w:val="21"/>
        </w:rPr>
        <w:t>12.2.1 预付款的支付</w:t>
      </w:r>
    </w:p>
    <w:p w14:paraId="30053897">
      <w:pPr>
        <w:adjustRightInd w:val="0"/>
        <w:snapToGrid w:val="0"/>
        <w:spacing w:line="360" w:lineRule="auto"/>
        <w:ind w:firstLine="420" w:firstLineChars="200"/>
        <w:rPr>
          <w:rFonts w:cs="宋体"/>
          <w:color w:val="auto"/>
          <w:sz w:val="21"/>
          <w:szCs w:val="21"/>
        </w:rPr>
      </w:pPr>
      <w:r>
        <w:rPr>
          <w:rFonts w:hint="eastAsia" w:cs="宋体"/>
          <w:color w:val="auto"/>
          <w:sz w:val="21"/>
          <w:szCs w:val="21"/>
        </w:rPr>
        <w:t>预付款支付比例或金额：</w:t>
      </w:r>
      <w:r>
        <w:rPr>
          <w:rFonts w:hint="eastAsia" w:cs="宋体"/>
          <w:color w:val="auto"/>
          <w:sz w:val="21"/>
          <w:szCs w:val="21"/>
          <w:u w:val="single"/>
          <w:lang w:val="en-US" w:eastAsia="zh-CN"/>
        </w:rPr>
        <w:t>//</w:t>
      </w:r>
      <w:r>
        <w:rPr>
          <w:rFonts w:hint="eastAsia" w:cs="宋体"/>
          <w:color w:val="auto"/>
          <w:sz w:val="21"/>
          <w:szCs w:val="21"/>
        </w:rPr>
        <w:t>。</w:t>
      </w:r>
    </w:p>
    <w:p w14:paraId="7B301A40">
      <w:pPr>
        <w:adjustRightInd w:val="0"/>
        <w:snapToGrid w:val="0"/>
        <w:spacing w:line="360" w:lineRule="auto"/>
        <w:ind w:firstLine="420" w:firstLineChars="200"/>
        <w:rPr>
          <w:rFonts w:cs="宋体"/>
          <w:color w:val="auto"/>
          <w:sz w:val="21"/>
          <w:szCs w:val="21"/>
        </w:rPr>
      </w:pPr>
      <w:r>
        <w:rPr>
          <w:rFonts w:hint="eastAsia" w:cs="宋体"/>
          <w:color w:val="auto"/>
          <w:sz w:val="21"/>
          <w:szCs w:val="21"/>
        </w:rPr>
        <w:t>预付款支付期限：</w:t>
      </w:r>
      <w:r>
        <w:rPr>
          <w:rFonts w:hint="eastAsia" w:cs="宋体"/>
          <w:color w:val="auto"/>
          <w:sz w:val="21"/>
          <w:szCs w:val="21"/>
          <w:u w:val="single"/>
          <w:lang w:val="en-US" w:eastAsia="zh-CN"/>
        </w:rPr>
        <w:t>/</w:t>
      </w:r>
      <w:r>
        <w:rPr>
          <w:rFonts w:hint="eastAsia" w:cs="宋体"/>
          <w:color w:val="auto"/>
          <w:sz w:val="21"/>
          <w:szCs w:val="21"/>
        </w:rPr>
        <w:t>。</w:t>
      </w:r>
    </w:p>
    <w:p w14:paraId="0A45C5AC">
      <w:pPr>
        <w:adjustRightInd w:val="0"/>
        <w:snapToGrid w:val="0"/>
        <w:spacing w:line="360" w:lineRule="auto"/>
        <w:ind w:firstLine="420" w:firstLineChars="200"/>
        <w:rPr>
          <w:rFonts w:cs="宋体"/>
          <w:color w:val="auto"/>
          <w:sz w:val="21"/>
          <w:szCs w:val="21"/>
        </w:rPr>
      </w:pPr>
      <w:r>
        <w:rPr>
          <w:rFonts w:hint="eastAsia" w:cs="宋体"/>
          <w:color w:val="auto"/>
          <w:sz w:val="21"/>
          <w:szCs w:val="21"/>
        </w:rPr>
        <w:t>预付款扣回的方式：</w:t>
      </w:r>
      <w:r>
        <w:rPr>
          <w:rFonts w:hint="eastAsia" w:cs="宋体"/>
          <w:color w:val="auto"/>
          <w:sz w:val="21"/>
          <w:szCs w:val="21"/>
          <w:u w:val="single"/>
          <w:lang w:val="en-US" w:eastAsia="zh-CN"/>
        </w:rPr>
        <w:t>/</w:t>
      </w:r>
      <w:r>
        <w:rPr>
          <w:rFonts w:hint="eastAsia" w:cs="宋体"/>
          <w:color w:val="auto"/>
          <w:sz w:val="21"/>
          <w:szCs w:val="21"/>
        </w:rPr>
        <w:t>。</w:t>
      </w:r>
    </w:p>
    <w:p w14:paraId="0BFD8D07">
      <w:pPr>
        <w:adjustRightInd w:val="0"/>
        <w:snapToGrid w:val="0"/>
        <w:spacing w:line="360" w:lineRule="auto"/>
        <w:ind w:firstLine="420" w:firstLineChars="200"/>
        <w:rPr>
          <w:rFonts w:cs="宋体"/>
          <w:color w:val="auto"/>
          <w:sz w:val="21"/>
          <w:szCs w:val="21"/>
        </w:rPr>
      </w:pPr>
      <w:r>
        <w:rPr>
          <w:rFonts w:hint="eastAsia" w:cs="宋体"/>
          <w:color w:val="auto"/>
          <w:sz w:val="21"/>
          <w:szCs w:val="21"/>
        </w:rPr>
        <w:t>12.2.2 预付款担保</w:t>
      </w:r>
    </w:p>
    <w:p w14:paraId="3276295E">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承包人提交预付款担保的期限：</w:t>
      </w:r>
      <w:r>
        <w:rPr>
          <w:rFonts w:hint="eastAsia" w:cs="宋体"/>
          <w:color w:val="auto"/>
          <w:sz w:val="21"/>
          <w:szCs w:val="21"/>
          <w:u w:val="single"/>
          <w:lang w:val="en-US" w:eastAsia="zh-CN"/>
        </w:rPr>
        <w:t>/</w:t>
      </w:r>
      <w:r>
        <w:rPr>
          <w:rFonts w:hint="eastAsia" w:cs="宋体"/>
          <w:color w:val="auto"/>
          <w:sz w:val="21"/>
          <w:szCs w:val="21"/>
        </w:rPr>
        <w:t>。</w:t>
      </w:r>
    </w:p>
    <w:p w14:paraId="50E2D785">
      <w:pPr>
        <w:adjustRightInd w:val="0"/>
        <w:snapToGrid w:val="0"/>
        <w:spacing w:line="360" w:lineRule="auto"/>
        <w:ind w:firstLine="420" w:firstLineChars="200"/>
        <w:rPr>
          <w:rFonts w:cs="宋体"/>
          <w:color w:val="auto"/>
          <w:sz w:val="21"/>
          <w:szCs w:val="21"/>
        </w:rPr>
      </w:pPr>
      <w:r>
        <w:rPr>
          <w:rFonts w:hint="eastAsia" w:cs="宋体"/>
          <w:color w:val="auto"/>
          <w:sz w:val="21"/>
          <w:szCs w:val="21"/>
        </w:rPr>
        <w:t>预付款担保的形式为：</w:t>
      </w:r>
      <w:r>
        <w:rPr>
          <w:rFonts w:hint="eastAsia" w:cs="宋体"/>
          <w:color w:val="auto"/>
          <w:sz w:val="21"/>
          <w:szCs w:val="21"/>
          <w:u w:val="single"/>
          <w:lang w:val="en-US" w:eastAsia="zh-CN"/>
        </w:rPr>
        <w:t>/</w:t>
      </w:r>
      <w:r>
        <w:rPr>
          <w:rFonts w:hint="eastAsia" w:cs="宋体"/>
          <w:color w:val="auto"/>
          <w:sz w:val="21"/>
          <w:szCs w:val="21"/>
        </w:rPr>
        <w:t>。</w:t>
      </w:r>
    </w:p>
    <w:bookmarkEnd w:id="502"/>
    <w:bookmarkEnd w:id="503"/>
    <w:bookmarkEnd w:id="504"/>
    <w:bookmarkEnd w:id="505"/>
    <w:bookmarkEnd w:id="506"/>
    <w:bookmarkEnd w:id="507"/>
    <w:bookmarkEnd w:id="508"/>
    <w:bookmarkEnd w:id="509"/>
    <w:bookmarkEnd w:id="510"/>
    <w:bookmarkEnd w:id="511"/>
    <w:p w14:paraId="78224A00">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12.3 计量</w:t>
      </w:r>
    </w:p>
    <w:p w14:paraId="3434D838">
      <w:pPr>
        <w:adjustRightInd w:val="0"/>
        <w:snapToGrid w:val="0"/>
        <w:spacing w:line="360" w:lineRule="auto"/>
        <w:ind w:firstLine="420" w:firstLineChars="200"/>
        <w:rPr>
          <w:rFonts w:cs="宋体"/>
          <w:color w:val="auto"/>
          <w:sz w:val="21"/>
          <w:szCs w:val="21"/>
        </w:rPr>
      </w:pPr>
      <w:r>
        <w:rPr>
          <w:rFonts w:hint="eastAsia" w:cs="宋体"/>
          <w:color w:val="auto"/>
          <w:sz w:val="21"/>
          <w:szCs w:val="21"/>
        </w:rPr>
        <w:t>12.3.1 计量原则</w:t>
      </w:r>
    </w:p>
    <w:p w14:paraId="4FA10D1C">
      <w:pPr>
        <w:adjustRightInd w:val="0"/>
        <w:snapToGrid w:val="0"/>
        <w:spacing w:line="360" w:lineRule="auto"/>
        <w:ind w:firstLine="420" w:firstLineChars="200"/>
        <w:rPr>
          <w:rFonts w:cs="宋体"/>
          <w:b/>
          <w:color w:val="auto"/>
          <w:sz w:val="21"/>
          <w:szCs w:val="21"/>
        </w:rPr>
      </w:pPr>
      <w:r>
        <w:rPr>
          <w:rFonts w:hint="eastAsia" w:cs="宋体"/>
          <w:color w:val="auto"/>
          <w:sz w:val="21"/>
          <w:szCs w:val="21"/>
        </w:rPr>
        <w:t>工程量计算规则：</w:t>
      </w:r>
      <w:r>
        <w:rPr>
          <w:rFonts w:hint="eastAsia" w:cs="宋体"/>
          <w:color w:val="auto"/>
          <w:sz w:val="21"/>
          <w:szCs w:val="21"/>
          <w:u w:val="single"/>
        </w:rPr>
        <w:t>按招标工程量清单及最高投标限价所采用的工程量清单计价规范及配套文件等</w:t>
      </w:r>
      <w:r>
        <w:rPr>
          <w:rFonts w:hint="eastAsia" w:cs="宋体"/>
          <w:b/>
          <w:color w:val="auto"/>
          <w:sz w:val="21"/>
          <w:szCs w:val="21"/>
        </w:rPr>
        <w:t>。</w:t>
      </w:r>
    </w:p>
    <w:p w14:paraId="3B5A1B11">
      <w:pPr>
        <w:adjustRightInd w:val="0"/>
        <w:snapToGrid w:val="0"/>
        <w:spacing w:line="360" w:lineRule="auto"/>
        <w:ind w:firstLine="420" w:firstLineChars="200"/>
        <w:rPr>
          <w:rFonts w:cs="宋体"/>
          <w:color w:val="auto"/>
          <w:sz w:val="21"/>
          <w:szCs w:val="21"/>
        </w:rPr>
      </w:pPr>
      <w:r>
        <w:rPr>
          <w:rFonts w:hint="eastAsia" w:cs="宋体"/>
          <w:color w:val="auto"/>
          <w:sz w:val="21"/>
          <w:szCs w:val="21"/>
        </w:rPr>
        <w:t>12.3.2 计量周期</w:t>
      </w:r>
    </w:p>
    <w:p w14:paraId="6A5CC8ED">
      <w:pPr>
        <w:adjustRightInd w:val="0"/>
        <w:snapToGrid w:val="0"/>
        <w:spacing w:line="360" w:lineRule="auto"/>
        <w:ind w:firstLine="420" w:firstLineChars="200"/>
        <w:rPr>
          <w:rFonts w:cs="宋体"/>
          <w:b/>
          <w:color w:val="auto"/>
          <w:sz w:val="21"/>
          <w:szCs w:val="21"/>
        </w:rPr>
      </w:pPr>
      <w:r>
        <w:rPr>
          <w:rFonts w:hint="eastAsia" w:cs="宋体"/>
          <w:color w:val="auto"/>
          <w:sz w:val="21"/>
          <w:szCs w:val="21"/>
        </w:rPr>
        <w:t>关于计量周期的约定</w:t>
      </w:r>
      <w:r>
        <w:rPr>
          <w:rFonts w:hint="eastAsia" w:cs="宋体"/>
          <w:b/>
          <w:color w:val="auto"/>
          <w:sz w:val="21"/>
          <w:szCs w:val="21"/>
        </w:rPr>
        <w:t>：</w:t>
      </w:r>
      <w:r>
        <w:rPr>
          <w:rFonts w:hint="eastAsia" w:cs="宋体"/>
          <w:color w:val="auto"/>
          <w:sz w:val="21"/>
          <w:szCs w:val="21"/>
          <w:u w:val="single"/>
        </w:rPr>
        <w:t xml:space="preserve">      </w:t>
      </w:r>
      <w:r>
        <w:rPr>
          <w:rFonts w:hint="eastAsia" w:cs="宋体"/>
          <w:b/>
          <w:color w:val="auto"/>
          <w:sz w:val="21"/>
          <w:szCs w:val="21"/>
        </w:rPr>
        <w:t>。</w:t>
      </w:r>
    </w:p>
    <w:p w14:paraId="05A76AC7">
      <w:pPr>
        <w:adjustRightInd w:val="0"/>
        <w:snapToGrid w:val="0"/>
        <w:spacing w:line="360" w:lineRule="auto"/>
        <w:ind w:firstLine="420" w:firstLineChars="200"/>
        <w:rPr>
          <w:rFonts w:cs="宋体"/>
          <w:color w:val="auto"/>
          <w:sz w:val="21"/>
          <w:szCs w:val="21"/>
        </w:rPr>
      </w:pPr>
      <w:r>
        <w:rPr>
          <w:rFonts w:hint="eastAsia" w:cs="宋体"/>
          <w:color w:val="auto"/>
          <w:sz w:val="21"/>
          <w:szCs w:val="21"/>
        </w:rPr>
        <w:t>12.3.3 单价合同的计量</w:t>
      </w:r>
    </w:p>
    <w:p w14:paraId="5DF3D461">
      <w:pPr>
        <w:adjustRightInd w:val="0"/>
        <w:snapToGrid w:val="0"/>
        <w:spacing w:line="360" w:lineRule="auto"/>
        <w:ind w:firstLine="420" w:firstLineChars="200"/>
        <w:rPr>
          <w:rFonts w:cs="宋体"/>
          <w:color w:val="auto"/>
          <w:sz w:val="21"/>
          <w:szCs w:val="21"/>
        </w:rPr>
      </w:pPr>
      <w:r>
        <w:rPr>
          <w:rFonts w:hint="eastAsia" w:cs="宋体"/>
          <w:color w:val="auto"/>
          <w:sz w:val="21"/>
          <w:szCs w:val="21"/>
        </w:rPr>
        <w:t>关于单价合同计量的约定：</w:t>
      </w:r>
      <w:r>
        <w:rPr>
          <w:rFonts w:hint="eastAsia" w:cs="宋体"/>
          <w:color w:val="auto"/>
          <w:sz w:val="21"/>
          <w:szCs w:val="21"/>
          <w:u w:val="single"/>
        </w:rPr>
        <w:t xml:space="preserve">  /  </w:t>
      </w:r>
      <w:r>
        <w:rPr>
          <w:rFonts w:hint="eastAsia" w:cs="宋体"/>
          <w:color w:val="auto"/>
          <w:sz w:val="21"/>
          <w:szCs w:val="21"/>
        </w:rPr>
        <w:t>。</w:t>
      </w:r>
    </w:p>
    <w:p w14:paraId="31A0B193">
      <w:pPr>
        <w:adjustRightInd w:val="0"/>
        <w:snapToGrid w:val="0"/>
        <w:spacing w:line="360" w:lineRule="auto"/>
        <w:ind w:firstLine="420" w:firstLineChars="200"/>
        <w:rPr>
          <w:rFonts w:cs="宋体"/>
          <w:color w:val="auto"/>
          <w:sz w:val="21"/>
          <w:szCs w:val="21"/>
        </w:rPr>
      </w:pPr>
      <w:r>
        <w:rPr>
          <w:rFonts w:hint="eastAsia" w:cs="宋体"/>
          <w:color w:val="auto"/>
          <w:sz w:val="21"/>
          <w:szCs w:val="21"/>
        </w:rPr>
        <w:t>12.3.4 总价合同的计量</w:t>
      </w:r>
    </w:p>
    <w:p w14:paraId="29892EDE">
      <w:pPr>
        <w:adjustRightInd w:val="0"/>
        <w:snapToGrid w:val="0"/>
        <w:spacing w:line="360" w:lineRule="auto"/>
        <w:ind w:firstLine="420" w:firstLineChars="200"/>
        <w:rPr>
          <w:rFonts w:cs="宋体"/>
          <w:color w:val="auto"/>
          <w:sz w:val="21"/>
          <w:szCs w:val="21"/>
        </w:rPr>
      </w:pPr>
      <w:r>
        <w:rPr>
          <w:rFonts w:hint="eastAsia" w:cs="宋体"/>
          <w:color w:val="auto"/>
          <w:sz w:val="21"/>
          <w:szCs w:val="21"/>
        </w:rPr>
        <w:t>关于总价合同计量的约定：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11FC30FC">
      <w:pPr>
        <w:adjustRightInd w:val="0"/>
        <w:snapToGrid w:val="0"/>
        <w:spacing w:line="360" w:lineRule="auto"/>
        <w:ind w:firstLine="420" w:firstLineChars="200"/>
        <w:rPr>
          <w:rFonts w:cs="宋体"/>
          <w:color w:val="auto"/>
          <w:sz w:val="21"/>
          <w:szCs w:val="21"/>
        </w:rPr>
      </w:pPr>
      <w:r>
        <w:rPr>
          <w:rFonts w:hint="eastAsia" w:cs="宋体"/>
          <w:color w:val="auto"/>
          <w:sz w:val="21"/>
          <w:szCs w:val="21"/>
        </w:rPr>
        <w:t>12.3.5 总价合同采用支付分解表计量支付的，是否适用第12.3.4项〔总价合同的计量〕约定进行计量：</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b/>
          <w:color w:val="auto"/>
          <w:sz w:val="21"/>
          <w:szCs w:val="21"/>
        </w:rPr>
        <w:t>。</w:t>
      </w:r>
    </w:p>
    <w:p w14:paraId="090C7BAF">
      <w:pPr>
        <w:adjustRightInd w:val="0"/>
        <w:snapToGrid w:val="0"/>
        <w:spacing w:line="360" w:lineRule="auto"/>
        <w:ind w:firstLine="420" w:firstLineChars="200"/>
        <w:rPr>
          <w:rFonts w:cs="宋体"/>
          <w:color w:val="auto"/>
          <w:sz w:val="21"/>
          <w:szCs w:val="21"/>
        </w:rPr>
      </w:pPr>
      <w:r>
        <w:rPr>
          <w:rFonts w:hint="eastAsia" w:cs="宋体"/>
          <w:color w:val="auto"/>
          <w:sz w:val="21"/>
          <w:szCs w:val="21"/>
        </w:rPr>
        <w:t>12.3.6 其他价格形式合同的计量</w:t>
      </w:r>
    </w:p>
    <w:p w14:paraId="475BBCD6">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其他价格形式的计量方式和程序：</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1BA77AA8">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12.4 工程进度款支付</w:t>
      </w:r>
    </w:p>
    <w:p w14:paraId="387BAD26">
      <w:pPr>
        <w:adjustRightInd w:val="0"/>
        <w:snapToGrid w:val="0"/>
        <w:spacing w:line="360" w:lineRule="auto"/>
        <w:ind w:firstLine="420" w:firstLineChars="200"/>
        <w:rPr>
          <w:rFonts w:cs="宋体"/>
          <w:color w:val="auto"/>
          <w:sz w:val="21"/>
          <w:szCs w:val="21"/>
        </w:rPr>
      </w:pPr>
      <w:bookmarkStart w:id="512" w:name="_Toc296346712"/>
      <w:bookmarkStart w:id="513" w:name="_Toc297048397"/>
      <w:bookmarkStart w:id="514" w:name="_Toc303539163"/>
      <w:bookmarkStart w:id="515" w:name="_Toc297216215"/>
      <w:bookmarkStart w:id="516" w:name="_Toc296944550"/>
      <w:bookmarkStart w:id="517" w:name="_Toc296891039"/>
      <w:bookmarkStart w:id="518" w:name="_Toc292559921"/>
      <w:bookmarkStart w:id="519" w:name="_Toc296347210"/>
      <w:bookmarkStart w:id="520" w:name="_Toc297123556"/>
      <w:bookmarkStart w:id="521" w:name="_Toc296891251"/>
      <w:bookmarkStart w:id="522" w:name="_Toc300935006"/>
      <w:bookmarkStart w:id="523" w:name="_Toc296503211"/>
      <w:bookmarkStart w:id="524" w:name="_Toc297120511"/>
      <w:bookmarkStart w:id="525" w:name="_Toc292559416"/>
      <w:r>
        <w:rPr>
          <w:rFonts w:hint="eastAsia" w:cs="宋体"/>
          <w:color w:val="auto"/>
          <w:sz w:val="21"/>
          <w:szCs w:val="21"/>
        </w:rPr>
        <w:t>12.4.1 付款周期</w:t>
      </w:r>
    </w:p>
    <w:p w14:paraId="546D94E8">
      <w:pPr>
        <w:keepNext w:val="0"/>
        <w:keepLines w:val="0"/>
        <w:widowControl/>
        <w:suppressLineNumbers w:val="0"/>
        <w:ind w:firstLine="420" w:firstLineChars="200"/>
        <w:jc w:val="left"/>
        <w:rPr>
          <w:rFonts w:hint="eastAsia" w:cs="宋体"/>
          <w:color w:val="auto"/>
          <w:sz w:val="21"/>
          <w:szCs w:val="21"/>
        </w:rPr>
      </w:pPr>
      <w:r>
        <w:rPr>
          <w:rFonts w:hint="eastAsia" w:cs="宋体"/>
          <w:color w:val="auto"/>
          <w:sz w:val="21"/>
          <w:szCs w:val="21"/>
        </w:rPr>
        <w:t>关于付款周期的约定：</w:t>
      </w:r>
      <w:r>
        <w:rPr>
          <w:rFonts w:hint="eastAsia" w:cs="宋体"/>
          <w:color w:val="auto"/>
          <w:sz w:val="21"/>
          <w:szCs w:val="21"/>
          <w:u w:val="single"/>
          <w:lang w:val="en-US" w:eastAsia="zh-CN"/>
        </w:rPr>
        <w:t>工程全部完工且竣工验收合格后付至合同价款80%，工程经结算审核后付至审核价的</w:t>
      </w:r>
      <w:r>
        <w:rPr>
          <w:rFonts w:hint="default" w:cs="宋体"/>
          <w:color w:val="auto"/>
          <w:sz w:val="21"/>
          <w:szCs w:val="21"/>
          <w:u w:val="single"/>
          <w:lang w:val="en-US" w:eastAsia="zh-CN"/>
        </w:rPr>
        <w:t>97%</w:t>
      </w:r>
      <w:r>
        <w:rPr>
          <w:rFonts w:hint="eastAsia" w:cs="宋体"/>
          <w:color w:val="auto"/>
          <w:sz w:val="21"/>
          <w:szCs w:val="21"/>
          <w:u w:val="single"/>
          <w:lang w:val="en-US" w:eastAsia="zh-CN"/>
        </w:rPr>
        <w:t>，余款</w:t>
      </w:r>
      <w:r>
        <w:rPr>
          <w:rFonts w:hint="default" w:cs="宋体"/>
          <w:color w:val="auto"/>
          <w:sz w:val="21"/>
          <w:szCs w:val="21"/>
          <w:u w:val="single"/>
          <w:lang w:val="en-US" w:eastAsia="zh-CN"/>
        </w:rPr>
        <w:t>3%</w:t>
      </w:r>
      <w:r>
        <w:rPr>
          <w:rFonts w:hint="eastAsia" w:cs="宋体"/>
          <w:color w:val="auto"/>
          <w:sz w:val="21"/>
          <w:szCs w:val="21"/>
          <w:u w:val="single"/>
          <w:lang w:val="en-US" w:eastAsia="zh-CN"/>
        </w:rPr>
        <w:t>作为质保金（如成交人选择以支票、汇票、本票、保险、保函、银行转账等非现金形式缴纳质保金的，采购人付至审核价款的</w:t>
      </w:r>
      <w:r>
        <w:rPr>
          <w:rFonts w:hint="default" w:cs="宋体"/>
          <w:color w:val="auto"/>
          <w:sz w:val="21"/>
          <w:szCs w:val="21"/>
          <w:u w:val="single"/>
          <w:lang w:val="en-US" w:eastAsia="zh-CN"/>
        </w:rPr>
        <w:t>100%</w:t>
      </w:r>
      <w:r>
        <w:rPr>
          <w:rFonts w:hint="eastAsia" w:cs="宋体"/>
          <w:color w:val="auto"/>
          <w:sz w:val="21"/>
          <w:szCs w:val="21"/>
          <w:u w:val="single"/>
          <w:lang w:val="en-US" w:eastAsia="zh-CN"/>
        </w:rPr>
        <w:t>）；缺陷责任期满后付清工程余款。采用现金方式缴纳质量保证金的，退还保证金本金和银行同期存款利息</w:t>
      </w:r>
      <w:r>
        <w:rPr>
          <w:rFonts w:hint="eastAsia" w:cs="宋体"/>
          <w:color w:val="auto"/>
          <w:sz w:val="21"/>
          <w:szCs w:val="21"/>
          <w:lang w:val="en-US" w:eastAsia="zh-CN"/>
        </w:rPr>
        <w:t>。</w:t>
      </w:r>
    </w:p>
    <w:p w14:paraId="3892A79C">
      <w:pPr>
        <w:adjustRightInd w:val="0"/>
        <w:snapToGrid w:val="0"/>
        <w:spacing w:line="360" w:lineRule="auto"/>
        <w:ind w:firstLine="420" w:firstLineChars="200"/>
        <w:rPr>
          <w:rFonts w:cs="宋体"/>
          <w:color w:val="auto"/>
          <w:sz w:val="21"/>
          <w:szCs w:val="21"/>
        </w:rPr>
      </w:pPr>
      <w:r>
        <w:rPr>
          <w:rFonts w:hint="eastAsia" w:cs="宋体"/>
          <w:color w:val="auto"/>
          <w:sz w:val="21"/>
          <w:szCs w:val="21"/>
        </w:rPr>
        <w:t>12.4.2 进度付款申请单的编制</w:t>
      </w:r>
    </w:p>
    <w:p w14:paraId="60405CA1">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关于进度付款申请单编制的约定：</w:t>
      </w:r>
      <w:r>
        <w:rPr>
          <w:rFonts w:hint="eastAsia" w:ascii="宋体" w:hAnsi="宋体" w:eastAsia="宋体" w:cs="宋体"/>
          <w:color w:val="000000"/>
          <w:kern w:val="0"/>
          <w:sz w:val="21"/>
          <w:szCs w:val="21"/>
          <w:u w:val="single"/>
          <w:lang w:val="en-US" w:eastAsia="zh-CN" w:bidi="ar"/>
        </w:rPr>
        <w:t>按发包人提供的固定格式</w:t>
      </w:r>
      <w:r>
        <w:rPr>
          <w:rFonts w:hint="eastAsia" w:cs="宋体"/>
          <w:color w:val="auto"/>
          <w:sz w:val="21"/>
          <w:szCs w:val="21"/>
        </w:rPr>
        <w:t>。</w:t>
      </w:r>
    </w:p>
    <w:p w14:paraId="0CAC4D8D">
      <w:pPr>
        <w:adjustRightInd w:val="0"/>
        <w:snapToGrid w:val="0"/>
        <w:spacing w:line="360" w:lineRule="auto"/>
        <w:ind w:firstLine="420" w:firstLineChars="200"/>
        <w:rPr>
          <w:rFonts w:cs="宋体"/>
          <w:color w:val="auto"/>
          <w:sz w:val="21"/>
          <w:szCs w:val="21"/>
        </w:rPr>
      </w:pPr>
      <w:r>
        <w:rPr>
          <w:rFonts w:hint="eastAsia" w:cs="宋体"/>
          <w:color w:val="auto"/>
          <w:sz w:val="21"/>
          <w:szCs w:val="21"/>
        </w:rPr>
        <w:t>1</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r>
        <w:rPr>
          <w:rFonts w:hint="eastAsia" w:cs="宋体"/>
          <w:color w:val="auto"/>
          <w:sz w:val="21"/>
          <w:szCs w:val="21"/>
        </w:rPr>
        <w:t>2.4.3 进度付款申请单的提交</w:t>
      </w:r>
    </w:p>
    <w:p w14:paraId="275AFE1D">
      <w:pPr>
        <w:adjustRightInd w:val="0"/>
        <w:snapToGrid w:val="0"/>
        <w:spacing w:line="360" w:lineRule="auto"/>
        <w:ind w:firstLine="420" w:firstLineChars="200"/>
        <w:rPr>
          <w:rFonts w:cs="宋体"/>
          <w:color w:val="auto"/>
          <w:sz w:val="21"/>
          <w:szCs w:val="21"/>
        </w:rPr>
      </w:pPr>
      <w:r>
        <w:rPr>
          <w:rFonts w:hint="eastAsia" w:cs="宋体"/>
          <w:color w:val="auto"/>
          <w:sz w:val="21"/>
          <w:szCs w:val="21"/>
        </w:rPr>
        <w:t>（1）单价合同进度付款申请单提交的约定：</w:t>
      </w:r>
      <w:r>
        <w:rPr>
          <w:rFonts w:hint="eastAsia" w:cs="宋体"/>
          <w:color w:val="auto"/>
          <w:sz w:val="21"/>
          <w:szCs w:val="21"/>
          <w:u w:val="single"/>
        </w:rPr>
        <w:t xml:space="preserve">  /  </w:t>
      </w:r>
      <w:r>
        <w:rPr>
          <w:rFonts w:hint="eastAsia" w:cs="宋体"/>
          <w:color w:val="auto"/>
          <w:sz w:val="21"/>
          <w:szCs w:val="21"/>
        </w:rPr>
        <w:t>。</w:t>
      </w:r>
    </w:p>
    <w:p w14:paraId="7486BA77">
      <w:pPr>
        <w:keepNext w:val="0"/>
        <w:keepLines w:val="0"/>
        <w:widowControl/>
        <w:suppressLineNumbers w:val="0"/>
        <w:ind w:firstLine="420" w:firstLineChars="200"/>
        <w:jc w:val="left"/>
        <w:rPr>
          <w:rFonts w:cs="宋体"/>
          <w:color w:val="auto"/>
          <w:sz w:val="21"/>
          <w:szCs w:val="21"/>
        </w:rPr>
      </w:pPr>
      <w:r>
        <w:rPr>
          <w:rFonts w:hint="eastAsia" w:cs="宋体"/>
          <w:color w:val="auto"/>
          <w:sz w:val="21"/>
          <w:szCs w:val="21"/>
        </w:rPr>
        <w:t>（2）总价合同进度付款申请单提交的约定：</w:t>
      </w:r>
      <w:r>
        <w:rPr>
          <w:rFonts w:hint="eastAsia" w:cs="宋体"/>
          <w:color w:val="000000"/>
          <w:kern w:val="0"/>
          <w:sz w:val="21"/>
          <w:szCs w:val="21"/>
          <w:u w:val="single"/>
          <w:lang w:val="en-US" w:eastAsia="zh-CN" w:bidi="ar"/>
        </w:rPr>
        <w:t>按月提交</w:t>
      </w:r>
      <w:r>
        <w:rPr>
          <w:rFonts w:hint="eastAsia" w:cs="宋体"/>
          <w:color w:val="auto"/>
          <w:sz w:val="21"/>
          <w:szCs w:val="21"/>
        </w:rPr>
        <w:t>。</w:t>
      </w:r>
    </w:p>
    <w:p w14:paraId="56424B34">
      <w:pPr>
        <w:adjustRightInd w:val="0"/>
        <w:snapToGrid w:val="0"/>
        <w:spacing w:line="360" w:lineRule="auto"/>
        <w:ind w:firstLine="420" w:firstLineChars="200"/>
        <w:rPr>
          <w:rFonts w:hint="eastAsia" w:cs="宋体"/>
          <w:color w:val="auto"/>
          <w:sz w:val="21"/>
          <w:szCs w:val="21"/>
        </w:rPr>
      </w:pPr>
      <w:r>
        <w:rPr>
          <w:rFonts w:hint="eastAsia" w:cs="宋体"/>
          <w:color w:val="auto"/>
          <w:sz w:val="21"/>
          <w:szCs w:val="21"/>
        </w:rPr>
        <w:t>（3）其他价格形式合同进度付款申请单提交的约定：</w:t>
      </w:r>
      <w:r>
        <w:rPr>
          <w:rFonts w:hint="eastAsia" w:cs="宋体"/>
          <w:color w:val="auto"/>
          <w:sz w:val="21"/>
          <w:szCs w:val="21"/>
          <w:u w:val="single"/>
        </w:rPr>
        <w:t xml:space="preserve">  /  </w:t>
      </w:r>
      <w:r>
        <w:rPr>
          <w:rFonts w:hint="eastAsia" w:cs="宋体"/>
          <w:color w:val="auto"/>
          <w:sz w:val="21"/>
          <w:szCs w:val="21"/>
        </w:rPr>
        <w:t>。</w:t>
      </w:r>
    </w:p>
    <w:p w14:paraId="3FCAA778">
      <w:pPr>
        <w:adjustRightInd w:val="0"/>
        <w:snapToGrid w:val="0"/>
        <w:spacing w:line="360" w:lineRule="auto"/>
        <w:ind w:firstLine="420" w:firstLineChars="200"/>
        <w:rPr>
          <w:rFonts w:cs="宋体"/>
          <w:color w:val="auto"/>
          <w:sz w:val="21"/>
          <w:szCs w:val="21"/>
        </w:rPr>
      </w:pPr>
      <w:r>
        <w:rPr>
          <w:rFonts w:hint="eastAsia" w:cs="宋体"/>
          <w:color w:val="auto"/>
          <w:sz w:val="21"/>
          <w:szCs w:val="21"/>
        </w:rPr>
        <w:t>12.4.4 进度款审核和支付</w:t>
      </w:r>
    </w:p>
    <w:p w14:paraId="28DE8521">
      <w:pPr>
        <w:keepNext w:val="0"/>
        <w:keepLines w:val="0"/>
        <w:widowControl/>
        <w:suppressLineNumbers w:val="0"/>
        <w:jc w:val="left"/>
        <w:rPr>
          <w:rFonts w:cs="宋体"/>
          <w:b/>
          <w:color w:val="auto"/>
          <w:sz w:val="21"/>
          <w:szCs w:val="21"/>
          <w:u w:val="single"/>
        </w:rPr>
      </w:pPr>
      <w:r>
        <w:rPr>
          <w:rFonts w:hint="eastAsia" w:cs="宋体"/>
          <w:color w:val="auto"/>
          <w:sz w:val="21"/>
          <w:szCs w:val="21"/>
        </w:rPr>
        <w:t>（1）监理人审查并报送发包人的期限：</w:t>
      </w:r>
      <w:r>
        <w:rPr>
          <w:rFonts w:hint="eastAsia" w:ascii="宋体" w:hAnsi="宋体" w:eastAsia="宋体" w:cs="宋体"/>
          <w:color w:val="000000"/>
          <w:kern w:val="0"/>
          <w:sz w:val="21"/>
          <w:szCs w:val="21"/>
          <w:u w:val="single"/>
          <w:lang w:val="en-US" w:eastAsia="zh-CN" w:bidi="ar"/>
        </w:rPr>
        <w:t xml:space="preserve">收到申请 </w:t>
      </w:r>
      <w:r>
        <w:rPr>
          <w:rFonts w:ascii="Calibri" w:hAnsi="Calibri" w:eastAsia="宋体" w:cs="Calibri"/>
          <w:color w:val="000000"/>
          <w:kern w:val="0"/>
          <w:sz w:val="21"/>
          <w:szCs w:val="21"/>
          <w:u w:val="single"/>
          <w:lang w:val="en-US" w:eastAsia="zh-CN" w:bidi="ar"/>
        </w:rPr>
        <w:t xml:space="preserve">7 </w:t>
      </w:r>
      <w:r>
        <w:rPr>
          <w:rFonts w:hint="eastAsia" w:ascii="宋体" w:hAnsi="宋体" w:eastAsia="宋体" w:cs="宋体"/>
          <w:color w:val="000000"/>
          <w:kern w:val="0"/>
          <w:sz w:val="21"/>
          <w:szCs w:val="21"/>
          <w:u w:val="single"/>
          <w:lang w:val="en-US" w:eastAsia="zh-CN" w:bidi="ar"/>
        </w:rPr>
        <w:t>天内</w:t>
      </w:r>
      <w:r>
        <w:rPr>
          <w:rFonts w:hint="eastAsia" w:cs="宋体"/>
          <w:color w:val="auto"/>
          <w:sz w:val="21"/>
          <w:szCs w:val="21"/>
          <w:u w:val="single"/>
        </w:rPr>
        <w:t xml:space="preserve"> </w:t>
      </w:r>
      <w:r>
        <w:rPr>
          <w:rFonts w:hint="eastAsia" w:cs="宋体"/>
          <w:color w:val="auto"/>
          <w:sz w:val="21"/>
          <w:szCs w:val="21"/>
        </w:rPr>
        <w:t>。</w:t>
      </w:r>
    </w:p>
    <w:p w14:paraId="23878D95">
      <w:pPr>
        <w:adjustRightInd w:val="0"/>
        <w:snapToGrid w:val="0"/>
        <w:spacing w:line="360" w:lineRule="auto"/>
        <w:ind w:firstLine="420" w:firstLineChars="200"/>
        <w:rPr>
          <w:rFonts w:cs="宋体"/>
          <w:b/>
          <w:color w:val="auto"/>
          <w:sz w:val="21"/>
          <w:szCs w:val="21"/>
          <w:u w:val="single"/>
        </w:rPr>
      </w:pPr>
      <w:r>
        <w:rPr>
          <w:rFonts w:hint="eastAsia" w:cs="宋体"/>
          <w:color w:val="auto"/>
          <w:sz w:val="21"/>
          <w:szCs w:val="21"/>
        </w:rPr>
        <w:t>发包人完成审批并签发进度款支付证书的期限：</w:t>
      </w:r>
      <w:r>
        <w:rPr>
          <w:rFonts w:hint="eastAsia" w:ascii="宋体" w:hAnsi="宋体" w:eastAsia="宋体" w:cs="宋体"/>
          <w:color w:val="000000"/>
          <w:kern w:val="0"/>
          <w:sz w:val="21"/>
          <w:szCs w:val="21"/>
          <w:u w:val="single"/>
          <w:lang w:val="en-US" w:eastAsia="zh-CN" w:bidi="ar"/>
        </w:rPr>
        <w:t>执行通用条款</w:t>
      </w:r>
      <w:r>
        <w:rPr>
          <w:rFonts w:hint="eastAsia" w:cs="宋体"/>
          <w:color w:val="auto"/>
          <w:sz w:val="21"/>
          <w:szCs w:val="21"/>
        </w:rPr>
        <w:t>。</w:t>
      </w:r>
    </w:p>
    <w:p w14:paraId="230FE906">
      <w:pPr>
        <w:adjustRightInd w:val="0"/>
        <w:snapToGrid w:val="0"/>
        <w:spacing w:line="360" w:lineRule="auto"/>
        <w:ind w:firstLine="420" w:firstLineChars="200"/>
        <w:rPr>
          <w:rFonts w:cs="宋体"/>
          <w:b/>
          <w:color w:val="auto"/>
          <w:sz w:val="21"/>
          <w:szCs w:val="21"/>
        </w:rPr>
      </w:pPr>
      <w:r>
        <w:rPr>
          <w:rFonts w:hint="eastAsia" w:cs="宋体"/>
          <w:color w:val="auto"/>
          <w:sz w:val="21"/>
          <w:szCs w:val="21"/>
        </w:rPr>
        <w:t>（2）发包人支付进度款的期限：</w:t>
      </w:r>
      <w:r>
        <w:rPr>
          <w:rFonts w:hint="eastAsia" w:ascii="宋体" w:hAnsi="宋体" w:eastAsia="宋体" w:cs="宋体"/>
          <w:color w:val="000000"/>
          <w:kern w:val="0"/>
          <w:sz w:val="21"/>
          <w:szCs w:val="21"/>
          <w:u w:val="single"/>
          <w:lang w:val="en-US" w:eastAsia="zh-CN" w:bidi="ar"/>
        </w:rPr>
        <w:t>执行通用条款</w:t>
      </w:r>
      <w:r>
        <w:rPr>
          <w:rFonts w:hint="eastAsia" w:cs="宋体"/>
          <w:color w:val="auto"/>
          <w:sz w:val="21"/>
          <w:szCs w:val="21"/>
          <w:u w:val="single"/>
        </w:rPr>
        <w:t xml:space="preserve"> </w:t>
      </w:r>
      <w:r>
        <w:rPr>
          <w:rFonts w:hint="eastAsia" w:cs="宋体"/>
          <w:color w:val="auto"/>
          <w:sz w:val="21"/>
          <w:szCs w:val="21"/>
        </w:rPr>
        <w:t>。</w:t>
      </w:r>
    </w:p>
    <w:p w14:paraId="7EE1775A">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发包人逾期支付进度款的违约金的计算方式</w:t>
      </w:r>
      <w:r>
        <w:rPr>
          <w:rFonts w:hint="eastAsia" w:ascii="宋体" w:hAnsi="宋体" w:eastAsia="宋体" w:cs="宋体"/>
          <w:color w:val="000000"/>
          <w:kern w:val="0"/>
          <w:sz w:val="21"/>
          <w:szCs w:val="21"/>
          <w:u w:val="single"/>
          <w:lang w:val="en-US" w:eastAsia="zh-CN" w:bidi="ar"/>
        </w:rPr>
        <w:t>执行通用条款</w:t>
      </w:r>
      <w:r>
        <w:rPr>
          <w:rFonts w:hint="eastAsia" w:cs="宋体"/>
          <w:color w:val="auto"/>
          <w:sz w:val="21"/>
          <w:szCs w:val="21"/>
        </w:rPr>
        <w:t>。</w:t>
      </w:r>
    </w:p>
    <w:p w14:paraId="6E24244B">
      <w:pPr>
        <w:adjustRightInd w:val="0"/>
        <w:snapToGrid w:val="0"/>
        <w:spacing w:line="360" w:lineRule="auto"/>
        <w:ind w:firstLine="420" w:firstLineChars="200"/>
        <w:rPr>
          <w:rFonts w:cs="宋体"/>
          <w:color w:val="auto"/>
          <w:sz w:val="21"/>
          <w:szCs w:val="21"/>
        </w:rPr>
      </w:pPr>
      <w:r>
        <w:rPr>
          <w:rFonts w:hint="eastAsia" w:cs="宋体"/>
          <w:color w:val="auto"/>
          <w:sz w:val="21"/>
          <w:szCs w:val="21"/>
        </w:rPr>
        <w:t>12.4.6 支付分解表的编制</w:t>
      </w:r>
    </w:p>
    <w:p w14:paraId="1C9D5298">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（2）总价合同支付分解表的编制与审批：</w:t>
      </w:r>
      <w:r>
        <w:rPr>
          <w:rFonts w:hint="eastAsia" w:cs="宋体"/>
          <w:color w:val="auto"/>
          <w:sz w:val="21"/>
          <w:szCs w:val="21"/>
          <w:u w:val="single"/>
        </w:rPr>
        <w:t xml:space="preserve">  /  </w:t>
      </w:r>
      <w:r>
        <w:rPr>
          <w:rFonts w:hint="eastAsia" w:cs="宋体"/>
          <w:color w:val="auto"/>
          <w:sz w:val="21"/>
          <w:szCs w:val="21"/>
        </w:rPr>
        <w:t>。</w:t>
      </w:r>
    </w:p>
    <w:p w14:paraId="5A14AB93">
      <w:pPr>
        <w:adjustRightInd w:val="0"/>
        <w:snapToGrid w:val="0"/>
        <w:spacing w:line="360" w:lineRule="auto"/>
        <w:ind w:firstLine="420" w:firstLineChars="200"/>
        <w:rPr>
          <w:rFonts w:cs="宋体"/>
          <w:color w:val="auto"/>
          <w:sz w:val="21"/>
          <w:szCs w:val="21"/>
        </w:rPr>
      </w:pPr>
      <w:r>
        <w:rPr>
          <w:rFonts w:hint="eastAsia" w:cs="宋体"/>
          <w:color w:val="auto"/>
          <w:sz w:val="21"/>
          <w:szCs w:val="21"/>
        </w:rPr>
        <w:t>（3）单价合同的总价项目支付分解表的编制与审批：</w:t>
      </w:r>
      <w:r>
        <w:rPr>
          <w:rFonts w:hint="eastAsia" w:cs="宋体"/>
          <w:color w:val="auto"/>
          <w:sz w:val="21"/>
          <w:szCs w:val="21"/>
          <w:u w:val="single"/>
        </w:rPr>
        <w:t xml:space="preserve">  /  </w:t>
      </w:r>
      <w:r>
        <w:rPr>
          <w:rFonts w:hint="eastAsia" w:cs="宋体"/>
          <w:color w:val="auto"/>
          <w:sz w:val="21"/>
          <w:szCs w:val="21"/>
        </w:rPr>
        <w:t>。</w:t>
      </w:r>
    </w:p>
    <w:p w14:paraId="44DBE4AB">
      <w:pPr>
        <w:adjustRightInd w:val="0"/>
        <w:snapToGrid w:val="0"/>
        <w:spacing w:line="360" w:lineRule="auto"/>
        <w:ind w:firstLine="420" w:firstLineChars="200"/>
        <w:rPr>
          <w:rFonts w:cs="宋体"/>
          <w:bCs/>
          <w:color w:val="auto"/>
          <w:sz w:val="21"/>
          <w:szCs w:val="21"/>
        </w:rPr>
      </w:pPr>
      <w:r>
        <w:rPr>
          <w:rFonts w:hint="eastAsia" w:cs="宋体"/>
          <w:bCs/>
          <w:color w:val="auto"/>
          <w:sz w:val="21"/>
          <w:szCs w:val="21"/>
        </w:rPr>
        <w:t>12.4.7 农民工工资管理</w:t>
      </w:r>
    </w:p>
    <w:p w14:paraId="726DD438">
      <w:pPr>
        <w:adjustRightInd w:val="0"/>
        <w:snapToGrid w:val="0"/>
        <w:spacing w:line="360" w:lineRule="auto"/>
        <w:ind w:firstLine="420" w:firstLineChars="200"/>
        <w:rPr>
          <w:rFonts w:cs="宋体"/>
          <w:bCs/>
          <w:color w:val="auto"/>
          <w:sz w:val="21"/>
          <w:szCs w:val="21"/>
        </w:rPr>
      </w:pPr>
      <w:r>
        <w:rPr>
          <w:rFonts w:hint="eastAsia" w:cs="宋体"/>
          <w:color w:val="auto"/>
          <w:sz w:val="21"/>
          <w:szCs w:val="21"/>
        </w:rPr>
        <w:t>（1）</w:t>
      </w:r>
      <w:r>
        <w:rPr>
          <w:rFonts w:hint="eastAsia" w:cs="宋体"/>
          <w:bCs/>
          <w:color w:val="auto"/>
          <w:sz w:val="21"/>
          <w:szCs w:val="21"/>
        </w:rPr>
        <w:t>本工程农民工工资实行专用账户管理，承包人设立的专用账户开户行为</w:t>
      </w:r>
      <w:r>
        <w:rPr>
          <w:rFonts w:hint="eastAsia" w:cs="宋体"/>
          <w:bCs/>
          <w:color w:val="auto"/>
          <w:sz w:val="21"/>
          <w:szCs w:val="21"/>
          <w:u w:val="single"/>
        </w:rPr>
        <w:t xml:space="preserve">：        </w:t>
      </w:r>
      <w:r>
        <w:rPr>
          <w:rFonts w:hint="eastAsia" w:cs="宋体"/>
          <w:bCs/>
          <w:color w:val="auto"/>
          <w:sz w:val="21"/>
          <w:szCs w:val="21"/>
        </w:rPr>
        <w:t>，账号：</w:t>
      </w:r>
      <w:r>
        <w:rPr>
          <w:rFonts w:hint="eastAsia" w:cs="宋体"/>
          <w:bCs/>
          <w:color w:val="auto"/>
          <w:sz w:val="21"/>
          <w:szCs w:val="21"/>
          <w:u w:val="single"/>
        </w:rPr>
        <w:t xml:space="preserve">              </w:t>
      </w:r>
      <w:r>
        <w:rPr>
          <w:rFonts w:hint="eastAsia" w:cs="宋体"/>
          <w:bCs/>
          <w:color w:val="auto"/>
          <w:sz w:val="21"/>
          <w:szCs w:val="21"/>
        </w:rPr>
        <w:t>;</w:t>
      </w:r>
    </w:p>
    <w:p w14:paraId="51421625">
      <w:pPr>
        <w:adjustRightInd w:val="0"/>
        <w:snapToGrid w:val="0"/>
        <w:spacing w:line="360" w:lineRule="auto"/>
        <w:ind w:firstLine="420" w:firstLineChars="200"/>
        <w:rPr>
          <w:rFonts w:cs="宋体"/>
          <w:bCs/>
          <w:color w:val="auto"/>
          <w:sz w:val="21"/>
          <w:szCs w:val="21"/>
        </w:rPr>
      </w:pPr>
      <w:r>
        <w:rPr>
          <w:rFonts w:hint="eastAsia" w:cs="宋体"/>
          <w:color w:val="auto"/>
          <w:sz w:val="21"/>
          <w:szCs w:val="21"/>
        </w:rPr>
        <w:t>（2）</w:t>
      </w:r>
      <w:r>
        <w:rPr>
          <w:rFonts w:hint="eastAsia" w:cs="宋体"/>
          <w:bCs/>
          <w:color w:val="auto"/>
          <w:sz w:val="21"/>
          <w:szCs w:val="21"/>
        </w:rPr>
        <w:t>本工程工资性工程款</w:t>
      </w:r>
      <w:r>
        <w:rPr>
          <w:rFonts w:hint="eastAsia" w:cs="宋体"/>
          <w:bCs/>
          <w:color w:val="auto"/>
          <w:sz w:val="21"/>
          <w:szCs w:val="21"/>
          <w:u w:val="single"/>
        </w:rPr>
        <w:t xml:space="preserve">         </w:t>
      </w:r>
      <w:r>
        <w:rPr>
          <w:rFonts w:hint="eastAsia" w:cs="宋体"/>
          <w:bCs/>
          <w:color w:val="auto"/>
          <w:sz w:val="21"/>
          <w:szCs w:val="21"/>
        </w:rPr>
        <w:t>元。</w:t>
      </w:r>
    </w:p>
    <w:p w14:paraId="75FC3BC5">
      <w:pPr>
        <w:adjustRightInd w:val="0"/>
        <w:snapToGrid w:val="0"/>
        <w:spacing w:line="360" w:lineRule="auto"/>
        <w:ind w:firstLine="420" w:firstLineChars="200"/>
        <w:rPr>
          <w:rFonts w:cs="宋体"/>
          <w:bCs/>
          <w:color w:val="auto"/>
          <w:sz w:val="21"/>
          <w:szCs w:val="21"/>
        </w:rPr>
      </w:pPr>
      <w:r>
        <w:rPr>
          <w:rFonts w:hint="eastAsia" w:cs="宋体"/>
          <w:color w:val="auto"/>
          <w:sz w:val="21"/>
          <w:szCs w:val="21"/>
        </w:rPr>
        <w:t>（3）</w:t>
      </w:r>
      <w:r>
        <w:rPr>
          <w:rFonts w:hint="eastAsia" w:cs="宋体"/>
          <w:bCs/>
          <w:color w:val="auto"/>
          <w:sz w:val="21"/>
          <w:szCs w:val="21"/>
        </w:rPr>
        <w:t>发包人于每月25日前将工资性工程进度款转入农民工工资专用账户。</w:t>
      </w:r>
    </w:p>
    <w:p w14:paraId="5B1B2161">
      <w:pPr>
        <w:adjustRightInd w:val="0"/>
        <w:snapToGrid w:val="0"/>
        <w:spacing w:line="360" w:lineRule="auto"/>
        <w:ind w:firstLine="420" w:firstLineChars="200"/>
        <w:rPr>
          <w:rFonts w:cs="宋体"/>
          <w:bCs/>
          <w:color w:val="auto"/>
          <w:sz w:val="21"/>
          <w:szCs w:val="21"/>
        </w:rPr>
      </w:pPr>
      <w:r>
        <w:rPr>
          <w:rFonts w:hint="eastAsia" w:cs="宋体"/>
          <w:color w:val="auto"/>
          <w:sz w:val="21"/>
          <w:szCs w:val="21"/>
        </w:rPr>
        <w:t>（4）</w:t>
      </w:r>
      <w:r>
        <w:rPr>
          <w:rFonts w:hint="eastAsia" w:cs="宋体"/>
          <w:bCs/>
          <w:color w:val="auto"/>
          <w:sz w:val="21"/>
          <w:szCs w:val="21"/>
        </w:rPr>
        <w:t>承包人每月25日前上报本工程农民工工资清单，每月10日前委托开设农民工工资专用账户的银行支付农民工工资。</w:t>
      </w:r>
    </w:p>
    <w:p w14:paraId="6CFC1278">
      <w:pPr>
        <w:adjustRightInd w:val="0"/>
        <w:snapToGrid w:val="0"/>
        <w:spacing w:line="360" w:lineRule="auto"/>
        <w:ind w:firstLine="420" w:firstLineChars="200"/>
        <w:rPr>
          <w:rFonts w:cs="宋体"/>
          <w:b/>
          <w:color w:val="auto"/>
          <w:sz w:val="21"/>
          <w:szCs w:val="21"/>
        </w:rPr>
      </w:pPr>
      <w:r>
        <w:rPr>
          <w:rFonts w:hint="eastAsia" w:cs="宋体"/>
          <w:color w:val="auto"/>
          <w:sz w:val="21"/>
          <w:szCs w:val="21"/>
        </w:rPr>
        <w:t>（5）</w:t>
      </w:r>
      <w:r>
        <w:rPr>
          <w:rFonts w:hint="eastAsia" w:cs="宋体"/>
          <w:bCs/>
          <w:color w:val="auto"/>
          <w:sz w:val="21"/>
          <w:szCs w:val="21"/>
        </w:rPr>
        <w:t>工程竣工后，经项目部农民工维权组确认无农民工工资拖欠后，发、承双方办理农民工工资专用账户撤销手续，农民工工资专用账户余额划至本合同约定的承包人账户。</w:t>
      </w:r>
    </w:p>
    <w:bookmarkEnd w:id="355"/>
    <w:p w14:paraId="101CCD54">
      <w:pPr>
        <w:snapToGrid w:val="0"/>
        <w:spacing w:before="312" w:beforeLines="100" w:after="312" w:afterLines="100" w:line="360" w:lineRule="auto"/>
        <w:outlineLvl w:val="2"/>
        <w:rPr>
          <w:rFonts w:cs="宋体"/>
          <w:color w:val="auto"/>
          <w:sz w:val="21"/>
          <w:szCs w:val="21"/>
        </w:rPr>
      </w:pPr>
      <w:bookmarkStart w:id="526" w:name="_Toc351203645"/>
      <w:bookmarkStart w:id="527" w:name="_Toc292559929"/>
      <w:bookmarkStart w:id="528" w:name="_Toc304295593"/>
      <w:bookmarkStart w:id="529" w:name="_Toc300935015"/>
      <w:bookmarkStart w:id="530" w:name="_Toc297048405"/>
      <w:bookmarkStart w:id="531" w:name="_Toc297120519"/>
      <w:bookmarkStart w:id="532" w:name="_Toc297123564"/>
      <w:bookmarkStart w:id="533" w:name="_Toc292559424"/>
      <w:bookmarkStart w:id="534" w:name="_Toc297216223"/>
      <w:bookmarkStart w:id="535" w:name="_Toc296347218"/>
      <w:bookmarkStart w:id="536" w:name="_Toc296891047"/>
      <w:bookmarkStart w:id="537" w:name="_Toc296891259"/>
      <w:bookmarkStart w:id="538" w:name="_Toc312678053"/>
      <w:bookmarkStart w:id="539" w:name="_Toc296503219"/>
      <w:bookmarkStart w:id="540" w:name="_Toc303539172"/>
      <w:bookmarkStart w:id="541" w:name="_Toc296346720"/>
      <w:bookmarkStart w:id="542" w:name="_Toc296944558"/>
      <w:r>
        <w:rPr>
          <w:rFonts w:hint="eastAsia" w:cs="宋体"/>
          <w:color w:val="auto"/>
          <w:sz w:val="21"/>
          <w:szCs w:val="21"/>
        </w:rPr>
        <w:t>13. 验收和工程试车</w:t>
      </w:r>
      <w:bookmarkEnd w:id="526"/>
    </w:p>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14:paraId="1BE58E58">
      <w:pPr>
        <w:keepNext/>
        <w:keepLines/>
        <w:snapToGrid w:val="0"/>
        <w:spacing w:before="120" w:after="120" w:line="360" w:lineRule="auto"/>
        <w:jc w:val="left"/>
        <w:outlineLvl w:val="2"/>
        <w:rPr>
          <w:rFonts w:cs="宋体"/>
          <w:bCs/>
          <w:color w:val="auto"/>
          <w:sz w:val="21"/>
          <w:szCs w:val="21"/>
        </w:rPr>
      </w:pPr>
      <w:r>
        <w:rPr>
          <w:rFonts w:hint="eastAsia" w:cs="宋体"/>
          <w:bCs/>
          <w:color w:val="auto"/>
          <w:sz w:val="21"/>
          <w:szCs w:val="21"/>
        </w:rPr>
        <w:t>13.1 分部分项工程验收</w:t>
      </w:r>
    </w:p>
    <w:p w14:paraId="1FDBB464">
      <w:pPr>
        <w:adjustRightInd w:val="0"/>
        <w:snapToGrid w:val="0"/>
        <w:spacing w:line="360" w:lineRule="auto"/>
        <w:ind w:firstLine="420" w:firstLineChars="200"/>
        <w:rPr>
          <w:rFonts w:cs="宋体"/>
          <w:color w:val="auto"/>
          <w:sz w:val="21"/>
          <w:szCs w:val="21"/>
        </w:rPr>
      </w:pPr>
      <w:r>
        <w:rPr>
          <w:rFonts w:hint="eastAsia" w:cs="宋体"/>
          <w:color w:val="auto"/>
          <w:sz w:val="21"/>
          <w:szCs w:val="21"/>
        </w:rPr>
        <w:t>13.1.2 监理人不能按时进行验收时，应提前</w:t>
      </w:r>
      <w:r>
        <w:rPr>
          <w:rFonts w:hint="eastAsia" w:cs="宋体"/>
          <w:color w:val="auto"/>
          <w:sz w:val="21"/>
          <w:szCs w:val="21"/>
          <w:u w:val="single"/>
        </w:rPr>
        <w:t>24</w:t>
      </w:r>
      <w:r>
        <w:rPr>
          <w:rFonts w:hint="eastAsia" w:cs="宋体"/>
          <w:color w:val="auto"/>
          <w:sz w:val="21"/>
          <w:szCs w:val="21"/>
        </w:rPr>
        <w:t>小时提交书面延期要求。</w:t>
      </w:r>
    </w:p>
    <w:p w14:paraId="6217234C">
      <w:pPr>
        <w:adjustRightInd w:val="0"/>
        <w:snapToGrid w:val="0"/>
        <w:spacing w:line="360" w:lineRule="auto"/>
        <w:ind w:firstLine="420" w:firstLineChars="200"/>
        <w:rPr>
          <w:rFonts w:cs="宋体"/>
          <w:b/>
          <w:color w:val="auto"/>
          <w:sz w:val="21"/>
          <w:szCs w:val="21"/>
        </w:rPr>
      </w:pPr>
      <w:r>
        <w:rPr>
          <w:rFonts w:hint="eastAsia" w:cs="宋体"/>
          <w:color w:val="auto"/>
          <w:sz w:val="21"/>
          <w:szCs w:val="21"/>
        </w:rPr>
        <w:t>关于延期最长不得超过：</w:t>
      </w:r>
      <w:r>
        <w:rPr>
          <w:rFonts w:hint="eastAsia" w:cs="宋体"/>
          <w:color w:val="auto"/>
          <w:sz w:val="21"/>
          <w:szCs w:val="21"/>
          <w:u w:val="single"/>
        </w:rPr>
        <w:t>48</w:t>
      </w:r>
      <w:r>
        <w:rPr>
          <w:rFonts w:hint="eastAsia" w:cs="宋体"/>
          <w:color w:val="auto"/>
          <w:sz w:val="21"/>
          <w:szCs w:val="21"/>
        </w:rPr>
        <w:t>小时。</w:t>
      </w:r>
    </w:p>
    <w:p w14:paraId="0634453B">
      <w:pPr>
        <w:keepNext/>
        <w:keepLines/>
        <w:snapToGrid w:val="0"/>
        <w:spacing w:before="120" w:after="120" w:line="360" w:lineRule="auto"/>
        <w:ind w:firstLine="420" w:firstLineChars="200"/>
        <w:outlineLvl w:val="3"/>
        <w:rPr>
          <w:rFonts w:cs="宋体"/>
          <w:bCs/>
          <w:color w:val="auto"/>
          <w:sz w:val="21"/>
          <w:szCs w:val="21"/>
        </w:rPr>
      </w:pPr>
      <w:bookmarkStart w:id="543" w:name="_Toc292559428"/>
      <w:bookmarkStart w:id="544" w:name="_Toc292559933"/>
      <w:bookmarkStart w:id="545" w:name="_Toc296891051"/>
      <w:bookmarkStart w:id="546" w:name="_Toc296891263"/>
      <w:bookmarkStart w:id="547" w:name="_Toc296503223"/>
      <w:bookmarkStart w:id="548" w:name="_Toc297216224"/>
      <w:bookmarkStart w:id="549" w:name="_Toc312678056"/>
      <w:bookmarkStart w:id="550" w:name="_Toc300935016"/>
      <w:bookmarkStart w:id="551" w:name="_Toc304295596"/>
      <w:bookmarkStart w:id="552" w:name="_Toc296346724"/>
      <w:bookmarkStart w:id="553" w:name="_Toc296944562"/>
      <w:bookmarkStart w:id="554" w:name="_Toc297048409"/>
      <w:bookmarkStart w:id="555" w:name="_Toc297123565"/>
      <w:bookmarkStart w:id="556" w:name="_Toc303539173"/>
      <w:bookmarkStart w:id="557" w:name="_Toc297120523"/>
      <w:bookmarkStart w:id="558" w:name="_Toc296347222"/>
      <w:bookmarkStart w:id="559" w:name="_Toc267251471"/>
      <w:bookmarkStart w:id="560" w:name="_Toc267251472"/>
      <w:bookmarkStart w:id="561" w:name="_Toc267251474"/>
      <w:bookmarkStart w:id="562" w:name="_Toc267251476"/>
      <w:bookmarkStart w:id="563" w:name="_Toc267251470"/>
      <w:bookmarkStart w:id="564" w:name="_Toc267251473"/>
      <w:bookmarkStart w:id="565" w:name="_Toc267251475"/>
      <w:r>
        <w:rPr>
          <w:rFonts w:hint="eastAsia" w:cs="宋体"/>
          <w:bCs/>
          <w:color w:val="auto"/>
          <w:sz w:val="21"/>
          <w:szCs w:val="21"/>
        </w:rPr>
        <w:t>13.2 竣工验收</w:t>
      </w:r>
    </w:p>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14:paraId="6B249645">
      <w:pPr>
        <w:adjustRightInd w:val="0"/>
        <w:snapToGrid w:val="0"/>
        <w:spacing w:line="360" w:lineRule="auto"/>
        <w:ind w:firstLine="420" w:firstLineChars="200"/>
        <w:rPr>
          <w:rFonts w:cs="宋体"/>
          <w:color w:val="auto"/>
          <w:sz w:val="21"/>
          <w:szCs w:val="21"/>
        </w:rPr>
      </w:pPr>
      <w:bookmarkStart w:id="566" w:name="_Toc280868704"/>
      <w:bookmarkStart w:id="567" w:name="_Toc280868705"/>
      <w:bookmarkStart w:id="568" w:name="_Toc280868706"/>
      <w:bookmarkStart w:id="569" w:name="_Toc280868707"/>
      <w:bookmarkStart w:id="570" w:name="_Toc280868708"/>
      <w:bookmarkStart w:id="571" w:name="_Toc280868709"/>
      <w:r>
        <w:rPr>
          <w:rFonts w:hint="eastAsia" w:cs="宋体"/>
          <w:color w:val="auto"/>
          <w:sz w:val="21"/>
          <w:szCs w:val="21"/>
        </w:rPr>
        <w:t>13.2.2 竣工验收程序</w:t>
      </w:r>
    </w:p>
    <w:bookmarkEnd w:id="566"/>
    <w:p w14:paraId="65DE5113">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关于竣工验收程序的约定：</w:t>
      </w:r>
      <w:r>
        <w:rPr>
          <w:rFonts w:hint="eastAsia" w:cs="宋体"/>
          <w:color w:val="auto"/>
          <w:sz w:val="21"/>
          <w:szCs w:val="21"/>
          <w:u w:val="single"/>
        </w:rPr>
        <w:t>执行通用条款</w:t>
      </w:r>
      <w:r>
        <w:rPr>
          <w:rFonts w:hint="eastAsia" w:cs="宋体"/>
          <w:color w:val="auto"/>
          <w:sz w:val="21"/>
          <w:szCs w:val="21"/>
        </w:rPr>
        <w:t>。</w:t>
      </w:r>
    </w:p>
    <w:p w14:paraId="6E416AF6">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发包人不按照本项约定组织竣工验收、颁发工程接收证书的违约金的计算方法：</w:t>
      </w:r>
      <w:r>
        <w:rPr>
          <w:rFonts w:hint="eastAsia" w:cs="宋体"/>
          <w:color w:val="auto"/>
          <w:sz w:val="21"/>
          <w:szCs w:val="21"/>
          <w:u w:val="single"/>
        </w:rPr>
        <w:t>执行通用条款</w:t>
      </w:r>
      <w:r>
        <w:rPr>
          <w:rFonts w:hint="eastAsia" w:cs="宋体"/>
          <w:color w:val="auto"/>
          <w:sz w:val="21"/>
          <w:szCs w:val="21"/>
        </w:rPr>
        <w:t>。</w:t>
      </w:r>
    </w:p>
    <w:bookmarkEnd w:id="567"/>
    <w:p w14:paraId="627097EA">
      <w:pPr>
        <w:adjustRightInd w:val="0"/>
        <w:snapToGrid w:val="0"/>
        <w:spacing w:line="360" w:lineRule="auto"/>
        <w:ind w:firstLine="420" w:firstLineChars="200"/>
        <w:rPr>
          <w:rFonts w:cs="宋体"/>
          <w:color w:val="auto"/>
          <w:sz w:val="21"/>
          <w:szCs w:val="21"/>
        </w:rPr>
      </w:pPr>
      <w:r>
        <w:rPr>
          <w:rFonts w:hint="eastAsia" w:cs="宋体"/>
          <w:color w:val="auto"/>
          <w:sz w:val="21"/>
          <w:szCs w:val="21"/>
        </w:rPr>
        <w:t>13.2.5 移交、接收全部与部分工程</w:t>
      </w:r>
    </w:p>
    <w:bookmarkEnd w:id="568"/>
    <w:p w14:paraId="1E915B76">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承包人向发包人移交工程的期限：</w:t>
      </w:r>
      <w:r>
        <w:rPr>
          <w:rFonts w:hint="eastAsia" w:cs="宋体"/>
          <w:color w:val="auto"/>
          <w:sz w:val="21"/>
          <w:szCs w:val="21"/>
          <w:u w:val="single"/>
        </w:rPr>
        <w:t>颁发工程接收证书后7天内完成工程的移交</w:t>
      </w:r>
      <w:r>
        <w:rPr>
          <w:rFonts w:hint="eastAsia" w:cs="宋体"/>
          <w:color w:val="auto"/>
          <w:sz w:val="21"/>
          <w:szCs w:val="21"/>
        </w:rPr>
        <w:t>。</w:t>
      </w:r>
    </w:p>
    <w:p w14:paraId="25911C3F">
      <w:pPr>
        <w:keepNext w:val="0"/>
        <w:keepLines w:val="0"/>
        <w:widowControl/>
        <w:suppressLineNumbers w:val="0"/>
        <w:jc w:val="left"/>
        <w:rPr>
          <w:u w:val="single"/>
        </w:rPr>
      </w:pPr>
      <w:r>
        <w:rPr>
          <w:rFonts w:hint="eastAsia" w:cs="宋体"/>
          <w:color w:val="auto"/>
          <w:sz w:val="21"/>
          <w:szCs w:val="21"/>
        </w:rPr>
        <w:t>发包人未按本合同约定接收全部或部分工程的，违约金的计算方法为：</w:t>
      </w:r>
      <w:r>
        <w:rPr>
          <w:rFonts w:hint="eastAsia" w:ascii="宋体" w:hAnsi="宋体" w:eastAsia="宋体" w:cs="宋体"/>
          <w:color w:val="000000"/>
          <w:kern w:val="0"/>
          <w:sz w:val="21"/>
          <w:szCs w:val="21"/>
          <w:u w:val="single"/>
          <w:lang w:val="en-US" w:eastAsia="zh-CN" w:bidi="ar"/>
        </w:rPr>
        <w:t xml:space="preserve">因发包人原因导致工 </w:t>
      </w:r>
    </w:p>
    <w:p w14:paraId="7796037B">
      <w:pPr>
        <w:keepNext w:val="0"/>
        <w:keepLines w:val="0"/>
        <w:widowControl/>
        <w:suppressLineNumbers w:val="0"/>
        <w:jc w:val="left"/>
        <w:rPr>
          <w:rFonts w:cs="宋体"/>
          <w:color w:val="auto"/>
          <w:sz w:val="21"/>
          <w:szCs w:val="21"/>
          <w:u w:val="single"/>
        </w:rPr>
      </w:pPr>
      <w:r>
        <w:rPr>
          <w:rFonts w:hint="eastAsia" w:ascii="宋体" w:hAnsi="宋体" w:eastAsia="宋体" w:cs="宋体"/>
          <w:color w:val="000000"/>
          <w:kern w:val="0"/>
          <w:sz w:val="21"/>
          <w:szCs w:val="21"/>
          <w:u w:val="single"/>
          <w:lang w:val="en-US" w:eastAsia="zh-CN" w:bidi="ar"/>
        </w:rPr>
        <w:t>期延误的，承包人可不支付违约金</w:t>
      </w:r>
      <w:r>
        <w:rPr>
          <w:rFonts w:hint="eastAsia" w:cs="宋体"/>
          <w:color w:val="auto"/>
          <w:sz w:val="21"/>
          <w:szCs w:val="21"/>
        </w:rPr>
        <w:t>。</w:t>
      </w:r>
    </w:p>
    <w:bookmarkEnd w:id="569"/>
    <w:p w14:paraId="17877BB0">
      <w:pPr>
        <w:keepNext w:val="0"/>
        <w:keepLines w:val="0"/>
        <w:widowControl/>
        <w:suppressLineNumbers w:val="0"/>
        <w:ind w:firstLine="210" w:firstLineChars="100"/>
        <w:jc w:val="left"/>
        <w:rPr>
          <w:rFonts w:cs="宋体"/>
          <w:color w:val="auto"/>
          <w:sz w:val="21"/>
          <w:szCs w:val="21"/>
          <w:u w:val="single"/>
        </w:rPr>
      </w:pPr>
      <w:r>
        <w:rPr>
          <w:rFonts w:hint="eastAsia" w:cs="宋体"/>
          <w:color w:val="auto"/>
          <w:sz w:val="21"/>
          <w:szCs w:val="21"/>
        </w:rPr>
        <w:t>承包人未按时移交工程的，违约金的计算方法为：</w:t>
      </w:r>
      <w:r>
        <w:rPr>
          <w:rFonts w:hint="eastAsia" w:ascii="宋体" w:hAnsi="宋体" w:eastAsia="宋体" w:cs="宋体"/>
          <w:color w:val="000000"/>
          <w:kern w:val="0"/>
          <w:sz w:val="21"/>
          <w:szCs w:val="21"/>
          <w:u w:val="single"/>
          <w:lang w:val="en-US" w:eastAsia="zh-CN" w:bidi="ar"/>
        </w:rPr>
        <w:t>按合同工期，每延期竣工一天，承包人支付发包人合同价款的千分之一的违约金；工程延期10日以上的，每日按合同价款千分之三向发包人支付违约金；延期竣工20日以上的，发包人有权解除合同，并追究连带损失</w:t>
      </w:r>
      <w:r>
        <w:rPr>
          <w:rFonts w:hint="eastAsia" w:cs="宋体"/>
          <w:color w:val="auto"/>
          <w:sz w:val="21"/>
          <w:szCs w:val="21"/>
        </w:rPr>
        <w:t>。</w:t>
      </w:r>
    </w:p>
    <w:p w14:paraId="15C46FC6">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13.3 工程试车</w:t>
      </w:r>
    </w:p>
    <w:bookmarkEnd w:id="570"/>
    <w:p w14:paraId="540131C9">
      <w:pPr>
        <w:adjustRightInd w:val="0"/>
        <w:snapToGrid w:val="0"/>
        <w:spacing w:line="360" w:lineRule="auto"/>
        <w:ind w:firstLine="420" w:firstLineChars="200"/>
        <w:rPr>
          <w:rFonts w:cs="宋体"/>
          <w:color w:val="auto"/>
          <w:sz w:val="21"/>
          <w:szCs w:val="21"/>
        </w:rPr>
      </w:pPr>
      <w:r>
        <w:rPr>
          <w:rFonts w:hint="eastAsia" w:cs="宋体"/>
          <w:color w:val="auto"/>
          <w:sz w:val="21"/>
          <w:szCs w:val="21"/>
        </w:rPr>
        <w:t>13.3.1 试车程序</w:t>
      </w:r>
    </w:p>
    <w:p w14:paraId="089F78DF">
      <w:pPr>
        <w:keepNext w:val="0"/>
        <w:keepLines w:val="0"/>
        <w:widowControl/>
        <w:suppressLineNumbers w:val="0"/>
        <w:ind w:firstLine="420" w:firstLineChars="200"/>
        <w:jc w:val="left"/>
        <w:rPr>
          <w:rFonts w:cs="宋体"/>
          <w:color w:val="auto"/>
          <w:sz w:val="21"/>
          <w:szCs w:val="21"/>
          <w:u w:val="single"/>
        </w:rPr>
      </w:pPr>
      <w:r>
        <w:rPr>
          <w:rFonts w:hint="eastAsia" w:cs="宋体"/>
          <w:color w:val="auto"/>
          <w:sz w:val="21"/>
          <w:szCs w:val="21"/>
        </w:rPr>
        <w:t>工程试车内容：</w:t>
      </w:r>
      <w:r>
        <w:rPr>
          <w:rFonts w:hint="eastAsia" w:ascii="宋体" w:hAnsi="宋体" w:eastAsia="宋体" w:cs="宋体"/>
          <w:color w:val="000000"/>
          <w:kern w:val="0"/>
          <w:sz w:val="21"/>
          <w:szCs w:val="21"/>
          <w:u w:val="single"/>
          <w:lang w:val="en-US" w:eastAsia="zh-CN" w:bidi="ar"/>
        </w:rPr>
        <w:t>执行通用合同条款</w:t>
      </w:r>
      <w:r>
        <w:rPr>
          <w:rFonts w:hint="eastAsia" w:cs="宋体"/>
          <w:color w:val="auto"/>
          <w:sz w:val="21"/>
          <w:szCs w:val="21"/>
        </w:rPr>
        <w:t>。</w:t>
      </w:r>
    </w:p>
    <w:p w14:paraId="3F21A07C">
      <w:pPr>
        <w:adjustRightInd w:val="0"/>
        <w:snapToGrid w:val="0"/>
        <w:spacing w:line="360" w:lineRule="auto"/>
        <w:ind w:firstLine="420" w:firstLineChars="200"/>
        <w:rPr>
          <w:rFonts w:cs="宋体"/>
          <w:color w:val="auto"/>
          <w:sz w:val="21"/>
          <w:szCs w:val="21"/>
        </w:rPr>
      </w:pPr>
      <w:r>
        <w:rPr>
          <w:rFonts w:hint="eastAsia" w:cs="宋体"/>
          <w:color w:val="auto"/>
          <w:sz w:val="21"/>
          <w:szCs w:val="21"/>
        </w:rPr>
        <w:t>（1）单机无负荷试车费用由</w:t>
      </w:r>
      <w:r>
        <w:rPr>
          <w:rFonts w:hint="eastAsia" w:cs="宋体"/>
          <w:color w:val="auto"/>
          <w:sz w:val="21"/>
          <w:szCs w:val="21"/>
          <w:u w:val="single"/>
        </w:rPr>
        <w:t>试车消耗的生产性原材料由发包人承担；试车其他费用（包括试车所需水电油等费用）由承包人在投标报价中综合考虑并</w:t>
      </w:r>
      <w:r>
        <w:rPr>
          <w:rFonts w:hint="eastAsia" w:cs="宋体"/>
          <w:color w:val="auto"/>
          <w:sz w:val="21"/>
          <w:szCs w:val="21"/>
        </w:rPr>
        <w:t>承担；</w:t>
      </w:r>
    </w:p>
    <w:p w14:paraId="51AC5DD1">
      <w:pPr>
        <w:adjustRightInd w:val="0"/>
        <w:snapToGrid w:val="0"/>
        <w:spacing w:line="360" w:lineRule="auto"/>
        <w:ind w:firstLine="420" w:firstLineChars="200"/>
        <w:rPr>
          <w:rFonts w:cs="宋体"/>
          <w:color w:val="auto"/>
          <w:sz w:val="21"/>
          <w:szCs w:val="21"/>
        </w:rPr>
      </w:pPr>
      <w:r>
        <w:rPr>
          <w:rFonts w:hint="eastAsia" w:cs="宋体"/>
          <w:color w:val="auto"/>
          <w:sz w:val="21"/>
          <w:szCs w:val="21"/>
        </w:rPr>
        <w:t>（2）无负荷联动试车费用由</w:t>
      </w:r>
      <w:r>
        <w:rPr>
          <w:rFonts w:hint="eastAsia" w:cs="宋体"/>
          <w:color w:val="auto"/>
          <w:sz w:val="21"/>
          <w:szCs w:val="21"/>
          <w:u w:val="single"/>
        </w:rPr>
        <w:t>试车消耗的生产性原材料由发包人承担；试车其他费用（包括试车所需水电油等费用）由承包人在投标报价中综合考虑并</w:t>
      </w:r>
      <w:r>
        <w:rPr>
          <w:rFonts w:hint="eastAsia" w:cs="宋体"/>
          <w:color w:val="auto"/>
          <w:sz w:val="21"/>
          <w:szCs w:val="21"/>
        </w:rPr>
        <w:t>承担。</w:t>
      </w:r>
    </w:p>
    <w:p w14:paraId="06372CA8">
      <w:pPr>
        <w:adjustRightInd w:val="0"/>
        <w:snapToGrid w:val="0"/>
        <w:spacing w:line="360" w:lineRule="auto"/>
        <w:ind w:firstLine="420" w:firstLineChars="200"/>
        <w:rPr>
          <w:rFonts w:cs="宋体"/>
          <w:color w:val="auto"/>
          <w:sz w:val="21"/>
          <w:szCs w:val="21"/>
        </w:rPr>
      </w:pPr>
      <w:r>
        <w:rPr>
          <w:rFonts w:hint="eastAsia" w:cs="宋体"/>
          <w:color w:val="auto"/>
          <w:sz w:val="21"/>
          <w:szCs w:val="21"/>
        </w:rPr>
        <w:t>13.3.3 投料试车</w:t>
      </w:r>
    </w:p>
    <w:p w14:paraId="796AAF93">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关于投料试车相关事项的约定：</w:t>
      </w:r>
      <w:r>
        <w:rPr>
          <w:rFonts w:hint="eastAsia" w:cs="宋体"/>
          <w:color w:val="auto"/>
          <w:sz w:val="21"/>
          <w:szCs w:val="21"/>
          <w:u w:val="single"/>
        </w:rPr>
        <w:t>执行通用条款</w:t>
      </w:r>
      <w:r>
        <w:rPr>
          <w:rFonts w:hint="eastAsia" w:cs="宋体"/>
          <w:color w:val="auto"/>
          <w:sz w:val="21"/>
          <w:szCs w:val="21"/>
        </w:rPr>
        <w:t>。</w:t>
      </w:r>
    </w:p>
    <w:p w14:paraId="50EE0D60">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13.6 竣工退场</w:t>
      </w:r>
    </w:p>
    <w:p w14:paraId="31972FAE">
      <w:pPr>
        <w:adjustRightInd w:val="0"/>
        <w:snapToGrid w:val="0"/>
        <w:spacing w:line="360" w:lineRule="auto"/>
        <w:ind w:firstLine="420" w:firstLineChars="200"/>
        <w:rPr>
          <w:rFonts w:cs="宋体"/>
          <w:color w:val="auto"/>
          <w:sz w:val="21"/>
          <w:szCs w:val="21"/>
        </w:rPr>
      </w:pPr>
      <w:r>
        <w:rPr>
          <w:rFonts w:hint="eastAsia" w:cs="宋体"/>
          <w:color w:val="auto"/>
          <w:sz w:val="21"/>
          <w:szCs w:val="21"/>
        </w:rPr>
        <w:t>13.6.1 竣工退场</w:t>
      </w:r>
    </w:p>
    <w:p w14:paraId="6ADF81CC">
      <w:pPr>
        <w:keepNext w:val="0"/>
        <w:keepLines w:val="0"/>
        <w:widowControl/>
        <w:suppressLineNumbers w:val="0"/>
        <w:ind w:firstLine="420" w:firstLineChars="200"/>
        <w:jc w:val="left"/>
        <w:rPr>
          <w:rFonts w:cs="宋体"/>
          <w:color w:val="auto"/>
          <w:sz w:val="21"/>
          <w:szCs w:val="21"/>
        </w:rPr>
      </w:pPr>
      <w:r>
        <w:rPr>
          <w:rFonts w:hint="eastAsia" w:cs="宋体"/>
          <w:color w:val="auto"/>
          <w:sz w:val="21"/>
          <w:szCs w:val="21"/>
        </w:rPr>
        <w:t>承包人完成竣工退场的期限：</w:t>
      </w:r>
      <w:r>
        <w:rPr>
          <w:rFonts w:hint="eastAsia" w:ascii="宋体" w:hAnsi="宋体" w:eastAsia="宋体" w:cs="宋体"/>
          <w:color w:val="000000"/>
          <w:kern w:val="0"/>
          <w:sz w:val="21"/>
          <w:szCs w:val="21"/>
          <w:u w:val="single"/>
          <w:lang w:val="en-US" w:eastAsia="zh-CN" w:bidi="ar"/>
        </w:rPr>
        <w:t>承包人应在全部验收合格、颁发工程接收证书7日内退场，并清理自行修建的临时设施及自有机具和物品，由此支付的费用由承包人承担</w:t>
      </w:r>
      <w:r>
        <w:rPr>
          <w:rFonts w:hint="eastAsia" w:cs="宋体"/>
          <w:color w:val="auto"/>
          <w:sz w:val="21"/>
          <w:szCs w:val="21"/>
        </w:rPr>
        <w:t>。</w:t>
      </w:r>
    </w:p>
    <w:p w14:paraId="15C75CEA">
      <w:pPr>
        <w:snapToGrid w:val="0"/>
        <w:spacing w:before="312" w:beforeLines="100" w:after="312" w:afterLines="100" w:line="360" w:lineRule="auto"/>
        <w:outlineLvl w:val="2"/>
        <w:rPr>
          <w:rFonts w:cs="宋体"/>
          <w:color w:val="auto"/>
          <w:sz w:val="21"/>
          <w:szCs w:val="21"/>
        </w:rPr>
      </w:pPr>
      <w:bookmarkStart w:id="572" w:name="_Toc351203646"/>
      <w:r>
        <w:rPr>
          <w:rFonts w:hint="eastAsia" w:cs="宋体"/>
          <w:color w:val="auto"/>
          <w:sz w:val="21"/>
          <w:szCs w:val="21"/>
        </w:rPr>
        <w:t>14. 竣工结算</w:t>
      </w:r>
      <w:bookmarkEnd w:id="572"/>
    </w:p>
    <w:p w14:paraId="0055B4DD">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14.1 竣工结算申请</w:t>
      </w:r>
    </w:p>
    <w:p w14:paraId="0DCA349F">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承包人提交竣工结算申请单的期限：</w:t>
      </w:r>
      <w:r>
        <w:rPr>
          <w:rFonts w:hint="eastAsia" w:cs="宋体"/>
          <w:color w:val="auto"/>
          <w:sz w:val="21"/>
          <w:szCs w:val="21"/>
          <w:u w:val="single"/>
        </w:rPr>
        <w:t>承包人应在工程竣工验收合格后28天内</w:t>
      </w:r>
      <w:r>
        <w:rPr>
          <w:rFonts w:hint="eastAsia" w:cs="宋体"/>
          <w:color w:val="auto"/>
          <w:sz w:val="21"/>
          <w:szCs w:val="21"/>
        </w:rPr>
        <w:t>。</w:t>
      </w:r>
    </w:p>
    <w:p w14:paraId="248D92D5">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竣工结算申请单应包括的内容：</w:t>
      </w:r>
      <w:r>
        <w:rPr>
          <w:rFonts w:hint="eastAsia" w:cs="宋体"/>
          <w:color w:val="auto"/>
          <w:sz w:val="21"/>
          <w:szCs w:val="21"/>
          <w:u w:val="single"/>
        </w:rPr>
        <w:t>执行通用条款</w:t>
      </w:r>
      <w:r>
        <w:rPr>
          <w:rFonts w:hint="eastAsia" w:cs="宋体"/>
          <w:color w:val="auto"/>
          <w:sz w:val="21"/>
          <w:szCs w:val="21"/>
        </w:rPr>
        <w:t>。</w:t>
      </w:r>
    </w:p>
    <w:p w14:paraId="1A856449">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14.2 竣工结算审核</w:t>
      </w:r>
    </w:p>
    <w:p w14:paraId="1074247C">
      <w:pPr>
        <w:keepNext w:val="0"/>
        <w:keepLines w:val="0"/>
        <w:widowControl/>
        <w:suppressLineNumbers w:val="0"/>
        <w:ind w:firstLine="420" w:firstLineChars="200"/>
        <w:jc w:val="left"/>
        <w:rPr>
          <w:rFonts w:cs="宋体"/>
          <w:color w:val="auto"/>
          <w:sz w:val="21"/>
          <w:szCs w:val="21"/>
        </w:rPr>
      </w:pPr>
      <w:r>
        <w:rPr>
          <w:rFonts w:hint="eastAsia" w:cs="宋体"/>
          <w:color w:val="auto"/>
          <w:sz w:val="21"/>
          <w:szCs w:val="21"/>
        </w:rPr>
        <w:t>发包人审批竣工付款申请单的期限：</w:t>
      </w:r>
      <w:r>
        <w:rPr>
          <w:rFonts w:hint="eastAsia" w:ascii="宋体" w:hAnsi="宋体" w:eastAsia="宋体" w:cs="宋体"/>
          <w:color w:val="auto"/>
          <w:sz w:val="21"/>
          <w:szCs w:val="21"/>
          <w:u w:val="single"/>
          <w:lang w:val="en-US" w:eastAsia="zh-CN"/>
        </w:rPr>
        <w:t>工程竣工验收合格后28天内</w:t>
      </w:r>
      <w:r>
        <w:rPr>
          <w:rFonts w:hint="eastAsia" w:cs="宋体"/>
          <w:color w:val="auto"/>
          <w:sz w:val="21"/>
          <w:szCs w:val="21"/>
        </w:rPr>
        <w:t>。</w:t>
      </w:r>
    </w:p>
    <w:p w14:paraId="31DD66EF">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发包人完成竣工付款的期限：</w:t>
      </w:r>
      <w:r>
        <w:rPr>
          <w:rFonts w:hint="eastAsia" w:ascii="宋体" w:hAnsi="宋体" w:eastAsia="宋体" w:cs="宋体"/>
          <w:color w:val="auto"/>
          <w:sz w:val="21"/>
          <w:szCs w:val="21"/>
          <w:u w:val="single"/>
          <w:lang w:val="en-US" w:eastAsia="zh-CN"/>
        </w:rPr>
        <w:t>工程竣工验收合格后28天内</w:t>
      </w:r>
      <w:r>
        <w:rPr>
          <w:rFonts w:hint="eastAsia" w:cs="宋体"/>
          <w:color w:val="auto"/>
          <w:sz w:val="21"/>
          <w:szCs w:val="21"/>
        </w:rPr>
        <w:t>。</w:t>
      </w:r>
    </w:p>
    <w:p w14:paraId="6A81D854">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关于竣工付款证书异议部分复核的方式和程序：</w:t>
      </w:r>
      <w:r>
        <w:rPr>
          <w:rFonts w:hint="eastAsia" w:cs="宋体"/>
          <w:color w:val="auto"/>
          <w:sz w:val="21"/>
          <w:szCs w:val="21"/>
          <w:u w:val="single"/>
        </w:rPr>
        <w:t>执行通用条款</w:t>
      </w:r>
      <w:r>
        <w:rPr>
          <w:rFonts w:hint="eastAsia" w:cs="宋体"/>
          <w:color w:val="auto"/>
          <w:sz w:val="21"/>
          <w:szCs w:val="21"/>
        </w:rPr>
        <w:t>。</w:t>
      </w:r>
    </w:p>
    <w:p w14:paraId="3298CF73">
      <w:pPr>
        <w:adjustRightInd w:val="0"/>
        <w:snapToGrid w:val="0"/>
        <w:spacing w:line="360" w:lineRule="auto"/>
        <w:ind w:firstLine="420" w:firstLineChars="200"/>
        <w:rPr>
          <w:rFonts w:cs="宋体"/>
          <w:color w:val="auto"/>
          <w:sz w:val="21"/>
          <w:szCs w:val="21"/>
        </w:rPr>
      </w:pPr>
      <w:r>
        <w:rPr>
          <w:rFonts w:hint="eastAsia" w:cs="宋体"/>
          <w:color w:val="auto"/>
          <w:sz w:val="21"/>
          <w:szCs w:val="21"/>
        </w:rPr>
        <w:t>14.4 最终结清</w:t>
      </w:r>
    </w:p>
    <w:p w14:paraId="7354D96C">
      <w:pPr>
        <w:adjustRightInd w:val="0"/>
        <w:snapToGrid w:val="0"/>
        <w:spacing w:line="360" w:lineRule="auto"/>
        <w:ind w:firstLine="420" w:firstLineChars="200"/>
        <w:rPr>
          <w:rFonts w:cs="宋体"/>
          <w:color w:val="auto"/>
          <w:sz w:val="21"/>
          <w:szCs w:val="21"/>
        </w:rPr>
      </w:pPr>
      <w:r>
        <w:rPr>
          <w:rFonts w:hint="eastAsia" w:cs="宋体"/>
          <w:color w:val="auto"/>
          <w:sz w:val="21"/>
          <w:szCs w:val="21"/>
        </w:rPr>
        <w:t>14.4.1 最终结清申请单</w:t>
      </w:r>
    </w:p>
    <w:p w14:paraId="194ACE4A">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承包人提交最终结清申请单的份数：</w:t>
      </w:r>
      <w:r>
        <w:rPr>
          <w:rFonts w:hint="eastAsia" w:cs="宋体"/>
          <w:color w:val="auto"/>
          <w:sz w:val="21"/>
          <w:szCs w:val="21"/>
          <w:u w:val="single"/>
        </w:rPr>
        <w:t xml:space="preserve"> </w:t>
      </w:r>
      <w:r>
        <w:rPr>
          <w:rFonts w:hint="eastAsia" w:cs="宋体"/>
          <w:color w:val="auto"/>
          <w:sz w:val="21"/>
          <w:szCs w:val="21"/>
          <w:u w:val="single"/>
          <w:lang w:val="en-US" w:eastAsia="zh-CN"/>
        </w:rPr>
        <w:t>4份</w:t>
      </w:r>
      <w:r>
        <w:rPr>
          <w:rFonts w:hint="eastAsia" w:cs="宋体"/>
          <w:color w:val="auto"/>
          <w:sz w:val="21"/>
          <w:szCs w:val="21"/>
          <w:u w:val="single"/>
        </w:rPr>
        <w:t xml:space="preserve"> </w:t>
      </w:r>
      <w:r>
        <w:rPr>
          <w:rFonts w:hint="eastAsia" w:cs="宋体"/>
          <w:color w:val="auto"/>
          <w:sz w:val="21"/>
          <w:szCs w:val="21"/>
        </w:rPr>
        <w:t>。</w:t>
      </w:r>
    </w:p>
    <w:p w14:paraId="5E221EA6">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承包人提交最终结算申请单的期限：</w:t>
      </w:r>
      <w:r>
        <w:rPr>
          <w:rFonts w:hint="eastAsia" w:cs="宋体"/>
          <w:color w:val="auto"/>
          <w:sz w:val="21"/>
          <w:szCs w:val="21"/>
          <w:u w:val="single"/>
        </w:rPr>
        <w:t>缺陷责任期终止证书颁发后7天内</w:t>
      </w:r>
      <w:r>
        <w:rPr>
          <w:rFonts w:hint="eastAsia" w:cs="宋体"/>
          <w:color w:val="auto"/>
          <w:sz w:val="21"/>
          <w:szCs w:val="21"/>
        </w:rPr>
        <w:t xml:space="preserve">。 </w:t>
      </w:r>
    </w:p>
    <w:p w14:paraId="15EAA028">
      <w:pPr>
        <w:adjustRightInd w:val="0"/>
        <w:snapToGrid w:val="0"/>
        <w:spacing w:line="360" w:lineRule="auto"/>
        <w:ind w:firstLine="420" w:firstLineChars="200"/>
        <w:rPr>
          <w:rFonts w:cs="宋体"/>
          <w:color w:val="auto"/>
          <w:sz w:val="21"/>
          <w:szCs w:val="21"/>
        </w:rPr>
      </w:pPr>
      <w:r>
        <w:rPr>
          <w:rFonts w:hint="eastAsia" w:cs="宋体"/>
          <w:color w:val="auto"/>
          <w:sz w:val="21"/>
          <w:szCs w:val="21"/>
        </w:rPr>
        <w:t>14.4.2 最终结清证书和支付</w:t>
      </w:r>
    </w:p>
    <w:p w14:paraId="511254B6">
      <w:pPr>
        <w:adjustRightInd w:val="0"/>
        <w:snapToGrid w:val="0"/>
        <w:spacing w:line="360" w:lineRule="auto"/>
        <w:ind w:firstLine="420" w:firstLineChars="200"/>
        <w:rPr>
          <w:rFonts w:cs="宋体"/>
          <w:color w:val="auto"/>
          <w:sz w:val="21"/>
          <w:szCs w:val="21"/>
        </w:rPr>
      </w:pPr>
      <w:r>
        <w:rPr>
          <w:rFonts w:hint="eastAsia" w:cs="宋体"/>
          <w:color w:val="auto"/>
          <w:sz w:val="21"/>
          <w:szCs w:val="21"/>
        </w:rPr>
        <w:t>（1）发包人完成最终结清申请单的审批并颁发最终结清证书的期限：</w:t>
      </w:r>
      <w:r>
        <w:rPr>
          <w:rFonts w:hint="eastAsia" w:cs="宋体"/>
          <w:color w:val="auto"/>
          <w:sz w:val="21"/>
          <w:szCs w:val="21"/>
          <w:u w:val="single"/>
        </w:rPr>
        <w:t>收到承包人提交的最终结清申请单后</w:t>
      </w:r>
      <w:r>
        <w:rPr>
          <w:rFonts w:hint="eastAsia" w:cs="宋体"/>
          <w:color w:val="auto"/>
          <w:sz w:val="21"/>
          <w:szCs w:val="21"/>
          <w:u w:val="single"/>
          <w:lang w:val="en-US" w:eastAsia="zh-CN"/>
        </w:rPr>
        <w:t>28</w:t>
      </w:r>
      <w:r>
        <w:rPr>
          <w:rFonts w:hint="eastAsia" w:cs="宋体"/>
          <w:color w:val="auto"/>
          <w:sz w:val="21"/>
          <w:szCs w:val="21"/>
          <w:u w:val="single"/>
        </w:rPr>
        <w:t>天内</w:t>
      </w:r>
      <w:r>
        <w:rPr>
          <w:rFonts w:hint="eastAsia" w:cs="宋体"/>
          <w:color w:val="auto"/>
          <w:sz w:val="21"/>
          <w:szCs w:val="21"/>
        </w:rPr>
        <w:t>。</w:t>
      </w:r>
    </w:p>
    <w:p w14:paraId="063C734A">
      <w:pPr>
        <w:adjustRightInd w:val="0"/>
        <w:snapToGrid w:val="0"/>
        <w:spacing w:line="360" w:lineRule="auto"/>
        <w:ind w:firstLine="420" w:firstLineChars="200"/>
        <w:rPr>
          <w:rFonts w:cs="宋体"/>
          <w:color w:val="auto"/>
          <w:sz w:val="21"/>
          <w:szCs w:val="21"/>
        </w:rPr>
      </w:pPr>
      <w:r>
        <w:rPr>
          <w:rFonts w:hint="eastAsia" w:cs="宋体"/>
          <w:color w:val="auto"/>
          <w:sz w:val="21"/>
          <w:szCs w:val="21"/>
        </w:rPr>
        <w:t>（2）发包人完成支付的期限：</w:t>
      </w:r>
      <w:r>
        <w:rPr>
          <w:rFonts w:hint="eastAsia" w:cs="宋体"/>
          <w:color w:val="auto"/>
          <w:sz w:val="21"/>
          <w:szCs w:val="21"/>
          <w:u w:val="single"/>
        </w:rPr>
        <w:t>颁发最终结清证书后</w:t>
      </w:r>
      <w:r>
        <w:rPr>
          <w:rFonts w:hint="eastAsia" w:cs="宋体"/>
          <w:color w:val="auto"/>
          <w:sz w:val="21"/>
          <w:szCs w:val="21"/>
          <w:u w:val="single"/>
          <w:lang w:val="en-US" w:eastAsia="zh-CN"/>
        </w:rPr>
        <w:t>14</w:t>
      </w:r>
      <w:r>
        <w:rPr>
          <w:rFonts w:hint="eastAsia" w:cs="宋体"/>
          <w:color w:val="auto"/>
          <w:sz w:val="21"/>
          <w:szCs w:val="21"/>
          <w:u w:val="single"/>
        </w:rPr>
        <w:t>天内完成支付</w:t>
      </w:r>
      <w:r>
        <w:rPr>
          <w:rFonts w:hint="eastAsia" w:cs="宋体"/>
          <w:color w:val="auto"/>
          <w:sz w:val="21"/>
          <w:szCs w:val="21"/>
        </w:rPr>
        <w:t>。</w:t>
      </w:r>
    </w:p>
    <w:bookmarkEnd w:id="559"/>
    <w:bookmarkEnd w:id="560"/>
    <w:bookmarkEnd w:id="561"/>
    <w:bookmarkEnd w:id="562"/>
    <w:bookmarkEnd w:id="563"/>
    <w:bookmarkEnd w:id="564"/>
    <w:bookmarkEnd w:id="565"/>
    <w:bookmarkEnd w:id="571"/>
    <w:p w14:paraId="23D383BA">
      <w:pPr>
        <w:snapToGrid w:val="0"/>
        <w:spacing w:before="312" w:beforeLines="100" w:after="312" w:afterLines="100" w:line="360" w:lineRule="auto"/>
        <w:outlineLvl w:val="2"/>
        <w:rPr>
          <w:rFonts w:cs="宋体"/>
          <w:color w:val="auto"/>
          <w:sz w:val="21"/>
          <w:szCs w:val="21"/>
        </w:rPr>
      </w:pPr>
      <w:bookmarkStart w:id="573" w:name="_Toc351203647"/>
      <w:bookmarkStart w:id="574" w:name="_Toc267251483"/>
      <w:bookmarkStart w:id="575" w:name="_Toc267251482"/>
      <w:bookmarkStart w:id="576" w:name="_Toc267251484"/>
      <w:bookmarkStart w:id="577" w:name="_Toc267251485"/>
      <w:bookmarkStart w:id="578" w:name="_Toc267251489"/>
      <w:bookmarkStart w:id="579" w:name="_Toc267251488"/>
      <w:bookmarkStart w:id="580" w:name="_Toc267251486"/>
      <w:bookmarkStart w:id="581" w:name="_Toc267251490"/>
      <w:bookmarkStart w:id="582" w:name="_Toc267251499"/>
      <w:bookmarkStart w:id="583" w:name="_Toc267251501"/>
      <w:bookmarkStart w:id="584" w:name="_Toc267251503"/>
      <w:bookmarkStart w:id="585" w:name="_Toc267251502"/>
      <w:bookmarkStart w:id="586" w:name="_Toc267251496"/>
      <w:bookmarkStart w:id="587" w:name="_Toc267251493"/>
      <w:bookmarkStart w:id="588" w:name="_Toc267251494"/>
      <w:bookmarkStart w:id="589" w:name="_Toc267251495"/>
      <w:bookmarkStart w:id="590" w:name="_Toc267251492"/>
      <w:bookmarkStart w:id="591" w:name="_Toc267251497"/>
      <w:bookmarkStart w:id="592" w:name="_Toc267251491"/>
      <w:bookmarkStart w:id="593" w:name="_Toc267251498"/>
      <w:bookmarkStart w:id="594" w:name="_Toc267251504"/>
      <w:bookmarkStart w:id="595" w:name="_Toc267251506"/>
      <w:bookmarkStart w:id="596" w:name="_Toc267251507"/>
      <w:bookmarkStart w:id="597" w:name="_Toc267251508"/>
      <w:bookmarkStart w:id="598" w:name="_Toc267251515"/>
      <w:bookmarkStart w:id="599" w:name="_Toc267251510"/>
      <w:bookmarkStart w:id="600" w:name="_Toc267251514"/>
      <w:bookmarkStart w:id="601" w:name="_Toc267251511"/>
      <w:bookmarkStart w:id="602" w:name="_Toc267251513"/>
      <w:bookmarkStart w:id="603" w:name="_Toc267251509"/>
      <w:r>
        <w:rPr>
          <w:rFonts w:hint="eastAsia" w:cs="宋体"/>
          <w:color w:val="auto"/>
          <w:sz w:val="21"/>
          <w:szCs w:val="21"/>
        </w:rPr>
        <w:t>15. 缺陷责任期与保修</w:t>
      </w:r>
      <w:bookmarkEnd w:id="573"/>
    </w:p>
    <w:p w14:paraId="5B5A7FE7">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15.2 缺陷责任期</w:t>
      </w:r>
      <w:bookmarkEnd w:id="574"/>
    </w:p>
    <w:p w14:paraId="17D3C50A">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缺陷责任期的具体期限：</w:t>
      </w:r>
      <w:r>
        <w:rPr>
          <w:rFonts w:hint="eastAsia" w:cs="宋体"/>
          <w:color w:val="auto"/>
          <w:sz w:val="21"/>
          <w:szCs w:val="21"/>
          <w:u w:val="single"/>
          <w:lang w:val="en-US" w:eastAsia="zh-CN"/>
        </w:rPr>
        <w:t>12个月</w:t>
      </w:r>
      <w:r>
        <w:rPr>
          <w:rFonts w:hint="eastAsia" w:cs="宋体"/>
          <w:color w:val="auto"/>
          <w:sz w:val="21"/>
          <w:szCs w:val="21"/>
        </w:rPr>
        <w:t>。</w:t>
      </w:r>
    </w:p>
    <w:p w14:paraId="659FD163">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15.3 质量保证金</w:t>
      </w:r>
    </w:p>
    <w:p w14:paraId="722BB6B6">
      <w:pPr>
        <w:keepNext w:val="0"/>
        <w:keepLines w:val="0"/>
        <w:widowControl/>
        <w:suppressLineNumbers w:val="0"/>
        <w:ind w:firstLine="420" w:firstLineChars="200"/>
        <w:jc w:val="left"/>
        <w:rPr>
          <w:rFonts w:cs="宋体"/>
          <w:color w:val="auto"/>
          <w:sz w:val="21"/>
          <w:szCs w:val="21"/>
        </w:rPr>
      </w:pPr>
      <w:r>
        <w:rPr>
          <w:rFonts w:hint="eastAsia" w:cs="宋体"/>
          <w:color w:val="auto"/>
          <w:sz w:val="21"/>
          <w:szCs w:val="21"/>
        </w:rPr>
        <w:t>关于是否扣留质量保证金的约定：</w:t>
      </w:r>
      <w:r>
        <w:rPr>
          <w:rFonts w:hint="eastAsia" w:cs="宋体"/>
          <w:color w:val="000000"/>
          <w:kern w:val="0"/>
          <w:sz w:val="21"/>
          <w:szCs w:val="21"/>
          <w:u w:val="single"/>
          <w:lang w:val="en-US" w:eastAsia="zh-CN" w:bidi="ar"/>
        </w:rPr>
        <w:t>/</w:t>
      </w:r>
      <w:r>
        <w:rPr>
          <w:rFonts w:hint="eastAsia" w:cs="宋体"/>
          <w:color w:val="auto"/>
          <w:sz w:val="21"/>
          <w:szCs w:val="21"/>
          <w:u w:val="single"/>
        </w:rPr>
        <w:t xml:space="preserve"> </w:t>
      </w:r>
      <w:r>
        <w:rPr>
          <w:rFonts w:hint="eastAsia" w:cs="宋体"/>
          <w:color w:val="auto"/>
          <w:sz w:val="21"/>
          <w:szCs w:val="21"/>
        </w:rPr>
        <w:t>。在工程项目竣工前，承包人按专用合同条款第3.7款提供履约保证金的，发包人不得同时预留工程质量保证金。</w:t>
      </w:r>
    </w:p>
    <w:p w14:paraId="2B9F7DBF">
      <w:pPr>
        <w:adjustRightInd w:val="0"/>
        <w:snapToGrid w:val="0"/>
        <w:spacing w:line="360" w:lineRule="auto"/>
        <w:ind w:firstLine="420" w:firstLineChars="200"/>
        <w:rPr>
          <w:rFonts w:cs="宋体"/>
          <w:color w:val="auto"/>
          <w:sz w:val="21"/>
          <w:szCs w:val="21"/>
        </w:rPr>
      </w:pPr>
      <w:r>
        <w:rPr>
          <w:rFonts w:hint="eastAsia" w:cs="宋体"/>
          <w:color w:val="auto"/>
          <w:sz w:val="21"/>
          <w:szCs w:val="21"/>
        </w:rPr>
        <w:t>15.3.1 承包人提供质量保证金的方式</w:t>
      </w:r>
    </w:p>
    <w:p w14:paraId="34E08C5C">
      <w:pPr>
        <w:adjustRightInd w:val="0"/>
        <w:snapToGrid w:val="0"/>
        <w:spacing w:line="360" w:lineRule="auto"/>
        <w:ind w:firstLine="420" w:firstLineChars="200"/>
        <w:rPr>
          <w:rFonts w:cs="宋体"/>
          <w:color w:val="auto"/>
          <w:sz w:val="21"/>
          <w:szCs w:val="21"/>
        </w:rPr>
      </w:pPr>
      <w:r>
        <w:rPr>
          <w:rFonts w:hint="eastAsia" w:cs="宋体"/>
          <w:color w:val="auto"/>
          <w:sz w:val="21"/>
          <w:szCs w:val="21"/>
        </w:rPr>
        <w:t>质量保证金可采用以下任意一种方式：</w:t>
      </w:r>
    </w:p>
    <w:p w14:paraId="751CE6BE">
      <w:pPr>
        <w:keepNext w:val="0"/>
        <w:keepLines w:val="0"/>
        <w:widowControl/>
        <w:suppressLineNumbers w:val="0"/>
        <w:ind w:firstLine="420" w:firstLineChars="200"/>
        <w:jc w:val="left"/>
        <w:rPr>
          <w:rFonts w:cs="宋体"/>
          <w:color w:val="auto"/>
          <w:sz w:val="21"/>
          <w:szCs w:val="21"/>
        </w:rPr>
      </w:pPr>
      <w:r>
        <w:rPr>
          <w:rFonts w:hint="eastAsia" w:cs="宋体"/>
          <w:color w:val="auto"/>
          <w:sz w:val="21"/>
          <w:szCs w:val="21"/>
        </w:rPr>
        <w:t>（1）由银行业金融机构、工程担保公司、保险机构出具银行保函、工程质量保险等担保方式，担保/保证金额为：</w:t>
      </w:r>
      <w:r>
        <w:rPr>
          <w:rFonts w:hint="eastAsia" w:ascii="宋体" w:hAnsi="宋体" w:eastAsia="宋体" w:cs="宋体"/>
          <w:color w:val="000000"/>
          <w:kern w:val="0"/>
          <w:sz w:val="21"/>
          <w:szCs w:val="21"/>
          <w:u w:val="single"/>
          <w:lang w:val="en-US" w:eastAsia="zh-CN" w:bidi="ar"/>
        </w:rPr>
        <w:t>3%的工程款。如使用金融机构保函形式提供担保，必须是见索即付保函</w:t>
      </w:r>
      <w:r>
        <w:rPr>
          <w:rFonts w:hint="eastAsia" w:cs="宋体"/>
          <w:color w:val="auto"/>
          <w:sz w:val="21"/>
          <w:szCs w:val="21"/>
        </w:rPr>
        <w:t>；</w:t>
      </w:r>
    </w:p>
    <w:p w14:paraId="36BC276C">
      <w:pPr>
        <w:keepNext w:val="0"/>
        <w:keepLines w:val="0"/>
        <w:widowControl/>
        <w:suppressLineNumbers w:val="0"/>
        <w:ind w:firstLine="420" w:firstLineChars="200"/>
        <w:jc w:val="left"/>
        <w:rPr>
          <w:rFonts w:cs="宋体"/>
          <w:color w:val="auto"/>
          <w:sz w:val="21"/>
          <w:szCs w:val="21"/>
        </w:rPr>
      </w:pPr>
      <w:r>
        <w:rPr>
          <w:rFonts w:hint="eastAsia" w:cs="宋体"/>
          <w:color w:val="auto"/>
          <w:sz w:val="21"/>
          <w:szCs w:val="21"/>
        </w:rPr>
        <w:t>（2）</w:t>
      </w:r>
      <w:r>
        <w:rPr>
          <w:rFonts w:hint="eastAsia" w:ascii="宋体" w:hAnsi="宋体" w:eastAsia="宋体" w:cs="宋体"/>
          <w:color w:val="000000"/>
          <w:kern w:val="0"/>
          <w:sz w:val="21"/>
          <w:szCs w:val="21"/>
          <w:u w:val="single"/>
          <w:lang w:val="en-US" w:eastAsia="zh-CN" w:bidi="ar"/>
        </w:rPr>
        <w:t>3 %的工程款</w:t>
      </w:r>
      <w:r>
        <w:rPr>
          <w:rFonts w:hint="eastAsia" w:cs="宋体"/>
          <w:color w:val="auto"/>
          <w:sz w:val="21"/>
          <w:szCs w:val="21"/>
        </w:rPr>
        <w:t>；</w:t>
      </w:r>
    </w:p>
    <w:p w14:paraId="3F77C8FA">
      <w:pPr>
        <w:keepNext w:val="0"/>
        <w:keepLines w:val="0"/>
        <w:widowControl/>
        <w:suppressLineNumbers w:val="0"/>
        <w:ind w:firstLine="420" w:firstLineChars="200"/>
        <w:jc w:val="left"/>
        <w:rPr>
          <w:rFonts w:cs="宋体"/>
          <w:color w:val="auto"/>
          <w:sz w:val="21"/>
          <w:szCs w:val="21"/>
        </w:rPr>
      </w:pPr>
      <w:r>
        <w:rPr>
          <w:rFonts w:hint="eastAsia" w:cs="宋体"/>
          <w:color w:val="auto"/>
          <w:sz w:val="21"/>
          <w:szCs w:val="21"/>
        </w:rPr>
        <w:t>（3）其他方式：</w:t>
      </w:r>
      <w:r>
        <w:rPr>
          <w:rFonts w:hint="eastAsia" w:ascii="宋体" w:hAnsi="宋体" w:eastAsia="宋体" w:cs="宋体"/>
          <w:color w:val="000000"/>
          <w:kern w:val="0"/>
          <w:sz w:val="21"/>
          <w:szCs w:val="21"/>
          <w:u w:val="single"/>
          <w:lang w:val="en-US" w:eastAsia="zh-CN" w:bidi="ar"/>
        </w:rPr>
        <w:t>支票或汇票或本票或保险或银行转账或现金：金额为3%的工程款。如使用金融机构保函形式提供担保，必须是见索即付保函</w:t>
      </w:r>
      <w:r>
        <w:rPr>
          <w:rFonts w:hint="eastAsia" w:cs="宋体"/>
          <w:color w:val="auto"/>
          <w:sz w:val="21"/>
          <w:szCs w:val="21"/>
        </w:rPr>
        <w:t>。</w:t>
      </w:r>
    </w:p>
    <w:p w14:paraId="104852FD">
      <w:pPr>
        <w:adjustRightInd w:val="0"/>
        <w:snapToGrid w:val="0"/>
        <w:spacing w:line="360" w:lineRule="auto"/>
        <w:ind w:firstLine="420" w:firstLineChars="200"/>
        <w:rPr>
          <w:rFonts w:cs="宋体"/>
          <w:color w:val="auto"/>
          <w:sz w:val="21"/>
          <w:szCs w:val="21"/>
        </w:rPr>
      </w:pPr>
      <w:r>
        <w:rPr>
          <w:rFonts w:hint="eastAsia" w:cs="宋体"/>
          <w:color w:val="auto"/>
          <w:sz w:val="21"/>
          <w:szCs w:val="21"/>
        </w:rPr>
        <w:t xml:space="preserve">15.3.2 质量保证金的扣留 </w:t>
      </w:r>
    </w:p>
    <w:p w14:paraId="7F8EF8FC">
      <w:pPr>
        <w:adjustRightInd w:val="0"/>
        <w:snapToGrid w:val="0"/>
        <w:spacing w:line="360" w:lineRule="auto"/>
        <w:ind w:firstLine="420" w:firstLineChars="200"/>
        <w:rPr>
          <w:rFonts w:cs="宋体"/>
          <w:color w:val="auto"/>
          <w:sz w:val="21"/>
          <w:szCs w:val="21"/>
        </w:rPr>
      </w:pPr>
      <w:r>
        <w:rPr>
          <w:rFonts w:hint="eastAsia" w:cs="宋体"/>
          <w:color w:val="auto"/>
          <w:sz w:val="21"/>
          <w:szCs w:val="21"/>
        </w:rPr>
        <w:t>质量保证金的扣留采取以下第</w:t>
      </w:r>
      <w:r>
        <w:rPr>
          <w:rFonts w:hint="eastAsia" w:cs="宋体"/>
          <w:color w:val="auto"/>
          <w:sz w:val="21"/>
          <w:szCs w:val="21"/>
          <w:u w:val="single"/>
        </w:rPr>
        <w:t xml:space="preserve"> </w:t>
      </w:r>
      <w:r>
        <w:rPr>
          <w:rFonts w:hint="eastAsia" w:cs="宋体"/>
          <w:color w:val="auto"/>
          <w:sz w:val="21"/>
          <w:szCs w:val="21"/>
          <w:u w:val="single"/>
          <w:lang w:val="en-US" w:eastAsia="zh-CN"/>
        </w:rPr>
        <w:t>2</w:t>
      </w:r>
      <w:r>
        <w:rPr>
          <w:rFonts w:hint="eastAsia" w:cs="宋体"/>
          <w:color w:val="auto"/>
          <w:sz w:val="21"/>
          <w:szCs w:val="21"/>
        </w:rPr>
        <w:t>种方式：</w:t>
      </w:r>
    </w:p>
    <w:p w14:paraId="44F8C4A8">
      <w:pPr>
        <w:adjustRightInd w:val="0"/>
        <w:snapToGrid w:val="0"/>
        <w:spacing w:line="360" w:lineRule="auto"/>
        <w:ind w:firstLine="420" w:firstLineChars="200"/>
        <w:rPr>
          <w:rFonts w:cs="宋体"/>
          <w:color w:val="auto"/>
          <w:sz w:val="21"/>
          <w:szCs w:val="21"/>
        </w:rPr>
      </w:pPr>
      <w:r>
        <w:rPr>
          <w:rFonts w:hint="eastAsia" w:cs="宋体"/>
          <w:color w:val="auto"/>
          <w:sz w:val="21"/>
          <w:szCs w:val="21"/>
        </w:rPr>
        <w:t>（1）在支付工程进度款时逐次扣留，在此情形下，质量保证金的计算基数不包括预付款的支付、扣回以及价格调整的金额；</w:t>
      </w:r>
    </w:p>
    <w:p w14:paraId="05CEF955">
      <w:pPr>
        <w:adjustRightInd w:val="0"/>
        <w:snapToGrid w:val="0"/>
        <w:spacing w:line="360" w:lineRule="auto"/>
        <w:ind w:firstLine="420" w:firstLineChars="200"/>
        <w:rPr>
          <w:rFonts w:cs="宋体"/>
          <w:color w:val="auto"/>
          <w:sz w:val="21"/>
          <w:szCs w:val="21"/>
        </w:rPr>
      </w:pPr>
      <w:r>
        <w:rPr>
          <w:rFonts w:hint="eastAsia" w:cs="宋体"/>
          <w:color w:val="auto"/>
          <w:sz w:val="21"/>
          <w:szCs w:val="21"/>
        </w:rPr>
        <w:t>（2）工程竣工结算时一次性扣留质量保证金；</w:t>
      </w:r>
    </w:p>
    <w:p w14:paraId="45837895">
      <w:pPr>
        <w:adjustRightInd w:val="0"/>
        <w:snapToGrid w:val="0"/>
        <w:spacing w:line="360" w:lineRule="auto"/>
        <w:ind w:firstLine="420" w:firstLineChars="200"/>
        <w:rPr>
          <w:rFonts w:cs="宋体"/>
          <w:color w:val="auto"/>
          <w:sz w:val="21"/>
          <w:szCs w:val="21"/>
        </w:rPr>
      </w:pPr>
      <w:r>
        <w:rPr>
          <w:rFonts w:hint="eastAsia" w:cs="宋体"/>
          <w:color w:val="auto"/>
          <w:sz w:val="21"/>
          <w:szCs w:val="21"/>
        </w:rPr>
        <w:t>（3）其他扣留方式：</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741E3CBA">
      <w:pPr>
        <w:adjustRightInd w:val="0"/>
        <w:snapToGrid w:val="0"/>
        <w:spacing w:line="360" w:lineRule="auto"/>
        <w:ind w:firstLine="420" w:firstLineChars="200"/>
        <w:rPr>
          <w:rFonts w:cs="宋体"/>
          <w:color w:val="auto"/>
          <w:sz w:val="21"/>
          <w:szCs w:val="21"/>
        </w:rPr>
      </w:pPr>
      <w:r>
        <w:rPr>
          <w:rFonts w:hint="eastAsia" w:cs="宋体"/>
          <w:color w:val="auto"/>
          <w:sz w:val="21"/>
          <w:szCs w:val="21"/>
        </w:rPr>
        <w:t>关于质量保证金的补充约定：</w:t>
      </w:r>
      <w:r>
        <w:rPr>
          <w:rFonts w:hint="eastAsia" w:ascii="宋体" w:hAnsi="宋体" w:eastAsia="宋体" w:cs="宋体"/>
          <w:color w:val="000000"/>
          <w:kern w:val="0"/>
          <w:sz w:val="21"/>
          <w:szCs w:val="21"/>
          <w:u w:val="single"/>
          <w:lang w:val="en-US" w:eastAsia="zh-CN" w:bidi="ar"/>
        </w:rPr>
        <w:t>在缺陷责任期满后一次性退还本金和银行同期存款利息</w:t>
      </w:r>
      <w:r>
        <w:rPr>
          <w:rFonts w:hint="eastAsia" w:cs="宋体"/>
          <w:color w:val="auto"/>
          <w:sz w:val="21"/>
          <w:szCs w:val="21"/>
        </w:rPr>
        <w:t>。</w:t>
      </w:r>
    </w:p>
    <w:bookmarkEnd w:id="575"/>
    <w:bookmarkEnd w:id="576"/>
    <w:p w14:paraId="7D636A3A">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15.4 保修</w:t>
      </w:r>
    </w:p>
    <w:bookmarkEnd w:id="577"/>
    <w:p w14:paraId="5A43CF65">
      <w:pPr>
        <w:adjustRightInd w:val="0"/>
        <w:snapToGrid w:val="0"/>
        <w:spacing w:line="360" w:lineRule="auto"/>
        <w:ind w:firstLine="420" w:firstLineChars="200"/>
        <w:rPr>
          <w:rFonts w:cs="宋体"/>
          <w:color w:val="auto"/>
          <w:sz w:val="21"/>
          <w:szCs w:val="21"/>
        </w:rPr>
      </w:pPr>
      <w:r>
        <w:rPr>
          <w:rFonts w:hint="eastAsia" w:cs="宋体"/>
          <w:color w:val="auto"/>
          <w:sz w:val="21"/>
          <w:szCs w:val="21"/>
        </w:rPr>
        <w:t>15.4.1 保修责任</w:t>
      </w:r>
    </w:p>
    <w:p w14:paraId="768AEC1F">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工程保修期为：</w:t>
      </w:r>
      <w:r>
        <w:rPr>
          <w:rFonts w:hint="eastAsia" w:cs="宋体"/>
          <w:color w:val="auto"/>
          <w:sz w:val="21"/>
          <w:szCs w:val="21"/>
          <w:u w:val="single"/>
        </w:rPr>
        <w:t>执行《工程质量保修书》规定</w:t>
      </w:r>
      <w:r>
        <w:rPr>
          <w:rFonts w:hint="eastAsia" w:cs="宋体"/>
          <w:color w:val="auto"/>
          <w:sz w:val="21"/>
          <w:szCs w:val="21"/>
        </w:rPr>
        <w:t>。</w:t>
      </w:r>
    </w:p>
    <w:p w14:paraId="3F0512C2">
      <w:pPr>
        <w:adjustRightInd w:val="0"/>
        <w:snapToGrid w:val="0"/>
        <w:spacing w:line="360" w:lineRule="auto"/>
        <w:ind w:firstLine="420" w:firstLineChars="200"/>
        <w:rPr>
          <w:rFonts w:cs="宋体"/>
          <w:color w:val="auto"/>
          <w:sz w:val="21"/>
          <w:szCs w:val="21"/>
        </w:rPr>
      </w:pPr>
      <w:r>
        <w:rPr>
          <w:rFonts w:hint="eastAsia" w:cs="宋体"/>
          <w:color w:val="auto"/>
          <w:sz w:val="21"/>
          <w:szCs w:val="21"/>
        </w:rPr>
        <w:t>15.4.3 修复通知</w:t>
      </w:r>
    </w:p>
    <w:p w14:paraId="59F04BA7">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承包人收到保修通知并到达工程现场的合理时间：</w:t>
      </w:r>
      <w:r>
        <w:rPr>
          <w:rFonts w:hint="eastAsia" w:cs="宋体"/>
          <w:color w:val="auto"/>
          <w:sz w:val="21"/>
          <w:szCs w:val="21"/>
          <w:u w:val="single"/>
          <w:lang w:val="en-US" w:eastAsia="zh-CN"/>
        </w:rPr>
        <w:t>24小时</w:t>
      </w:r>
      <w:r>
        <w:rPr>
          <w:rFonts w:hint="eastAsia" w:cs="宋体"/>
          <w:color w:val="auto"/>
          <w:sz w:val="21"/>
          <w:szCs w:val="21"/>
          <w:u w:val="single"/>
        </w:rPr>
        <w:t xml:space="preserve">  </w:t>
      </w:r>
      <w:r>
        <w:rPr>
          <w:rFonts w:hint="eastAsia" w:cs="宋体"/>
          <w:color w:val="auto"/>
          <w:sz w:val="21"/>
          <w:szCs w:val="21"/>
        </w:rPr>
        <w:t>。</w:t>
      </w:r>
    </w:p>
    <w:bookmarkEnd w:id="578"/>
    <w:bookmarkEnd w:id="579"/>
    <w:bookmarkEnd w:id="580"/>
    <w:bookmarkEnd w:id="581"/>
    <w:p w14:paraId="22B4BE84">
      <w:pPr>
        <w:snapToGrid w:val="0"/>
        <w:spacing w:before="312" w:beforeLines="100" w:after="312" w:afterLines="100" w:line="360" w:lineRule="auto"/>
        <w:outlineLvl w:val="2"/>
        <w:rPr>
          <w:rFonts w:cs="宋体"/>
          <w:color w:val="auto"/>
          <w:sz w:val="21"/>
          <w:szCs w:val="21"/>
        </w:rPr>
      </w:pPr>
      <w:bookmarkStart w:id="604" w:name="_Toc351203648"/>
      <w:bookmarkStart w:id="605" w:name="_Toc280868717"/>
      <w:bookmarkStart w:id="606" w:name="_Toc280868718"/>
      <w:r>
        <w:rPr>
          <w:rFonts w:hint="eastAsia" w:cs="宋体"/>
          <w:color w:val="auto"/>
          <w:sz w:val="21"/>
          <w:szCs w:val="21"/>
        </w:rPr>
        <w:t>16. 违约</w:t>
      </w:r>
      <w:bookmarkEnd w:id="604"/>
    </w:p>
    <w:p w14:paraId="00943F70">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16.1 发包人违约</w:t>
      </w:r>
    </w:p>
    <w:p w14:paraId="3906A2C8">
      <w:pPr>
        <w:adjustRightInd w:val="0"/>
        <w:snapToGrid w:val="0"/>
        <w:spacing w:line="360" w:lineRule="auto"/>
        <w:ind w:firstLine="420" w:firstLineChars="200"/>
        <w:rPr>
          <w:rFonts w:cs="宋体"/>
          <w:color w:val="auto"/>
          <w:sz w:val="21"/>
          <w:szCs w:val="21"/>
        </w:rPr>
      </w:pPr>
      <w:r>
        <w:rPr>
          <w:rFonts w:hint="eastAsia" w:cs="宋体"/>
          <w:color w:val="auto"/>
          <w:sz w:val="21"/>
          <w:szCs w:val="21"/>
        </w:rPr>
        <w:t>16.1.1 发包人违约的情形</w:t>
      </w:r>
    </w:p>
    <w:p w14:paraId="0D25DA8B">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发包人违约的其他情形：</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67391C50">
      <w:pPr>
        <w:adjustRightInd w:val="0"/>
        <w:snapToGrid w:val="0"/>
        <w:spacing w:line="360" w:lineRule="auto"/>
        <w:ind w:firstLine="420" w:firstLineChars="200"/>
        <w:rPr>
          <w:rFonts w:cs="宋体"/>
          <w:color w:val="auto"/>
          <w:sz w:val="21"/>
          <w:szCs w:val="21"/>
        </w:rPr>
      </w:pPr>
      <w:r>
        <w:rPr>
          <w:rFonts w:hint="eastAsia" w:cs="宋体"/>
          <w:color w:val="auto"/>
          <w:sz w:val="21"/>
          <w:szCs w:val="21"/>
        </w:rPr>
        <w:t>16.1.2 发包人违约的责任</w:t>
      </w:r>
    </w:p>
    <w:p w14:paraId="29B880FB">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发包人违约责任的承担方式和计算方法：</w:t>
      </w:r>
    </w:p>
    <w:p w14:paraId="0AB617A8">
      <w:pPr>
        <w:keepNext w:val="0"/>
        <w:keepLines w:val="0"/>
        <w:widowControl/>
        <w:suppressLineNumbers w:val="0"/>
        <w:jc w:val="left"/>
        <w:rPr>
          <w:rFonts w:cs="宋体"/>
          <w:color w:val="auto"/>
          <w:sz w:val="21"/>
          <w:szCs w:val="21"/>
        </w:rPr>
      </w:pPr>
      <w:r>
        <w:rPr>
          <w:rFonts w:hint="eastAsia" w:cs="宋体"/>
          <w:color w:val="auto"/>
          <w:sz w:val="21"/>
          <w:szCs w:val="21"/>
        </w:rPr>
        <w:t>（1）因发包人原因未能在计划开工日期前7天内下达开工通知的违约责任：</w:t>
      </w:r>
      <w:r>
        <w:rPr>
          <w:rFonts w:hint="eastAsia" w:ascii="宋体" w:hAnsi="宋体" w:eastAsia="宋体" w:cs="宋体"/>
          <w:color w:val="000000"/>
          <w:kern w:val="0"/>
          <w:sz w:val="21"/>
          <w:szCs w:val="21"/>
          <w:u w:val="single"/>
          <w:lang w:val="en-US" w:eastAsia="zh-CN" w:bidi="ar"/>
        </w:rPr>
        <w:t>双方另行确定</w:t>
      </w:r>
      <w:r>
        <w:rPr>
          <w:rFonts w:hint="eastAsia" w:cs="宋体"/>
          <w:color w:val="auto"/>
          <w:sz w:val="21"/>
          <w:szCs w:val="21"/>
        </w:rPr>
        <w:t>。</w:t>
      </w:r>
    </w:p>
    <w:p w14:paraId="48E7199B">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（2）因发包人原因未能按合同约定支付合同价款的违约责任：</w:t>
      </w:r>
      <w:r>
        <w:rPr>
          <w:rFonts w:hint="eastAsia" w:ascii="宋体" w:hAnsi="宋体" w:eastAsia="宋体" w:cs="宋体"/>
          <w:color w:val="000000"/>
          <w:kern w:val="0"/>
          <w:sz w:val="21"/>
          <w:szCs w:val="21"/>
          <w:u w:val="single"/>
          <w:lang w:val="en-US" w:eastAsia="zh-CN" w:bidi="ar"/>
        </w:rPr>
        <w:t>双方另行确定</w:t>
      </w:r>
      <w:r>
        <w:rPr>
          <w:rFonts w:hint="eastAsia" w:cs="宋体"/>
          <w:color w:val="auto"/>
          <w:sz w:val="21"/>
          <w:szCs w:val="21"/>
        </w:rPr>
        <w:t>。</w:t>
      </w:r>
    </w:p>
    <w:p w14:paraId="6BA2544A">
      <w:pPr>
        <w:adjustRightInd w:val="0"/>
        <w:snapToGrid w:val="0"/>
        <w:spacing w:line="360" w:lineRule="auto"/>
        <w:ind w:firstLine="420" w:firstLineChars="200"/>
        <w:rPr>
          <w:rFonts w:cs="宋体"/>
          <w:b/>
          <w:color w:val="auto"/>
          <w:sz w:val="21"/>
          <w:szCs w:val="21"/>
          <w:u w:val="single"/>
        </w:rPr>
      </w:pPr>
      <w:r>
        <w:rPr>
          <w:rFonts w:hint="eastAsia" w:cs="宋体"/>
          <w:color w:val="auto"/>
          <w:sz w:val="21"/>
          <w:szCs w:val="21"/>
        </w:rPr>
        <w:t>（3）发包人违反第10.1款〔变更的范围〕第（2）项约定，自行实施被取消的工作或转由他人实施的违约责任：</w:t>
      </w:r>
      <w:r>
        <w:rPr>
          <w:rFonts w:hint="eastAsia" w:ascii="宋体" w:hAnsi="宋体" w:eastAsia="宋体" w:cs="宋体"/>
          <w:color w:val="000000"/>
          <w:kern w:val="0"/>
          <w:sz w:val="21"/>
          <w:szCs w:val="21"/>
          <w:u w:val="single"/>
          <w:lang w:val="en-US" w:eastAsia="zh-CN" w:bidi="ar"/>
        </w:rPr>
        <w:t>双方另行确定</w:t>
      </w:r>
      <w:r>
        <w:rPr>
          <w:rFonts w:hint="eastAsia" w:cs="宋体"/>
          <w:color w:val="auto"/>
          <w:sz w:val="21"/>
          <w:szCs w:val="21"/>
        </w:rPr>
        <w:t>。</w:t>
      </w:r>
    </w:p>
    <w:p w14:paraId="318A35CD">
      <w:pPr>
        <w:adjustRightInd w:val="0"/>
        <w:snapToGrid w:val="0"/>
        <w:spacing w:line="360" w:lineRule="auto"/>
        <w:ind w:firstLine="420" w:firstLineChars="200"/>
        <w:rPr>
          <w:rFonts w:cs="宋体"/>
          <w:color w:val="auto"/>
          <w:sz w:val="21"/>
          <w:szCs w:val="21"/>
        </w:rPr>
      </w:pPr>
      <w:r>
        <w:rPr>
          <w:rFonts w:hint="eastAsia" w:cs="宋体"/>
          <w:color w:val="auto"/>
          <w:sz w:val="21"/>
          <w:szCs w:val="21"/>
        </w:rPr>
        <w:t>（4）发包人提供的材料、工程设备的规格、数量或质量不符合合同约定，或因发包人原因导致交货日期延误或交货地点变更等情况的违约责任：</w:t>
      </w:r>
      <w:r>
        <w:rPr>
          <w:rFonts w:hint="eastAsia" w:ascii="宋体" w:hAnsi="宋体" w:eastAsia="宋体" w:cs="宋体"/>
          <w:color w:val="000000"/>
          <w:kern w:val="0"/>
          <w:sz w:val="21"/>
          <w:szCs w:val="21"/>
          <w:u w:val="single"/>
          <w:lang w:val="en-US" w:eastAsia="zh-CN" w:bidi="ar"/>
        </w:rPr>
        <w:t>双方另行确定</w:t>
      </w:r>
      <w:r>
        <w:rPr>
          <w:rFonts w:hint="eastAsia" w:cs="宋体"/>
          <w:color w:val="auto"/>
          <w:sz w:val="21"/>
          <w:szCs w:val="21"/>
        </w:rPr>
        <w:t>。</w:t>
      </w:r>
    </w:p>
    <w:p w14:paraId="1B4DBC1C">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（5）因发包人违反合同约定造成暂停施工的违约责任：</w:t>
      </w:r>
      <w:r>
        <w:rPr>
          <w:rFonts w:hint="eastAsia" w:ascii="宋体" w:hAnsi="宋体" w:eastAsia="宋体" w:cs="宋体"/>
          <w:color w:val="000000"/>
          <w:kern w:val="0"/>
          <w:sz w:val="21"/>
          <w:szCs w:val="21"/>
          <w:u w:val="single"/>
          <w:lang w:val="en-US" w:eastAsia="zh-CN" w:bidi="ar"/>
        </w:rPr>
        <w:t>双方另行确定</w:t>
      </w:r>
      <w:r>
        <w:rPr>
          <w:rFonts w:hint="eastAsia" w:cs="宋体"/>
          <w:color w:val="auto"/>
          <w:sz w:val="21"/>
          <w:szCs w:val="21"/>
          <w:u w:val="single"/>
        </w:rPr>
        <w:t xml:space="preserve"> </w:t>
      </w:r>
      <w:r>
        <w:rPr>
          <w:rFonts w:hint="eastAsia" w:cs="宋体"/>
          <w:color w:val="auto"/>
          <w:sz w:val="21"/>
          <w:szCs w:val="21"/>
        </w:rPr>
        <w:t>。</w:t>
      </w:r>
    </w:p>
    <w:p w14:paraId="3A5E6587">
      <w:pPr>
        <w:adjustRightInd w:val="0"/>
        <w:snapToGrid w:val="0"/>
        <w:spacing w:line="360" w:lineRule="auto"/>
        <w:ind w:firstLine="420" w:firstLineChars="200"/>
        <w:rPr>
          <w:rFonts w:cs="宋体"/>
          <w:color w:val="auto"/>
          <w:sz w:val="21"/>
          <w:szCs w:val="21"/>
        </w:rPr>
      </w:pPr>
      <w:r>
        <w:rPr>
          <w:rFonts w:hint="eastAsia" w:cs="宋体"/>
          <w:color w:val="auto"/>
          <w:sz w:val="21"/>
          <w:szCs w:val="21"/>
        </w:rPr>
        <w:t>（6）发包人无正当理由没有在约定期限内发出复工指示，导致承包人无法复工的违约责任：</w:t>
      </w:r>
      <w:r>
        <w:rPr>
          <w:rFonts w:hint="eastAsia" w:ascii="宋体" w:hAnsi="宋体" w:eastAsia="宋体" w:cs="宋体"/>
          <w:color w:val="000000"/>
          <w:kern w:val="0"/>
          <w:sz w:val="21"/>
          <w:szCs w:val="21"/>
          <w:u w:val="single"/>
          <w:lang w:val="en-US" w:eastAsia="zh-CN" w:bidi="ar"/>
        </w:rPr>
        <w:t>双方另行确定</w:t>
      </w:r>
      <w:r>
        <w:rPr>
          <w:rFonts w:hint="eastAsia" w:cs="宋体"/>
          <w:color w:val="auto"/>
          <w:sz w:val="21"/>
          <w:szCs w:val="21"/>
        </w:rPr>
        <w:t>。</w:t>
      </w:r>
    </w:p>
    <w:p w14:paraId="5DD938A6">
      <w:pPr>
        <w:adjustRightInd w:val="0"/>
        <w:snapToGrid w:val="0"/>
        <w:spacing w:line="360" w:lineRule="auto"/>
        <w:ind w:firstLine="420" w:firstLineChars="200"/>
        <w:rPr>
          <w:rFonts w:cs="宋体"/>
          <w:color w:val="auto"/>
          <w:sz w:val="21"/>
          <w:szCs w:val="21"/>
        </w:rPr>
      </w:pPr>
      <w:r>
        <w:rPr>
          <w:rFonts w:hint="eastAsia" w:cs="宋体"/>
          <w:color w:val="auto"/>
          <w:sz w:val="21"/>
          <w:szCs w:val="21"/>
        </w:rPr>
        <w:t>（7）其他：</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641B5AD8">
      <w:pPr>
        <w:adjustRightInd w:val="0"/>
        <w:snapToGrid w:val="0"/>
        <w:spacing w:line="360" w:lineRule="auto"/>
        <w:ind w:firstLine="420" w:firstLineChars="200"/>
        <w:rPr>
          <w:rFonts w:cs="宋体"/>
          <w:color w:val="auto"/>
          <w:sz w:val="21"/>
          <w:szCs w:val="21"/>
        </w:rPr>
      </w:pPr>
      <w:r>
        <w:rPr>
          <w:rFonts w:hint="eastAsia" w:cs="宋体"/>
          <w:color w:val="auto"/>
          <w:sz w:val="21"/>
          <w:szCs w:val="21"/>
        </w:rPr>
        <w:t>16.1.3 因发包人违约解除合同</w:t>
      </w:r>
    </w:p>
    <w:p w14:paraId="4BBF0DB2">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承包人按16.1.1项〔发包人违约的情形〕约定暂停施工满</w:t>
      </w:r>
      <w:r>
        <w:rPr>
          <w:rFonts w:hint="eastAsia" w:cs="宋体"/>
          <w:color w:val="auto"/>
          <w:sz w:val="21"/>
          <w:szCs w:val="21"/>
          <w:u w:val="single"/>
        </w:rPr>
        <w:t>28</w:t>
      </w:r>
      <w:r>
        <w:rPr>
          <w:rFonts w:hint="eastAsia" w:cs="宋体"/>
          <w:color w:val="auto"/>
          <w:sz w:val="21"/>
          <w:szCs w:val="21"/>
        </w:rPr>
        <w:t>天后发包人仍不纠正其违约行为并致使合同目的不能实现的，承包人有权解除合同。</w:t>
      </w:r>
    </w:p>
    <w:p w14:paraId="4956AFB8">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16.2 承包人违约</w:t>
      </w:r>
    </w:p>
    <w:p w14:paraId="325AFDDD">
      <w:pPr>
        <w:adjustRightInd w:val="0"/>
        <w:snapToGrid w:val="0"/>
        <w:spacing w:line="360" w:lineRule="auto"/>
        <w:ind w:firstLine="420" w:firstLineChars="200"/>
        <w:rPr>
          <w:rFonts w:cs="宋体"/>
          <w:color w:val="auto"/>
          <w:sz w:val="21"/>
          <w:szCs w:val="21"/>
        </w:rPr>
      </w:pPr>
      <w:r>
        <w:rPr>
          <w:rFonts w:hint="eastAsia" w:cs="宋体"/>
          <w:color w:val="auto"/>
          <w:sz w:val="21"/>
          <w:szCs w:val="21"/>
        </w:rPr>
        <w:t>16.2.1 承包人违约的情形</w:t>
      </w:r>
    </w:p>
    <w:p w14:paraId="3D58FAEE">
      <w:pPr>
        <w:keepNext w:val="0"/>
        <w:keepLines w:val="0"/>
        <w:widowControl/>
        <w:suppressLineNumbers w:val="0"/>
        <w:ind w:firstLine="420" w:firstLineChars="200"/>
        <w:jc w:val="left"/>
        <w:rPr>
          <w:rFonts w:hint="eastAsia" w:ascii="宋体" w:hAnsi="宋体" w:eastAsia="宋体" w:cs="宋体"/>
          <w:color w:val="000000"/>
          <w:kern w:val="0"/>
          <w:sz w:val="21"/>
          <w:szCs w:val="21"/>
          <w:u w:val="single"/>
          <w:lang w:val="en-US" w:eastAsia="zh-CN" w:bidi="ar"/>
        </w:rPr>
      </w:pPr>
      <w:r>
        <w:rPr>
          <w:rFonts w:hint="eastAsia" w:cs="宋体"/>
          <w:color w:val="auto"/>
          <w:sz w:val="21"/>
          <w:szCs w:val="21"/>
        </w:rPr>
        <w:t>承包人违约的其他情形：</w:t>
      </w:r>
      <w:r>
        <w:rPr>
          <w:rFonts w:hint="eastAsia" w:ascii="宋体" w:hAnsi="宋体" w:eastAsia="宋体" w:cs="宋体"/>
          <w:color w:val="000000"/>
          <w:kern w:val="0"/>
          <w:sz w:val="21"/>
          <w:szCs w:val="21"/>
          <w:u w:val="single"/>
          <w:lang w:val="en-US" w:eastAsia="zh-CN" w:bidi="ar"/>
        </w:rPr>
        <w:t>承包人承担违约责任形式包括但不限于：</w:t>
      </w:r>
    </w:p>
    <w:p w14:paraId="35C95897">
      <w:pPr>
        <w:keepNext w:val="0"/>
        <w:keepLines w:val="0"/>
        <w:widowControl/>
        <w:suppressLineNumbers w:val="0"/>
        <w:ind w:firstLine="420" w:firstLineChars="200"/>
        <w:jc w:val="left"/>
        <w:rPr>
          <w:u w:val="single"/>
        </w:rPr>
      </w:pPr>
      <w:r>
        <w:rPr>
          <w:rFonts w:hint="eastAsia" w:ascii="宋体" w:hAnsi="宋体" w:eastAsia="宋体" w:cs="宋体"/>
          <w:color w:val="000000"/>
          <w:kern w:val="0"/>
          <w:sz w:val="21"/>
          <w:szCs w:val="21"/>
          <w:u w:val="single"/>
          <w:lang w:val="en-US" w:eastAsia="zh-CN" w:bidi="ar"/>
        </w:rPr>
        <w:t xml:space="preserve">①书面警告。承包人未履行或未按时履行或未按质履行义务及监理工程师或发包人的指示时，监理工程师或发包人有权向承包人发出书面警告，每次书面警告，承包人应当支付违约金人民币 2000元给发包人。 </w:t>
      </w:r>
    </w:p>
    <w:p w14:paraId="3E2498EE">
      <w:pPr>
        <w:keepNext w:val="0"/>
        <w:keepLines w:val="0"/>
        <w:widowControl/>
        <w:suppressLineNumbers w:val="0"/>
        <w:ind w:firstLine="420" w:firstLineChars="200"/>
        <w:jc w:val="left"/>
        <w:rPr>
          <w:u w:val="single"/>
        </w:rPr>
      </w:pPr>
      <w:r>
        <w:rPr>
          <w:rFonts w:hint="eastAsia" w:ascii="宋体" w:hAnsi="宋体" w:eastAsia="宋体" w:cs="宋体"/>
          <w:color w:val="000000"/>
          <w:kern w:val="0"/>
          <w:sz w:val="21"/>
          <w:szCs w:val="21"/>
          <w:u w:val="single"/>
          <w:lang w:val="en-US" w:eastAsia="zh-CN" w:bidi="ar"/>
        </w:rPr>
        <w:t xml:space="preserve">②限期改正。监理工程师或发包人在日常工作检查中发现承包人有违约行为，有权向承包人发出违约通知，要求承包人必须在监理工程师或发包人限定的时间内履行义务。同时，承包人应 当支付违约金人民币3000元给发包人。 </w:t>
      </w:r>
    </w:p>
    <w:p w14:paraId="7E4512DE">
      <w:pPr>
        <w:keepNext w:val="0"/>
        <w:keepLines w:val="0"/>
        <w:widowControl/>
        <w:suppressLineNumbers w:val="0"/>
        <w:ind w:firstLine="420" w:firstLineChars="200"/>
        <w:jc w:val="left"/>
        <w:rPr>
          <w:u w:val="single"/>
        </w:rPr>
      </w:pPr>
      <w:r>
        <w:rPr>
          <w:rFonts w:hint="eastAsia" w:ascii="宋体" w:hAnsi="宋体" w:eastAsia="宋体" w:cs="宋体"/>
          <w:color w:val="000000"/>
          <w:kern w:val="0"/>
          <w:sz w:val="21"/>
          <w:szCs w:val="21"/>
          <w:u w:val="single"/>
          <w:lang w:val="en-US" w:eastAsia="zh-CN" w:bidi="ar"/>
        </w:rPr>
        <w:t xml:space="preserve">③一般违约责任。承包人违反本合同的约定须承担一般违约责任时，必须主动向发包人交纳违约金人民币0.5万元/次；若承包人再犯性质相同的违约行为，第2次1万元，2次以上的1.5万元/ 次。 </w:t>
      </w:r>
    </w:p>
    <w:p w14:paraId="208D88BD">
      <w:pPr>
        <w:keepNext w:val="0"/>
        <w:keepLines w:val="0"/>
        <w:widowControl/>
        <w:suppressLineNumbers w:val="0"/>
        <w:ind w:firstLine="420" w:firstLineChars="200"/>
        <w:jc w:val="left"/>
        <w:rPr>
          <w:u w:val="single"/>
        </w:rPr>
      </w:pPr>
      <w:r>
        <w:rPr>
          <w:rFonts w:hint="eastAsia" w:ascii="宋体" w:hAnsi="宋体" w:eastAsia="宋体" w:cs="宋体"/>
          <w:color w:val="000000"/>
          <w:kern w:val="0"/>
          <w:sz w:val="21"/>
          <w:szCs w:val="21"/>
          <w:u w:val="single"/>
          <w:lang w:val="en-US" w:eastAsia="zh-CN" w:bidi="ar"/>
        </w:rPr>
        <w:t xml:space="preserve">④严重违约责任。承包人违反本合同的约定须承担严重违约责任时，原则上必须向发包人交纳违约金人民币3万元/次，招标文件及合同文件中关于严重违约责任另有约定的从其约定。 </w:t>
      </w:r>
    </w:p>
    <w:p w14:paraId="32478ABA">
      <w:pPr>
        <w:keepNext w:val="0"/>
        <w:keepLines w:val="0"/>
        <w:widowControl/>
        <w:suppressLineNumbers w:val="0"/>
        <w:ind w:firstLine="420" w:firstLineChars="200"/>
        <w:jc w:val="left"/>
        <w:rPr>
          <w:u w:val="single"/>
        </w:rPr>
      </w:pPr>
      <w:r>
        <w:rPr>
          <w:rFonts w:hint="eastAsia" w:ascii="宋体" w:hAnsi="宋体" w:eastAsia="宋体" w:cs="宋体"/>
          <w:color w:val="000000"/>
          <w:kern w:val="0"/>
          <w:sz w:val="21"/>
          <w:szCs w:val="21"/>
          <w:u w:val="single"/>
          <w:lang w:val="en-US" w:eastAsia="zh-CN" w:bidi="ar"/>
        </w:rPr>
        <w:t xml:space="preserve">⑤解除合同。当承包人违反本合同的约定符合解除全部合同的条件时，发包人有权向承包人发出书面解除全部合同的通知，该通知在送达承包人时解除合同即生效。解除合同的法律后果依照通用条款第16条的相关约定执行。 </w:t>
      </w:r>
    </w:p>
    <w:p w14:paraId="05569146">
      <w:pPr>
        <w:keepNext w:val="0"/>
        <w:keepLines w:val="0"/>
        <w:widowControl/>
        <w:suppressLineNumbers w:val="0"/>
        <w:ind w:firstLine="420" w:firstLineChars="200"/>
        <w:jc w:val="left"/>
        <w:rPr>
          <w:u w:val="single"/>
        </w:rPr>
      </w:pPr>
      <w:r>
        <w:rPr>
          <w:rFonts w:hint="eastAsia" w:ascii="宋体" w:hAnsi="宋体" w:eastAsia="宋体" w:cs="宋体"/>
          <w:color w:val="000000"/>
          <w:kern w:val="0"/>
          <w:sz w:val="21"/>
          <w:szCs w:val="21"/>
          <w:u w:val="single"/>
          <w:lang w:val="en-US" w:eastAsia="zh-CN" w:bidi="ar"/>
        </w:rPr>
        <w:t xml:space="preserve">⑥赔偿损失。因承包人原因造成发包人经济损失的，承包人应向发包人赔偿全部损失，包括直接损失和间接损失。 </w:t>
      </w:r>
    </w:p>
    <w:p w14:paraId="68AC92F2">
      <w:pPr>
        <w:keepNext w:val="0"/>
        <w:keepLines w:val="0"/>
        <w:widowControl/>
        <w:suppressLineNumbers w:val="0"/>
        <w:ind w:firstLine="420" w:firstLineChars="200"/>
        <w:jc w:val="left"/>
        <w:rPr>
          <w:u w:val="single"/>
        </w:rPr>
      </w:pPr>
      <w:r>
        <w:rPr>
          <w:rFonts w:hint="eastAsia" w:ascii="宋体" w:hAnsi="宋体" w:eastAsia="宋体" w:cs="宋体"/>
          <w:color w:val="000000"/>
          <w:kern w:val="0"/>
          <w:sz w:val="21"/>
          <w:szCs w:val="21"/>
          <w:u w:val="single"/>
          <w:lang w:val="en-US" w:eastAsia="zh-CN" w:bidi="ar"/>
        </w:rPr>
        <w:t xml:space="preserve">⑦承包人违约须向发包人支付违约金或赔偿金时，所有违约金必须在下次工程款支付前交纳，否则在支付工程款时扣除。 </w:t>
      </w:r>
    </w:p>
    <w:p w14:paraId="3D464A14">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上述承包人的各种违约金、罚金及合同规定应扣款项，承包人在下次款项支付前向发包人交 </w:t>
      </w:r>
    </w:p>
    <w:p w14:paraId="0D64DB22">
      <w:pPr>
        <w:keepNext w:val="0"/>
        <w:keepLines w:val="0"/>
        <w:widowControl/>
        <w:suppressLineNumbers w:val="0"/>
        <w:jc w:val="left"/>
        <w:rPr>
          <w:rFonts w:cs="宋体"/>
          <w:color w:val="auto"/>
          <w:sz w:val="21"/>
          <w:szCs w:val="21"/>
          <w:u w:val="single"/>
        </w:rPr>
      </w:pPr>
      <w:r>
        <w:rPr>
          <w:rFonts w:hint="eastAsia" w:ascii="宋体" w:hAnsi="宋体" w:eastAsia="宋体" w:cs="宋体"/>
          <w:color w:val="000000"/>
          <w:kern w:val="0"/>
          <w:sz w:val="21"/>
          <w:szCs w:val="21"/>
          <w:u w:val="single"/>
          <w:lang w:val="en-US" w:eastAsia="zh-CN" w:bidi="ar"/>
        </w:rPr>
        <w:t>纳 。</w:t>
      </w:r>
    </w:p>
    <w:p w14:paraId="3EAF41C1">
      <w:pPr>
        <w:adjustRightInd w:val="0"/>
        <w:snapToGrid w:val="0"/>
        <w:spacing w:line="360" w:lineRule="auto"/>
        <w:ind w:firstLine="420" w:firstLineChars="200"/>
        <w:rPr>
          <w:rFonts w:cs="宋体"/>
          <w:color w:val="auto"/>
          <w:sz w:val="21"/>
          <w:szCs w:val="21"/>
        </w:rPr>
      </w:pPr>
      <w:r>
        <w:rPr>
          <w:rFonts w:hint="eastAsia" w:cs="宋体"/>
          <w:color w:val="auto"/>
          <w:sz w:val="21"/>
          <w:szCs w:val="21"/>
        </w:rPr>
        <w:t>16.2.2 承包人违约的责任</w:t>
      </w:r>
    </w:p>
    <w:p w14:paraId="5744CD1D">
      <w:pPr>
        <w:keepNext w:val="0"/>
        <w:keepLines w:val="0"/>
        <w:widowControl/>
        <w:suppressLineNumbers w:val="0"/>
        <w:ind w:firstLine="420" w:firstLineChars="200"/>
        <w:jc w:val="left"/>
        <w:rPr>
          <w:rFonts w:cs="宋体"/>
          <w:color w:val="auto"/>
          <w:sz w:val="21"/>
          <w:szCs w:val="21"/>
          <w:u w:val="single"/>
        </w:rPr>
      </w:pPr>
      <w:r>
        <w:rPr>
          <w:rFonts w:hint="eastAsia" w:cs="宋体"/>
          <w:color w:val="auto"/>
          <w:sz w:val="21"/>
          <w:szCs w:val="21"/>
        </w:rPr>
        <w:t>承包人违约责任的承担方式和计算方法：</w:t>
      </w:r>
      <w:r>
        <w:rPr>
          <w:rFonts w:hint="eastAsia" w:ascii="宋体" w:hAnsi="宋体" w:eastAsia="宋体" w:cs="宋体"/>
          <w:color w:val="auto"/>
          <w:sz w:val="21"/>
          <w:szCs w:val="21"/>
          <w:u w:val="single"/>
          <w:lang w:val="en-US" w:eastAsia="zh-CN"/>
        </w:rPr>
        <w:t>因承包人原因造成工程质量不合格的，承包人应在约定的时间内无条件修复达到合同约定的质量标准，给发包人造成损失的，承包人赔偿一切损失；发包人有权停止支付所有工程款项</w:t>
      </w:r>
      <w:r>
        <w:rPr>
          <w:rFonts w:hint="eastAsia" w:cs="宋体"/>
          <w:color w:val="auto"/>
          <w:sz w:val="21"/>
          <w:szCs w:val="21"/>
        </w:rPr>
        <w:t>。</w:t>
      </w:r>
    </w:p>
    <w:p w14:paraId="2C7FD9B3">
      <w:pPr>
        <w:adjustRightInd w:val="0"/>
        <w:snapToGrid w:val="0"/>
        <w:spacing w:line="360" w:lineRule="auto"/>
        <w:ind w:firstLine="420" w:firstLineChars="200"/>
        <w:rPr>
          <w:rFonts w:cs="宋体"/>
          <w:color w:val="auto"/>
          <w:sz w:val="21"/>
          <w:szCs w:val="21"/>
        </w:rPr>
      </w:pPr>
      <w:r>
        <w:rPr>
          <w:rFonts w:hint="eastAsia" w:cs="宋体"/>
          <w:color w:val="auto"/>
          <w:sz w:val="21"/>
          <w:szCs w:val="21"/>
        </w:rPr>
        <w:t>16.2.3 因承包人违约解除合同</w:t>
      </w:r>
    </w:p>
    <w:p w14:paraId="3E3DBC5F">
      <w:pPr>
        <w:keepNext w:val="0"/>
        <w:keepLines w:val="0"/>
        <w:widowControl/>
        <w:suppressLineNumbers w:val="0"/>
        <w:ind w:firstLine="420" w:firstLineChars="200"/>
        <w:jc w:val="left"/>
        <w:rPr>
          <w:rFonts w:cs="宋体"/>
          <w:color w:val="auto"/>
          <w:sz w:val="21"/>
          <w:szCs w:val="21"/>
          <w:u w:val="single"/>
        </w:rPr>
      </w:pPr>
      <w:r>
        <w:rPr>
          <w:rFonts w:hint="eastAsia" w:cs="宋体"/>
          <w:color w:val="auto"/>
          <w:sz w:val="21"/>
          <w:szCs w:val="21"/>
        </w:rPr>
        <w:t>关于承包人违约解除合同的特别约定：</w:t>
      </w:r>
      <w:r>
        <w:rPr>
          <w:rFonts w:hint="eastAsia" w:ascii="宋体" w:hAnsi="宋体" w:eastAsia="宋体" w:cs="宋体"/>
          <w:color w:val="000000"/>
          <w:kern w:val="0"/>
          <w:sz w:val="21"/>
          <w:szCs w:val="21"/>
          <w:u w:val="single"/>
          <w:lang w:val="en-US" w:eastAsia="zh-CN" w:bidi="ar"/>
        </w:rPr>
        <w:t>因承包人原因造成工程质量不合格的，承包人应在约定的时间内无条件修复达到合同约定的质量标准，给发包人造成损失的，承包人赔偿一切损失；发包人有权停止支付所有工程款项</w:t>
      </w:r>
      <w:r>
        <w:rPr>
          <w:rFonts w:hint="eastAsia" w:cs="宋体"/>
          <w:color w:val="auto"/>
          <w:sz w:val="21"/>
          <w:szCs w:val="21"/>
        </w:rPr>
        <w:t>。</w:t>
      </w:r>
    </w:p>
    <w:p w14:paraId="785E62DC">
      <w:pPr>
        <w:keepNext w:val="0"/>
        <w:keepLines w:val="0"/>
        <w:widowControl/>
        <w:suppressLineNumbers w:val="0"/>
        <w:ind w:firstLine="420" w:firstLineChars="200"/>
        <w:jc w:val="left"/>
        <w:rPr>
          <w:rFonts w:cs="宋体"/>
          <w:color w:val="auto"/>
          <w:sz w:val="21"/>
          <w:szCs w:val="21"/>
        </w:rPr>
      </w:pPr>
      <w:r>
        <w:rPr>
          <w:rFonts w:hint="eastAsia" w:cs="宋体"/>
          <w:color w:val="auto"/>
          <w:sz w:val="21"/>
          <w:szCs w:val="21"/>
        </w:rPr>
        <w:t>发包人继续使用承包人在施工现场的材料、设备、临时工程、承包人文件和由承包人或以其名义编制的其他文件的费用承担方式：</w:t>
      </w:r>
      <w:r>
        <w:rPr>
          <w:rFonts w:hint="eastAsia" w:ascii="宋体" w:hAnsi="宋体" w:eastAsia="宋体" w:cs="宋体"/>
          <w:color w:val="000000"/>
          <w:kern w:val="0"/>
          <w:sz w:val="21"/>
          <w:szCs w:val="21"/>
          <w:u w:val="single"/>
          <w:lang w:val="en-US" w:eastAsia="zh-CN" w:bidi="ar"/>
        </w:rPr>
        <w:t>双方另行确定</w:t>
      </w:r>
      <w:r>
        <w:rPr>
          <w:rFonts w:hint="eastAsia" w:cs="宋体"/>
          <w:color w:val="auto"/>
          <w:sz w:val="21"/>
          <w:szCs w:val="21"/>
        </w:rPr>
        <w:t>。</w:t>
      </w:r>
    </w:p>
    <w:p w14:paraId="1573E4A0">
      <w:pPr>
        <w:snapToGrid w:val="0"/>
        <w:spacing w:before="312" w:beforeLines="100" w:after="312" w:afterLines="100" w:line="360" w:lineRule="auto"/>
        <w:outlineLvl w:val="2"/>
        <w:rPr>
          <w:rFonts w:cs="宋体"/>
          <w:color w:val="auto"/>
          <w:sz w:val="21"/>
          <w:szCs w:val="21"/>
        </w:rPr>
      </w:pPr>
      <w:bookmarkStart w:id="607" w:name="_Toc351203649"/>
      <w:r>
        <w:rPr>
          <w:rFonts w:hint="eastAsia" w:cs="宋体"/>
          <w:color w:val="auto"/>
          <w:sz w:val="21"/>
          <w:szCs w:val="21"/>
        </w:rPr>
        <w:t>17. 不可抗力</w:t>
      </w:r>
      <w:bookmarkEnd w:id="607"/>
      <w:r>
        <w:rPr>
          <w:rFonts w:hint="eastAsia" w:cs="宋体"/>
          <w:color w:val="auto"/>
          <w:sz w:val="21"/>
          <w:szCs w:val="21"/>
        </w:rPr>
        <w:t xml:space="preserve"> </w:t>
      </w:r>
      <w:bookmarkEnd w:id="605"/>
    </w:p>
    <w:p w14:paraId="625EE242">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17.1 不可抗力的确认</w:t>
      </w:r>
    </w:p>
    <w:p w14:paraId="325FBFF1">
      <w:pPr>
        <w:adjustRightInd w:val="0"/>
        <w:snapToGrid w:val="0"/>
        <w:spacing w:line="360" w:lineRule="auto"/>
        <w:ind w:firstLine="420" w:firstLineChars="200"/>
        <w:rPr>
          <w:rFonts w:cs="宋体"/>
          <w:b/>
          <w:color w:val="auto"/>
          <w:sz w:val="21"/>
          <w:szCs w:val="21"/>
          <w:u w:val="single"/>
        </w:rPr>
      </w:pPr>
      <w:r>
        <w:rPr>
          <w:rFonts w:hint="eastAsia" w:cs="宋体"/>
          <w:color w:val="auto"/>
          <w:sz w:val="21"/>
          <w:szCs w:val="21"/>
        </w:rPr>
        <w:t>除通用合同条款约定的不可抗力事件之外，视为不可抗力的其他情形：</w:t>
      </w:r>
      <w:r>
        <w:rPr>
          <w:rFonts w:hint="eastAsia" w:cs="宋体"/>
          <w:color w:val="auto"/>
          <w:sz w:val="21"/>
          <w:szCs w:val="21"/>
          <w:u w:val="single"/>
        </w:rPr>
        <w:t>执行通用条款</w:t>
      </w:r>
      <w:r>
        <w:rPr>
          <w:rFonts w:hint="eastAsia" w:cs="宋体"/>
          <w:color w:val="auto"/>
          <w:sz w:val="21"/>
          <w:szCs w:val="21"/>
        </w:rPr>
        <w:t>。</w:t>
      </w:r>
    </w:p>
    <w:p w14:paraId="65E96A92">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17.4 因不可抗力解除合同</w:t>
      </w:r>
    </w:p>
    <w:p w14:paraId="2542DA37">
      <w:pPr>
        <w:adjustRightInd w:val="0"/>
        <w:snapToGrid w:val="0"/>
        <w:spacing w:line="360" w:lineRule="auto"/>
        <w:ind w:firstLine="420" w:firstLineChars="200"/>
        <w:rPr>
          <w:rFonts w:cs="宋体"/>
          <w:color w:val="auto"/>
          <w:sz w:val="21"/>
          <w:szCs w:val="21"/>
        </w:rPr>
      </w:pPr>
      <w:r>
        <w:rPr>
          <w:rFonts w:hint="eastAsia" w:cs="宋体"/>
          <w:color w:val="auto"/>
          <w:sz w:val="21"/>
          <w:szCs w:val="21"/>
        </w:rPr>
        <w:t>合同解除后，发包人应在商定或确定发包人应支付款项后</w:t>
      </w:r>
      <w:r>
        <w:rPr>
          <w:rFonts w:hint="eastAsia" w:cs="宋体"/>
          <w:color w:val="auto"/>
          <w:sz w:val="21"/>
          <w:szCs w:val="21"/>
          <w:u w:val="single"/>
        </w:rPr>
        <w:t>28</w:t>
      </w:r>
      <w:r>
        <w:rPr>
          <w:rFonts w:hint="eastAsia" w:cs="宋体"/>
          <w:color w:val="auto"/>
          <w:sz w:val="21"/>
          <w:szCs w:val="21"/>
        </w:rPr>
        <w:t>天内完成款项的支付。</w:t>
      </w:r>
    </w:p>
    <w:p w14:paraId="5B3E8E59">
      <w:pPr>
        <w:snapToGrid w:val="0"/>
        <w:spacing w:before="312" w:beforeLines="100" w:after="312" w:afterLines="100" w:line="360" w:lineRule="auto"/>
        <w:outlineLvl w:val="2"/>
        <w:rPr>
          <w:rFonts w:cs="宋体"/>
          <w:color w:val="auto"/>
          <w:sz w:val="21"/>
          <w:szCs w:val="21"/>
        </w:rPr>
      </w:pPr>
      <w:bookmarkStart w:id="608" w:name="_Toc351203650"/>
      <w:r>
        <w:rPr>
          <w:rFonts w:hint="eastAsia" w:cs="宋体"/>
          <w:color w:val="auto"/>
          <w:sz w:val="21"/>
          <w:szCs w:val="21"/>
        </w:rPr>
        <w:t>18. 保险</w:t>
      </w:r>
      <w:bookmarkEnd w:id="608"/>
    </w:p>
    <w:bookmarkEnd w:id="606"/>
    <w:p w14:paraId="4CD3DB7C">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18.1 工程保险</w:t>
      </w:r>
    </w:p>
    <w:p w14:paraId="2D6B258E">
      <w:pPr>
        <w:keepNext w:val="0"/>
        <w:keepLines w:val="0"/>
        <w:widowControl/>
        <w:suppressLineNumbers w:val="0"/>
        <w:jc w:val="left"/>
        <w:rPr>
          <w:u w:val="single"/>
        </w:rPr>
      </w:pPr>
      <w:r>
        <w:rPr>
          <w:rFonts w:hint="eastAsia" w:cs="宋体"/>
          <w:color w:val="auto"/>
          <w:sz w:val="21"/>
          <w:szCs w:val="21"/>
        </w:rPr>
        <w:t>关于工程保险的特别约定：</w:t>
      </w:r>
      <w:r>
        <w:rPr>
          <w:rFonts w:hint="eastAsia" w:ascii="宋体" w:hAnsi="宋体" w:eastAsia="宋体" w:cs="宋体"/>
          <w:color w:val="000000"/>
          <w:kern w:val="0"/>
          <w:sz w:val="21"/>
          <w:szCs w:val="21"/>
          <w:u w:val="single"/>
          <w:lang w:val="en-US" w:eastAsia="zh-CN" w:bidi="ar"/>
        </w:rPr>
        <w:t xml:space="preserve">（1）由发包人投保的内容：发包人为建设工程和施工场地内的己方人员办理生命财产保险，为甲供材料设备办理财产保险； </w:t>
      </w:r>
    </w:p>
    <w:p w14:paraId="799318A8">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（2）由承包人投保的内容： </w:t>
      </w:r>
    </w:p>
    <w:p w14:paraId="6A72297D">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a. 社会保险，社会保险费根据行业管理部门的要求如实填报。 </w:t>
      </w:r>
    </w:p>
    <w:p w14:paraId="3FF5BD6C">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b. 承包人己方人员的保险，包括自行分包单位的人员。 </w:t>
      </w:r>
    </w:p>
    <w:p w14:paraId="08535B1A">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c. 本工程第三方责任险。 </w:t>
      </w:r>
    </w:p>
    <w:p w14:paraId="30DE5A70">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d. 承包人自有或为用于本项目添置购买的施工设备、机械和工具、工程设备和材料、车辆的保险。 </w:t>
      </w:r>
    </w:p>
    <w:p w14:paraId="5EA1A671">
      <w:pPr>
        <w:keepNext w:val="0"/>
        <w:keepLines w:val="0"/>
        <w:widowControl/>
        <w:suppressLineNumbers w:val="0"/>
        <w:jc w:val="left"/>
        <w:rPr>
          <w:u w:val="single"/>
        </w:rPr>
      </w:pPr>
      <w:r>
        <w:rPr>
          <w:rFonts w:hint="eastAsia" w:ascii="宋体" w:hAnsi="宋体" w:eastAsia="宋体" w:cs="宋体"/>
          <w:color w:val="000000"/>
          <w:kern w:val="0"/>
          <w:sz w:val="21"/>
          <w:szCs w:val="21"/>
          <w:u w:val="single"/>
          <w:lang w:val="en-US" w:eastAsia="zh-CN" w:bidi="ar"/>
        </w:rPr>
        <w:t xml:space="preserve">e．建设工程一切险。 </w:t>
      </w:r>
    </w:p>
    <w:p w14:paraId="4158D142">
      <w:pPr>
        <w:keepNext w:val="0"/>
        <w:keepLines w:val="0"/>
        <w:widowControl/>
        <w:suppressLineNumbers w:val="0"/>
        <w:jc w:val="left"/>
        <w:rPr>
          <w:rFonts w:cs="宋体"/>
          <w:b/>
          <w:color w:val="auto"/>
          <w:sz w:val="21"/>
          <w:szCs w:val="21"/>
          <w:u w:val="single"/>
        </w:rPr>
      </w:pPr>
      <w:r>
        <w:rPr>
          <w:rFonts w:hint="eastAsia" w:ascii="宋体" w:hAnsi="宋体" w:eastAsia="宋体" w:cs="宋体"/>
          <w:color w:val="000000"/>
          <w:kern w:val="0"/>
          <w:sz w:val="21"/>
          <w:szCs w:val="21"/>
          <w:u w:val="single"/>
          <w:lang w:val="en-US" w:eastAsia="zh-CN" w:bidi="ar"/>
        </w:rPr>
        <w:t>f. 其他承包人认为必须购买的保险。上述由承包人投保的费用均已含在合同报价中</w:t>
      </w:r>
      <w:r>
        <w:rPr>
          <w:rFonts w:hint="eastAsia" w:cs="宋体"/>
          <w:b/>
          <w:color w:val="auto"/>
          <w:sz w:val="21"/>
          <w:szCs w:val="21"/>
          <w:u w:val="single"/>
        </w:rPr>
        <w:t>。</w:t>
      </w:r>
    </w:p>
    <w:p w14:paraId="3771DCDB">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18.3 其他保险</w:t>
      </w:r>
    </w:p>
    <w:p w14:paraId="2DF18EF2">
      <w:pPr>
        <w:keepNext w:val="0"/>
        <w:keepLines w:val="0"/>
        <w:widowControl/>
        <w:suppressLineNumbers w:val="0"/>
        <w:ind w:firstLine="420" w:firstLineChars="200"/>
        <w:jc w:val="left"/>
        <w:rPr>
          <w:rFonts w:cs="宋体"/>
          <w:color w:val="auto"/>
          <w:sz w:val="21"/>
          <w:szCs w:val="21"/>
        </w:rPr>
      </w:pPr>
      <w:r>
        <w:rPr>
          <w:rFonts w:hint="eastAsia" w:cs="宋体"/>
          <w:color w:val="auto"/>
          <w:sz w:val="21"/>
          <w:szCs w:val="21"/>
        </w:rPr>
        <w:t>关于其他保险的约定：</w:t>
      </w:r>
      <w:r>
        <w:rPr>
          <w:rFonts w:hint="eastAsia" w:ascii="宋体" w:hAnsi="宋体" w:eastAsia="宋体" w:cs="宋体"/>
          <w:color w:val="000000"/>
          <w:kern w:val="0"/>
          <w:sz w:val="21"/>
          <w:szCs w:val="21"/>
          <w:u w:val="single"/>
          <w:lang w:val="en-US" w:eastAsia="zh-CN" w:bidi="ar"/>
        </w:rPr>
        <w:t>满足《关于实施建筑施工安全生产责任保险有关事项的通知》建质函〔2022〕183 号文件要求</w:t>
      </w:r>
      <w:r>
        <w:rPr>
          <w:rFonts w:hint="eastAsia" w:cs="宋体"/>
          <w:color w:val="auto"/>
          <w:sz w:val="21"/>
          <w:szCs w:val="21"/>
        </w:rPr>
        <w:t>。</w:t>
      </w:r>
    </w:p>
    <w:p w14:paraId="17EEB3C2">
      <w:pPr>
        <w:keepNext w:val="0"/>
        <w:keepLines w:val="0"/>
        <w:widowControl/>
        <w:suppressLineNumbers w:val="0"/>
        <w:ind w:firstLine="420" w:firstLineChars="200"/>
        <w:jc w:val="left"/>
        <w:rPr>
          <w:rFonts w:cs="宋体"/>
          <w:color w:val="auto"/>
          <w:sz w:val="21"/>
          <w:szCs w:val="21"/>
          <w:u w:val="single"/>
        </w:rPr>
      </w:pPr>
      <w:r>
        <w:rPr>
          <w:rFonts w:hint="eastAsia" w:cs="宋体"/>
          <w:color w:val="auto"/>
          <w:sz w:val="21"/>
          <w:szCs w:val="21"/>
        </w:rPr>
        <w:t>承包人是否应为其施工设备等办理财产保险：</w:t>
      </w:r>
      <w:r>
        <w:rPr>
          <w:rFonts w:hint="eastAsia" w:ascii="宋体" w:hAnsi="宋体" w:eastAsia="宋体" w:cs="宋体"/>
          <w:color w:val="000000"/>
          <w:kern w:val="0"/>
          <w:sz w:val="21"/>
          <w:szCs w:val="21"/>
          <w:u w:val="single"/>
          <w:lang w:val="en-US" w:eastAsia="zh-CN" w:bidi="ar"/>
        </w:rPr>
        <w:t>按相关文件规定执行，应确保不影响本项目工期、质量、安全文明等相关要求</w:t>
      </w:r>
      <w:r>
        <w:rPr>
          <w:rFonts w:hint="eastAsia" w:cs="宋体"/>
          <w:color w:val="auto"/>
          <w:sz w:val="21"/>
          <w:szCs w:val="21"/>
        </w:rPr>
        <w:t>。</w:t>
      </w:r>
    </w:p>
    <w:p w14:paraId="7238409B">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18.7 通知义务</w:t>
      </w:r>
    </w:p>
    <w:p w14:paraId="79CE424F">
      <w:pPr>
        <w:adjustRightInd w:val="0"/>
        <w:snapToGrid w:val="0"/>
        <w:spacing w:line="360" w:lineRule="auto"/>
        <w:ind w:firstLine="420" w:firstLineChars="200"/>
        <w:rPr>
          <w:rFonts w:cs="宋体"/>
          <w:b/>
          <w:color w:val="auto"/>
          <w:sz w:val="21"/>
          <w:szCs w:val="21"/>
          <w:u w:val="single"/>
        </w:rPr>
      </w:pPr>
      <w:r>
        <w:rPr>
          <w:rFonts w:hint="eastAsia" w:cs="宋体"/>
          <w:color w:val="auto"/>
          <w:sz w:val="21"/>
          <w:szCs w:val="21"/>
        </w:rPr>
        <w:t>关于变更保险合同时的通知义务的约定：</w:t>
      </w:r>
      <w:r>
        <w:rPr>
          <w:rFonts w:hint="eastAsia" w:cs="宋体"/>
          <w:color w:val="auto"/>
          <w:sz w:val="21"/>
          <w:szCs w:val="21"/>
          <w:u w:val="single"/>
        </w:rPr>
        <w:t>执行通用条款</w:t>
      </w:r>
      <w:r>
        <w:rPr>
          <w:rFonts w:hint="eastAsia" w:cs="宋体"/>
          <w:color w:val="auto"/>
          <w:sz w:val="21"/>
          <w:szCs w:val="21"/>
        </w:rPr>
        <w:t>。</w:t>
      </w:r>
    </w:p>
    <w:bookmarkEnd w:id="582"/>
    <w:bookmarkEnd w:id="583"/>
    <w:bookmarkEnd w:id="584"/>
    <w:bookmarkEnd w:id="585"/>
    <w:bookmarkEnd w:id="586"/>
    <w:bookmarkEnd w:id="587"/>
    <w:bookmarkEnd w:id="588"/>
    <w:bookmarkEnd w:id="589"/>
    <w:bookmarkEnd w:id="590"/>
    <w:bookmarkEnd w:id="591"/>
    <w:bookmarkEnd w:id="592"/>
    <w:bookmarkEnd w:id="593"/>
    <w:p w14:paraId="31A0A7E1">
      <w:pPr>
        <w:snapToGrid w:val="0"/>
        <w:spacing w:before="312" w:beforeLines="100" w:after="312" w:afterLines="100" w:line="360" w:lineRule="auto"/>
        <w:outlineLvl w:val="2"/>
        <w:rPr>
          <w:rFonts w:cs="宋体"/>
          <w:color w:val="auto"/>
          <w:sz w:val="21"/>
          <w:szCs w:val="21"/>
        </w:rPr>
      </w:pPr>
      <w:bookmarkStart w:id="609" w:name="_Toc351203651"/>
      <w:r>
        <w:rPr>
          <w:rFonts w:hint="eastAsia" w:cs="宋体"/>
          <w:color w:val="auto"/>
          <w:sz w:val="21"/>
          <w:szCs w:val="21"/>
        </w:rPr>
        <w:t>20. 争议解决</w:t>
      </w:r>
      <w:bookmarkEnd w:id="609"/>
    </w:p>
    <w:bookmarkEnd w:id="594"/>
    <w:bookmarkEnd w:id="595"/>
    <w:p w14:paraId="5C072F62">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20.3 争</w:t>
      </w:r>
      <w:bookmarkEnd w:id="596"/>
      <w:r>
        <w:rPr>
          <w:rFonts w:hint="eastAsia" w:cs="宋体"/>
          <w:bCs/>
          <w:color w:val="auto"/>
          <w:sz w:val="21"/>
          <w:szCs w:val="21"/>
        </w:rPr>
        <w:t>议评审</w:t>
      </w:r>
    </w:p>
    <w:p w14:paraId="12633164">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合同当事人是否同意将工程争议提交争议评审小组决定：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7794C0E2">
      <w:pPr>
        <w:adjustRightInd w:val="0"/>
        <w:snapToGrid w:val="0"/>
        <w:spacing w:line="360" w:lineRule="auto"/>
        <w:ind w:firstLine="420" w:firstLineChars="200"/>
        <w:rPr>
          <w:rFonts w:cs="宋体"/>
          <w:color w:val="auto"/>
          <w:sz w:val="21"/>
          <w:szCs w:val="21"/>
        </w:rPr>
      </w:pPr>
      <w:r>
        <w:rPr>
          <w:rFonts w:hint="eastAsia" w:cs="宋体"/>
          <w:color w:val="auto"/>
          <w:sz w:val="21"/>
          <w:szCs w:val="21"/>
        </w:rPr>
        <w:t>20.3.1 争议评审小组的确定</w:t>
      </w:r>
    </w:p>
    <w:p w14:paraId="757DF7FC">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争议评审小组成员的确定：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7FDBD6BF">
      <w:pPr>
        <w:adjustRightInd w:val="0"/>
        <w:snapToGrid w:val="0"/>
        <w:spacing w:line="360" w:lineRule="auto"/>
        <w:ind w:firstLine="420" w:firstLineChars="200"/>
        <w:rPr>
          <w:rFonts w:cs="宋体"/>
          <w:color w:val="auto"/>
          <w:sz w:val="21"/>
          <w:szCs w:val="21"/>
        </w:rPr>
      </w:pPr>
      <w:r>
        <w:rPr>
          <w:rFonts w:hint="eastAsia" w:cs="宋体"/>
          <w:color w:val="auto"/>
          <w:sz w:val="21"/>
          <w:szCs w:val="21"/>
        </w:rPr>
        <w:t>选定争议评审员的期限：</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1167B8B8">
      <w:pPr>
        <w:adjustRightInd w:val="0"/>
        <w:snapToGrid w:val="0"/>
        <w:spacing w:line="360" w:lineRule="auto"/>
        <w:ind w:firstLine="420" w:firstLineChars="200"/>
        <w:rPr>
          <w:rFonts w:cs="宋体"/>
          <w:color w:val="auto"/>
          <w:sz w:val="21"/>
          <w:szCs w:val="21"/>
        </w:rPr>
      </w:pPr>
      <w:r>
        <w:rPr>
          <w:rFonts w:hint="eastAsia" w:cs="宋体"/>
          <w:color w:val="auto"/>
          <w:sz w:val="21"/>
          <w:szCs w:val="21"/>
        </w:rPr>
        <w:t>争议评审小组成员的报酬承担方式：</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519E4B34">
      <w:pPr>
        <w:adjustRightInd w:val="0"/>
        <w:snapToGrid w:val="0"/>
        <w:spacing w:line="360" w:lineRule="auto"/>
        <w:ind w:firstLine="420" w:firstLineChars="200"/>
        <w:rPr>
          <w:rFonts w:cs="宋体"/>
          <w:color w:val="auto"/>
          <w:sz w:val="21"/>
          <w:szCs w:val="21"/>
        </w:rPr>
      </w:pPr>
      <w:r>
        <w:rPr>
          <w:rFonts w:hint="eastAsia" w:cs="宋体"/>
          <w:color w:val="auto"/>
          <w:sz w:val="21"/>
          <w:szCs w:val="21"/>
        </w:rPr>
        <w:t>其他事项的约定：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01800794">
      <w:pPr>
        <w:adjustRightInd w:val="0"/>
        <w:snapToGrid w:val="0"/>
        <w:spacing w:line="360" w:lineRule="auto"/>
        <w:ind w:firstLine="420" w:firstLineChars="200"/>
        <w:rPr>
          <w:rFonts w:cs="宋体"/>
          <w:color w:val="auto"/>
          <w:sz w:val="21"/>
          <w:szCs w:val="21"/>
        </w:rPr>
      </w:pPr>
      <w:r>
        <w:rPr>
          <w:rFonts w:hint="eastAsia" w:cs="宋体"/>
          <w:color w:val="auto"/>
          <w:sz w:val="21"/>
          <w:szCs w:val="21"/>
        </w:rPr>
        <w:t>20.3.2 争议评审小组的决定</w:t>
      </w:r>
    </w:p>
    <w:p w14:paraId="4819F3B2">
      <w:pPr>
        <w:adjustRightInd w:val="0"/>
        <w:snapToGrid w:val="0"/>
        <w:spacing w:line="360" w:lineRule="auto"/>
        <w:ind w:firstLine="420" w:firstLineChars="200"/>
        <w:rPr>
          <w:rFonts w:cs="宋体"/>
          <w:color w:val="auto"/>
          <w:sz w:val="21"/>
          <w:szCs w:val="21"/>
        </w:rPr>
      </w:pPr>
      <w:r>
        <w:rPr>
          <w:rFonts w:hint="eastAsia" w:cs="宋体"/>
          <w:color w:val="auto"/>
          <w:sz w:val="21"/>
          <w:szCs w:val="21"/>
        </w:rPr>
        <w:t>合同当事人关于本项的约定：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24561BCD">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20.4 仲裁或诉讼</w:t>
      </w:r>
      <w:bookmarkEnd w:id="597"/>
    </w:p>
    <w:bookmarkEnd w:id="598"/>
    <w:bookmarkEnd w:id="599"/>
    <w:bookmarkEnd w:id="600"/>
    <w:bookmarkEnd w:id="601"/>
    <w:bookmarkEnd w:id="602"/>
    <w:bookmarkEnd w:id="603"/>
    <w:p w14:paraId="60732B7C">
      <w:pPr>
        <w:adjustRightInd w:val="0"/>
        <w:snapToGrid w:val="0"/>
        <w:spacing w:line="360" w:lineRule="auto"/>
        <w:ind w:firstLine="420" w:firstLineChars="200"/>
        <w:rPr>
          <w:rFonts w:cs="宋体"/>
          <w:color w:val="auto"/>
          <w:sz w:val="21"/>
          <w:szCs w:val="21"/>
        </w:rPr>
      </w:pPr>
      <w:r>
        <w:rPr>
          <w:rFonts w:hint="eastAsia" w:cs="宋体"/>
          <w:color w:val="auto"/>
          <w:sz w:val="21"/>
          <w:szCs w:val="21"/>
        </w:rPr>
        <w:t>因合同及合同有关事项发生的争议，按下列</w:t>
      </w:r>
      <w:r>
        <w:rPr>
          <w:rFonts w:hint="eastAsia" w:cs="宋体"/>
          <w:b/>
          <w:bCs/>
          <w:color w:val="auto"/>
          <w:sz w:val="21"/>
          <w:szCs w:val="21"/>
        </w:rPr>
        <w:t>第</w:t>
      </w:r>
      <w:r>
        <w:rPr>
          <w:rFonts w:hint="eastAsia" w:cs="宋体"/>
          <w:b/>
          <w:bCs/>
          <w:color w:val="auto"/>
          <w:sz w:val="21"/>
          <w:szCs w:val="21"/>
          <w:u w:val="single"/>
        </w:rPr>
        <w:t xml:space="preserve"> 2 </w:t>
      </w:r>
      <w:r>
        <w:rPr>
          <w:rFonts w:hint="eastAsia" w:cs="宋体"/>
          <w:b/>
          <w:bCs/>
          <w:color w:val="auto"/>
          <w:sz w:val="21"/>
          <w:szCs w:val="21"/>
        </w:rPr>
        <w:t>种</w:t>
      </w:r>
      <w:r>
        <w:rPr>
          <w:rFonts w:hint="eastAsia" w:cs="宋体"/>
          <w:color w:val="auto"/>
          <w:sz w:val="21"/>
          <w:szCs w:val="21"/>
        </w:rPr>
        <w:t>方式解决：</w:t>
      </w:r>
    </w:p>
    <w:p w14:paraId="4D6D3BBA">
      <w:pPr>
        <w:numPr>
          <w:ilvl w:val="0"/>
          <w:numId w:val="4"/>
        </w:numPr>
        <w:adjustRightInd w:val="0"/>
        <w:snapToGrid w:val="0"/>
        <w:spacing w:line="360" w:lineRule="auto"/>
        <w:ind w:firstLine="420" w:firstLineChars="200"/>
        <w:rPr>
          <w:rFonts w:cs="宋体"/>
          <w:color w:val="auto"/>
          <w:sz w:val="21"/>
          <w:szCs w:val="21"/>
        </w:rPr>
      </w:pPr>
      <w:r>
        <w:rPr>
          <w:rFonts w:hint="eastAsia" w:cs="宋体"/>
          <w:color w:val="auto"/>
          <w:sz w:val="21"/>
          <w:szCs w:val="21"/>
        </w:rPr>
        <w:t>向</w:t>
      </w:r>
      <w:r>
        <w:rPr>
          <w:rFonts w:hint="eastAsia" w:cs="宋体"/>
          <w:color w:val="auto"/>
          <w:sz w:val="21"/>
          <w:szCs w:val="21"/>
          <w:u w:val="single"/>
        </w:rPr>
        <w:t>工程所在地</w:t>
      </w:r>
      <w:r>
        <w:rPr>
          <w:rFonts w:hint="eastAsia" w:cs="宋体"/>
          <w:color w:val="auto"/>
          <w:sz w:val="21"/>
          <w:szCs w:val="21"/>
        </w:rPr>
        <w:t>仲裁委员会申请仲裁；</w:t>
      </w:r>
    </w:p>
    <w:p w14:paraId="666A2FDF">
      <w:pPr>
        <w:adjustRightInd w:val="0"/>
        <w:snapToGrid w:val="0"/>
        <w:spacing w:line="360" w:lineRule="auto"/>
        <w:ind w:firstLine="420" w:firstLineChars="200"/>
        <w:rPr>
          <w:rFonts w:cs="宋体"/>
          <w:color w:val="auto"/>
          <w:sz w:val="21"/>
          <w:szCs w:val="21"/>
        </w:rPr>
      </w:pPr>
      <w:r>
        <w:rPr>
          <w:rFonts w:hint="eastAsia" w:cs="宋体"/>
          <w:color w:val="auto"/>
          <w:sz w:val="21"/>
          <w:szCs w:val="21"/>
        </w:rPr>
        <w:t>（2）向</w:t>
      </w:r>
      <w:r>
        <w:rPr>
          <w:rFonts w:hint="eastAsia" w:cs="宋体"/>
          <w:color w:val="auto"/>
          <w:sz w:val="21"/>
          <w:szCs w:val="21"/>
          <w:u w:val="single"/>
        </w:rPr>
        <w:t>工程所在地</w:t>
      </w:r>
      <w:r>
        <w:rPr>
          <w:rFonts w:hint="eastAsia" w:cs="宋体"/>
          <w:color w:val="auto"/>
          <w:sz w:val="21"/>
          <w:szCs w:val="21"/>
        </w:rPr>
        <w:t>人民法院起诉。</w:t>
      </w:r>
    </w:p>
    <w:p w14:paraId="5604CB4B">
      <w:pPr>
        <w:snapToGrid w:val="0"/>
        <w:spacing w:before="312" w:beforeLines="100" w:after="312" w:afterLines="100" w:line="360" w:lineRule="auto"/>
        <w:outlineLvl w:val="2"/>
        <w:rPr>
          <w:rFonts w:hint="eastAsia" w:cs="宋体"/>
          <w:color w:val="auto"/>
          <w:sz w:val="21"/>
          <w:szCs w:val="21"/>
        </w:rPr>
      </w:pPr>
      <w:r>
        <w:rPr>
          <w:rFonts w:hint="eastAsia" w:cs="宋体"/>
          <w:color w:val="auto"/>
          <w:sz w:val="21"/>
          <w:szCs w:val="21"/>
        </w:rPr>
        <w:t xml:space="preserve">21. 补充条款 </w:t>
      </w:r>
    </w:p>
    <w:p w14:paraId="545A8485">
      <w:pPr>
        <w:pStyle w:val="22"/>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eastAsia="@微软简标宋"/>
          <w:color w:val="auto"/>
          <w:lang w:val="en-US" w:eastAsia="zh-CN"/>
        </w:rPr>
      </w:pP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p>
    <w:p w14:paraId="7630BCAD">
      <w:pPr>
        <w:snapToGrid w:val="0"/>
        <w:spacing w:line="360" w:lineRule="auto"/>
        <w:rPr>
          <w:rFonts w:cs="宋体"/>
          <w:b/>
          <w:color w:val="auto"/>
          <w:sz w:val="21"/>
          <w:szCs w:val="21"/>
        </w:rPr>
      </w:pPr>
    </w:p>
    <w:p w14:paraId="64E2FBB2">
      <w:pPr>
        <w:snapToGrid w:val="0"/>
        <w:spacing w:line="360" w:lineRule="auto"/>
        <w:rPr>
          <w:rFonts w:cs="宋体"/>
          <w:color w:val="auto"/>
          <w:sz w:val="21"/>
          <w:szCs w:val="21"/>
        </w:rPr>
      </w:pPr>
      <w:r>
        <w:rPr>
          <w:rFonts w:hint="eastAsia" w:cs="宋体"/>
          <w:color w:val="auto"/>
          <w:sz w:val="21"/>
          <w:szCs w:val="21"/>
        </w:rPr>
        <w:t>发包人：  （公章）                           承包人：  （公章）</w:t>
      </w:r>
    </w:p>
    <w:p w14:paraId="6A792577">
      <w:pPr>
        <w:snapToGrid w:val="0"/>
        <w:spacing w:line="360" w:lineRule="auto"/>
        <w:rPr>
          <w:rFonts w:cs="宋体"/>
          <w:color w:val="auto"/>
          <w:sz w:val="21"/>
          <w:szCs w:val="21"/>
        </w:rPr>
      </w:pPr>
      <w:r>
        <w:rPr>
          <w:rFonts w:hint="eastAsia" w:cs="宋体"/>
          <w:color w:val="auto"/>
          <w:sz w:val="21"/>
          <w:szCs w:val="21"/>
        </w:rPr>
        <w:t>法定代表人或其委托代理人：                 法定代表人或其委托代理人：</w:t>
      </w:r>
    </w:p>
    <w:p w14:paraId="3F47FEA7">
      <w:pPr>
        <w:snapToGrid w:val="0"/>
        <w:spacing w:line="360" w:lineRule="auto"/>
        <w:rPr>
          <w:rFonts w:cs="宋体"/>
          <w:color w:val="auto"/>
          <w:sz w:val="21"/>
          <w:szCs w:val="21"/>
        </w:rPr>
      </w:pPr>
      <w:r>
        <w:rPr>
          <w:rFonts w:hint="eastAsia" w:cs="宋体"/>
          <w:color w:val="auto"/>
          <w:sz w:val="21"/>
          <w:szCs w:val="21"/>
        </w:rPr>
        <w:t>（签字）                                  （签字）</w:t>
      </w:r>
    </w:p>
    <w:p w14:paraId="171C63CC">
      <w:pPr>
        <w:snapToGrid w:val="0"/>
        <w:spacing w:line="360" w:lineRule="auto"/>
        <w:rPr>
          <w:rFonts w:cs="宋体"/>
          <w:color w:val="auto"/>
          <w:sz w:val="21"/>
          <w:szCs w:val="21"/>
        </w:rPr>
      </w:pPr>
      <w:r>
        <w:rPr>
          <w:rFonts w:hint="eastAsia" w:cs="宋体"/>
          <w:color w:val="auto"/>
          <w:sz w:val="21"/>
          <w:szCs w:val="21"/>
        </w:rPr>
        <w:t>组织机构代码：</w:t>
      </w:r>
      <w:r>
        <w:rPr>
          <w:rFonts w:hint="eastAsia" w:cs="宋体"/>
          <w:color w:val="auto"/>
          <w:sz w:val="21"/>
          <w:szCs w:val="21"/>
          <w:u w:val="single"/>
        </w:rPr>
        <w:t xml:space="preserve">       </w:t>
      </w:r>
      <w:r>
        <w:rPr>
          <w:rFonts w:hint="eastAsia" w:cs="宋体"/>
          <w:color w:val="auto"/>
          <w:sz w:val="21"/>
          <w:szCs w:val="21"/>
        </w:rPr>
        <w:t xml:space="preserve">                组织机构代码：</w:t>
      </w:r>
      <w:r>
        <w:rPr>
          <w:rFonts w:hint="eastAsia" w:cs="宋体"/>
          <w:color w:val="auto"/>
          <w:sz w:val="21"/>
          <w:szCs w:val="21"/>
          <w:u w:val="single"/>
        </w:rPr>
        <w:t xml:space="preserve">          </w:t>
      </w:r>
      <w:r>
        <w:rPr>
          <w:rFonts w:hint="eastAsia" w:cs="宋体"/>
          <w:color w:val="auto"/>
          <w:sz w:val="21"/>
          <w:szCs w:val="21"/>
        </w:rPr>
        <w:t xml:space="preserve"> </w:t>
      </w:r>
    </w:p>
    <w:p w14:paraId="00DC97C5">
      <w:pPr>
        <w:snapToGrid w:val="0"/>
        <w:spacing w:line="360" w:lineRule="auto"/>
        <w:rPr>
          <w:rFonts w:cs="宋体"/>
          <w:color w:val="auto"/>
          <w:sz w:val="21"/>
          <w:szCs w:val="21"/>
        </w:rPr>
      </w:pPr>
      <w:r>
        <w:rPr>
          <w:rFonts w:hint="eastAsia" w:cs="宋体"/>
          <w:color w:val="auto"/>
          <w:sz w:val="21"/>
          <w:szCs w:val="21"/>
        </w:rPr>
        <w:t>地  址：</w:t>
      </w:r>
      <w:r>
        <w:rPr>
          <w:rFonts w:hint="eastAsia" w:cs="宋体"/>
          <w:color w:val="auto"/>
          <w:sz w:val="21"/>
          <w:szCs w:val="21"/>
          <w:u w:val="single"/>
        </w:rPr>
        <w:t xml:space="preserve">     </w:t>
      </w:r>
      <w:r>
        <w:rPr>
          <w:rFonts w:hint="eastAsia" w:cs="宋体"/>
          <w:color w:val="auto"/>
          <w:sz w:val="21"/>
          <w:szCs w:val="21"/>
        </w:rPr>
        <w:t xml:space="preserve">                地  址：</w:t>
      </w:r>
      <w:r>
        <w:rPr>
          <w:rFonts w:hint="eastAsia" w:cs="宋体"/>
          <w:color w:val="auto"/>
          <w:sz w:val="21"/>
          <w:szCs w:val="21"/>
          <w:u w:val="single"/>
        </w:rPr>
        <w:t xml:space="preserve">        </w:t>
      </w:r>
    </w:p>
    <w:p w14:paraId="39795774">
      <w:pPr>
        <w:snapToGrid w:val="0"/>
        <w:spacing w:line="360" w:lineRule="auto"/>
        <w:rPr>
          <w:rFonts w:cs="宋体"/>
          <w:color w:val="auto"/>
          <w:sz w:val="21"/>
          <w:szCs w:val="21"/>
        </w:rPr>
      </w:pPr>
      <w:r>
        <w:rPr>
          <w:rFonts w:hint="eastAsia" w:cs="宋体"/>
          <w:color w:val="auto"/>
          <w:sz w:val="21"/>
          <w:szCs w:val="21"/>
        </w:rPr>
        <w:t>邮政编码：</w:t>
      </w:r>
      <w:r>
        <w:rPr>
          <w:rFonts w:hint="eastAsia" w:cs="宋体"/>
          <w:color w:val="auto"/>
          <w:sz w:val="21"/>
          <w:szCs w:val="21"/>
          <w:u w:val="single"/>
        </w:rPr>
        <w:t xml:space="preserve">      </w:t>
      </w:r>
      <w:r>
        <w:rPr>
          <w:rFonts w:hint="eastAsia" w:cs="宋体"/>
          <w:color w:val="auto"/>
          <w:sz w:val="21"/>
          <w:szCs w:val="21"/>
        </w:rPr>
        <w:t xml:space="preserve">               邮政编码：</w:t>
      </w:r>
      <w:r>
        <w:rPr>
          <w:rFonts w:hint="eastAsia" w:cs="宋体"/>
          <w:color w:val="auto"/>
          <w:sz w:val="21"/>
          <w:szCs w:val="21"/>
          <w:u w:val="single"/>
        </w:rPr>
        <w:t xml:space="preserve">   </w:t>
      </w:r>
    </w:p>
    <w:p w14:paraId="7EA9FC75">
      <w:pPr>
        <w:snapToGrid w:val="0"/>
        <w:spacing w:line="360" w:lineRule="auto"/>
        <w:rPr>
          <w:rFonts w:cs="宋体"/>
          <w:color w:val="auto"/>
          <w:sz w:val="21"/>
          <w:szCs w:val="21"/>
        </w:rPr>
      </w:pPr>
      <w:r>
        <w:rPr>
          <w:rFonts w:hint="eastAsia" w:cs="宋体"/>
          <w:color w:val="auto"/>
          <w:sz w:val="21"/>
          <w:szCs w:val="21"/>
        </w:rPr>
        <w:t>法定代表人：</w:t>
      </w:r>
      <w:r>
        <w:rPr>
          <w:rFonts w:hint="eastAsia" w:cs="宋体"/>
          <w:color w:val="auto"/>
          <w:sz w:val="21"/>
          <w:szCs w:val="21"/>
          <w:u w:val="single"/>
        </w:rPr>
        <w:t xml:space="preserve">           </w:t>
      </w:r>
      <w:r>
        <w:rPr>
          <w:rFonts w:hint="eastAsia" w:cs="宋体"/>
          <w:color w:val="auto"/>
          <w:sz w:val="21"/>
          <w:szCs w:val="21"/>
        </w:rPr>
        <w:t xml:space="preserve">                法定代表人：</w:t>
      </w:r>
      <w:r>
        <w:rPr>
          <w:rFonts w:hint="eastAsia" w:cs="宋体"/>
          <w:color w:val="auto"/>
          <w:sz w:val="21"/>
          <w:szCs w:val="21"/>
          <w:u w:val="single"/>
        </w:rPr>
        <w:t xml:space="preserve">             </w:t>
      </w:r>
    </w:p>
    <w:p w14:paraId="0FEA5CAA">
      <w:pPr>
        <w:snapToGrid w:val="0"/>
        <w:spacing w:line="360" w:lineRule="auto"/>
        <w:rPr>
          <w:rFonts w:cs="宋体"/>
          <w:color w:val="auto"/>
          <w:sz w:val="21"/>
          <w:szCs w:val="21"/>
        </w:rPr>
      </w:pPr>
      <w:r>
        <w:rPr>
          <w:rFonts w:hint="eastAsia" w:cs="宋体"/>
          <w:color w:val="auto"/>
          <w:sz w:val="21"/>
          <w:szCs w:val="21"/>
        </w:rPr>
        <w:t>委托代理人：</w:t>
      </w:r>
      <w:r>
        <w:rPr>
          <w:rFonts w:hint="eastAsia" w:cs="宋体"/>
          <w:color w:val="auto"/>
          <w:sz w:val="21"/>
          <w:szCs w:val="21"/>
          <w:u w:val="single"/>
        </w:rPr>
        <w:t xml:space="preserve">           </w:t>
      </w:r>
      <w:r>
        <w:rPr>
          <w:rFonts w:hint="eastAsia" w:cs="宋体"/>
          <w:color w:val="auto"/>
          <w:sz w:val="21"/>
          <w:szCs w:val="21"/>
        </w:rPr>
        <w:t xml:space="preserve">                委托代理人：</w:t>
      </w:r>
      <w:r>
        <w:rPr>
          <w:rFonts w:hint="eastAsia" w:cs="宋体"/>
          <w:color w:val="auto"/>
          <w:sz w:val="21"/>
          <w:szCs w:val="21"/>
          <w:u w:val="single"/>
        </w:rPr>
        <w:t xml:space="preserve">             </w:t>
      </w:r>
    </w:p>
    <w:p w14:paraId="02C74818">
      <w:pPr>
        <w:snapToGrid w:val="0"/>
        <w:spacing w:line="360" w:lineRule="auto"/>
        <w:rPr>
          <w:rFonts w:cs="宋体"/>
          <w:color w:val="auto"/>
          <w:sz w:val="21"/>
          <w:szCs w:val="21"/>
        </w:rPr>
      </w:pPr>
      <w:r>
        <w:rPr>
          <w:rFonts w:hint="eastAsia" w:cs="宋体"/>
          <w:color w:val="auto"/>
          <w:sz w:val="21"/>
          <w:szCs w:val="21"/>
        </w:rPr>
        <w:t>电  话：</w:t>
      </w:r>
      <w:r>
        <w:rPr>
          <w:rFonts w:hint="eastAsia" w:cs="宋体"/>
          <w:color w:val="auto"/>
          <w:sz w:val="21"/>
          <w:szCs w:val="21"/>
          <w:u w:val="single"/>
        </w:rPr>
        <w:t xml:space="preserve">   </w:t>
      </w:r>
      <w:r>
        <w:rPr>
          <w:rFonts w:hint="eastAsia" w:cs="宋体"/>
          <w:color w:val="auto"/>
          <w:sz w:val="21"/>
          <w:szCs w:val="21"/>
        </w:rPr>
        <w:t xml:space="preserve">                电  话：</w:t>
      </w:r>
      <w:r>
        <w:rPr>
          <w:rFonts w:hint="eastAsia" w:cs="宋体"/>
          <w:color w:val="auto"/>
          <w:sz w:val="21"/>
          <w:szCs w:val="21"/>
          <w:u w:val="single"/>
        </w:rPr>
        <w:t xml:space="preserve">     </w:t>
      </w:r>
    </w:p>
    <w:p w14:paraId="2ACD8A8F">
      <w:pPr>
        <w:snapToGrid w:val="0"/>
        <w:spacing w:line="360" w:lineRule="auto"/>
        <w:rPr>
          <w:rFonts w:cs="宋体"/>
          <w:color w:val="auto"/>
          <w:sz w:val="21"/>
          <w:szCs w:val="21"/>
        </w:rPr>
      </w:pPr>
      <w:r>
        <w:rPr>
          <w:rFonts w:hint="eastAsia" w:cs="宋体"/>
          <w:color w:val="auto"/>
          <w:sz w:val="21"/>
          <w:szCs w:val="21"/>
        </w:rPr>
        <w:t>传  真：</w:t>
      </w:r>
      <w:r>
        <w:rPr>
          <w:rFonts w:hint="eastAsia" w:cs="宋体"/>
          <w:color w:val="auto"/>
          <w:sz w:val="21"/>
          <w:szCs w:val="21"/>
          <w:u w:val="single"/>
        </w:rPr>
        <w:t xml:space="preserve">   </w:t>
      </w:r>
      <w:r>
        <w:rPr>
          <w:rFonts w:hint="eastAsia" w:cs="宋体"/>
          <w:color w:val="auto"/>
          <w:sz w:val="21"/>
          <w:szCs w:val="21"/>
        </w:rPr>
        <w:t xml:space="preserve">                传  真：</w:t>
      </w:r>
      <w:r>
        <w:rPr>
          <w:rFonts w:hint="eastAsia" w:cs="宋体"/>
          <w:color w:val="auto"/>
          <w:sz w:val="21"/>
          <w:szCs w:val="21"/>
          <w:u w:val="single"/>
        </w:rPr>
        <w:t xml:space="preserve">     </w:t>
      </w:r>
    </w:p>
    <w:p w14:paraId="2D574920">
      <w:pPr>
        <w:snapToGrid w:val="0"/>
        <w:spacing w:line="360" w:lineRule="auto"/>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rPr>
        <w:t xml:space="preserve">                电子信箱：</w:t>
      </w:r>
      <w:r>
        <w:rPr>
          <w:rFonts w:hint="eastAsia" w:cs="宋体"/>
          <w:color w:val="auto"/>
          <w:sz w:val="21"/>
          <w:szCs w:val="21"/>
          <w:u w:val="single"/>
        </w:rPr>
        <w:t xml:space="preserve">   </w:t>
      </w:r>
    </w:p>
    <w:p w14:paraId="7A6D53E1">
      <w:pPr>
        <w:snapToGrid w:val="0"/>
        <w:spacing w:line="360" w:lineRule="auto"/>
        <w:rPr>
          <w:rFonts w:cs="宋体"/>
          <w:color w:val="auto"/>
          <w:sz w:val="21"/>
          <w:szCs w:val="21"/>
        </w:rPr>
      </w:pPr>
      <w:r>
        <w:rPr>
          <w:rFonts w:hint="eastAsia" w:cs="宋体"/>
          <w:color w:val="auto"/>
          <w:sz w:val="21"/>
          <w:szCs w:val="21"/>
        </w:rPr>
        <w:t>开户银行：</w:t>
      </w:r>
      <w:r>
        <w:rPr>
          <w:rFonts w:hint="eastAsia" w:cs="宋体"/>
          <w:color w:val="auto"/>
          <w:sz w:val="21"/>
          <w:szCs w:val="21"/>
          <w:u w:val="single"/>
        </w:rPr>
        <w:t xml:space="preserve">   </w:t>
      </w:r>
      <w:r>
        <w:rPr>
          <w:rFonts w:hint="eastAsia" w:cs="宋体"/>
          <w:color w:val="auto"/>
          <w:sz w:val="21"/>
          <w:szCs w:val="21"/>
        </w:rPr>
        <w:t xml:space="preserve">                开户银行：</w:t>
      </w:r>
      <w:r>
        <w:rPr>
          <w:rFonts w:hint="eastAsia" w:cs="宋体"/>
          <w:color w:val="auto"/>
          <w:sz w:val="21"/>
          <w:szCs w:val="21"/>
          <w:u w:val="single"/>
        </w:rPr>
        <w:t xml:space="preserve">   </w:t>
      </w:r>
    </w:p>
    <w:p w14:paraId="145EF362">
      <w:pPr>
        <w:snapToGrid w:val="0"/>
        <w:spacing w:line="360" w:lineRule="auto"/>
        <w:rPr>
          <w:rFonts w:cs="宋体"/>
          <w:color w:val="auto"/>
          <w:sz w:val="21"/>
          <w:szCs w:val="21"/>
        </w:rPr>
      </w:pPr>
      <w:r>
        <w:rPr>
          <w:rFonts w:hint="eastAsia" w:cs="宋体"/>
          <w:color w:val="auto"/>
          <w:sz w:val="21"/>
          <w:szCs w:val="21"/>
        </w:rPr>
        <w:t>账  号：</w:t>
      </w:r>
      <w:r>
        <w:rPr>
          <w:rFonts w:hint="eastAsia" w:cs="宋体"/>
          <w:color w:val="auto"/>
          <w:sz w:val="21"/>
          <w:szCs w:val="21"/>
          <w:u w:val="single"/>
        </w:rPr>
        <w:t xml:space="preserve">       </w:t>
      </w:r>
      <w:r>
        <w:rPr>
          <w:rFonts w:hint="eastAsia" w:cs="宋体"/>
          <w:color w:val="auto"/>
          <w:sz w:val="21"/>
          <w:szCs w:val="21"/>
        </w:rPr>
        <w:t xml:space="preserve">                账  号：</w:t>
      </w:r>
      <w:r>
        <w:rPr>
          <w:rFonts w:hint="eastAsia" w:cs="宋体"/>
          <w:color w:val="auto"/>
          <w:sz w:val="21"/>
          <w:szCs w:val="21"/>
          <w:u w:val="single"/>
        </w:rPr>
        <w:t xml:space="preserve">     </w:t>
      </w:r>
    </w:p>
    <w:bookmarkEnd w:id="76"/>
    <w:p w14:paraId="4DA5EDAF">
      <w:pPr>
        <w:snapToGrid w:val="0"/>
        <w:spacing w:line="360" w:lineRule="auto"/>
        <w:rPr>
          <w:rFonts w:cs="宋体"/>
          <w:b/>
          <w:color w:val="auto"/>
          <w:sz w:val="21"/>
          <w:szCs w:val="21"/>
        </w:rPr>
      </w:pPr>
      <w:r>
        <w:rPr>
          <w:rFonts w:hint="eastAsia" w:cs="宋体"/>
          <w:b/>
          <w:color w:val="auto"/>
          <w:sz w:val="21"/>
          <w:szCs w:val="21"/>
        </w:rPr>
        <w:t>附件</w:t>
      </w:r>
    </w:p>
    <w:p w14:paraId="4FBF5E61">
      <w:pPr>
        <w:snapToGrid w:val="0"/>
        <w:spacing w:line="360" w:lineRule="auto"/>
        <w:rPr>
          <w:rFonts w:cs="宋体"/>
          <w:color w:val="auto"/>
          <w:sz w:val="21"/>
          <w:szCs w:val="21"/>
        </w:rPr>
      </w:pPr>
      <w:r>
        <w:rPr>
          <w:rFonts w:hint="eastAsia" w:cs="宋体"/>
          <w:color w:val="auto"/>
          <w:sz w:val="21"/>
          <w:szCs w:val="21"/>
        </w:rPr>
        <w:t>协议书附件：</w:t>
      </w:r>
    </w:p>
    <w:p w14:paraId="7963B832">
      <w:pPr>
        <w:snapToGrid w:val="0"/>
        <w:spacing w:line="360" w:lineRule="auto"/>
        <w:rPr>
          <w:rFonts w:cs="宋体"/>
          <w:color w:val="auto"/>
          <w:sz w:val="21"/>
          <w:szCs w:val="21"/>
        </w:rPr>
      </w:pPr>
      <w:bookmarkStart w:id="610" w:name="_Toc128950221"/>
      <w:r>
        <w:rPr>
          <w:rFonts w:hint="eastAsia" w:cs="宋体"/>
          <w:color w:val="auto"/>
          <w:sz w:val="21"/>
          <w:szCs w:val="21"/>
        </w:rPr>
        <w:t>附件1：承包人承揽工程项目一览表</w:t>
      </w:r>
      <w:bookmarkEnd w:id="610"/>
    </w:p>
    <w:p w14:paraId="67B1CD26">
      <w:pPr>
        <w:snapToGrid w:val="0"/>
        <w:spacing w:line="360" w:lineRule="auto"/>
        <w:rPr>
          <w:rFonts w:cs="宋体"/>
          <w:color w:val="auto"/>
          <w:sz w:val="21"/>
          <w:szCs w:val="21"/>
        </w:rPr>
      </w:pPr>
      <w:r>
        <w:rPr>
          <w:rFonts w:hint="eastAsia" w:cs="宋体"/>
          <w:color w:val="auto"/>
          <w:sz w:val="21"/>
          <w:szCs w:val="21"/>
        </w:rPr>
        <w:t>专用合同条款附件：</w:t>
      </w:r>
    </w:p>
    <w:p w14:paraId="3B91DFB5">
      <w:pPr>
        <w:snapToGrid w:val="0"/>
        <w:spacing w:line="360" w:lineRule="auto"/>
        <w:rPr>
          <w:rFonts w:cs="宋体"/>
          <w:color w:val="auto"/>
          <w:sz w:val="21"/>
          <w:szCs w:val="21"/>
        </w:rPr>
      </w:pPr>
      <w:bookmarkStart w:id="611" w:name="_Toc128950222"/>
      <w:r>
        <w:rPr>
          <w:rFonts w:hint="eastAsia" w:cs="宋体"/>
          <w:color w:val="auto"/>
          <w:sz w:val="21"/>
          <w:szCs w:val="21"/>
        </w:rPr>
        <w:t>附件2：发包人供应材料设备一览表</w:t>
      </w:r>
      <w:bookmarkEnd w:id="611"/>
    </w:p>
    <w:p w14:paraId="36B72C40">
      <w:pPr>
        <w:snapToGrid w:val="0"/>
        <w:spacing w:line="360" w:lineRule="auto"/>
        <w:rPr>
          <w:rFonts w:cs="宋体"/>
          <w:color w:val="auto"/>
          <w:sz w:val="21"/>
          <w:szCs w:val="21"/>
        </w:rPr>
      </w:pPr>
      <w:bookmarkStart w:id="612" w:name="_Toc128950223"/>
      <w:r>
        <w:rPr>
          <w:rFonts w:hint="eastAsia" w:cs="宋体"/>
          <w:color w:val="auto"/>
          <w:sz w:val="21"/>
          <w:szCs w:val="21"/>
        </w:rPr>
        <w:t>附件3：工程质量保修书</w:t>
      </w:r>
      <w:bookmarkEnd w:id="612"/>
    </w:p>
    <w:p w14:paraId="6D834735">
      <w:pPr>
        <w:snapToGrid w:val="0"/>
        <w:spacing w:line="360" w:lineRule="auto"/>
        <w:rPr>
          <w:rFonts w:cs="宋体"/>
          <w:color w:val="auto"/>
          <w:sz w:val="21"/>
          <w:szCs w:val="21"/>
        </w:rPr>
      </w:pPr>
      <w:bookmarkStart w:id="613" w:name="_Toc128950224"/>
      <w:r>
        <w:rPr>
          <w:rFonts w:hint="eastAsia" w:cs="宋体"/>
          <w:color w:val="auto"/>
          <w:sz w:val="21"/>
          <w:szCs w:val="21"/>
        </w:rPr>
        <w:t>附件4：主要建设工程文件目录</w:t>
      </w:r>
      <w:bookmarkEnd w:id="613"/>
    </w:p>
    <w:p w14:paraId="52D97945">
      <w:pPr>
        <w:snapToGrid w:val="0"/>
        <w:spacing w:line="360" w:lineRule="auto"/>
        <w:rPr>
          <w:rFonts w:cs="宋体"/>
          <w:color w:val="auto"/>
          <w:sz w:val="21"/>
          <w:szCs w:val="21"/>
        </w:rPr>
      </w:pPr>
      <w:bookmarkStart w:id="614" w:name="_Toc128950225"/>
      <w:r>
        <w:rPr>
          <w:rFonts w:hint="eastAsia" w:cs="宋体"/>
          <w:color w:val="auto"/>
          <w:sz w:val="21"/>
          <w:szCs w:val="21"/>
        </w:rPr>
        <w:t>附件5：承包人用于本工程施工的机械设备表</w:t>
      </w:r>
      <w:bookmarkEnd w:id="614"/>
    </w:p>
    <w:p w14:paraId="2447E148">
      <w:pPr>
        <w:snapToGrid w:val="0"/>
        <w:spacing w:line="360" w:lineRule="auto"/>
        <w:rPr>
          <w:rFonts w:cs="宋体"/>
          <w:color w:val="auto"/>
          <w:sz w:val="21"/>
          <w:szCs w:val="21"/>
        </w:rPr>
      </w:pPr>
      <w:bookmarkStart w:id="615" w:name="_Toc128950226"/>
      <w:r>
        <w:rPr>
          <w:rFonts w:hint="eastAsia" w:cs="宋体"/>
          <w:color w:val="auto"/>
          <w:sz w:val="21"/>
          <w:szCs w:val="21"/>
        </w:rPr>
        <w:t>附件6：承包人主要施工管理人员表</w:t>
      </w:r>
      <w:bookmarkEnd w:id="615"/>
    </w:p>
    <w:p w14:paraId="7900E614">
      <w:pPr>
        <w:snapToGrid w:val="0"/>
        <w:spacing w:line="360" w:lineRule="auto"/>
        <w:rPr>
          <w:rFonts w:cs="宋体"/>
          <w:color w:val="auto"/>
          <w:sz w:val="21"/>
          <w:szCs w:val="21"/>
        </w:rPr>
      </w:pPr>
      <w:bookmarkStart w:id="616" w:name="_Toc128950227"/>
      <w:r>
        <w:rPr>
          <w:rFonts w:hint="eastAsia" w:cs="宋体"/>
          <w:color w:val="auto"/>
          <w:sz w:val="21"/>
          <w:szCs w:val="21"/>
        </w:rPr>
        <w:t>附件7：分包人主要施工管理人员表</w:t>
      </w:r>
      <w:bookmarkEnd w:id="616"/>
    </w:p>
    <w:p w14:paraId="2BCD4064">
      <w:pPr>
        <w:snapToGrid w:val="0"/>
        <w:spacing w:line="360" w:lineRule="auto"/>
        <w:rPr>
          <w:rFonts w:cs="宋体"/>
          <w:color w:val="auto"/>
          <w:sz w:val="21"/>
          <w:szCs w:val="21"/>
        </w:rPr>
      </w:pPr>
      <w:bookmarkStart w:id="617" w:name="_Toc128950228"/>
      <w:r>
        <w:rPr>
          <w:rFonts w:hint="eastAsia" w:cs="宋体"/>
          <w:color w:val="auto"/>
          <w:sz w:val="21"/>
          <w:szCs w:val="21"/>
        </w:rPr>
        <w:t>附件8：廉政协议</w:t>
      </w:r>
      <w:bookmarkEnd w:id="617"/>
    </w:p>
    <w:p w14:paraId="500EB49D">
      <w:pPr>
        <w:snapToGrid w:val="0"/>
        <w:spacing w:line="360" w:lineRule="auto"/>
        <w:rPr>
          <w:rFonts w:cs="宋体"/>
          <w:color w:val="auto"/>
          <w:sz w:val="21"/>
          <w:szCs w:val="21"/>
        </w:rPr>
      </w:pPr>
      <w:bookmarkStart w:id="618" w:name="_Toc128950229"/>
      <w:r>
        <w:rPr>
          <w:rFonts w:hint="eastAsia" w:cs="宋体"/>
          <w:color w:val="auto"/>
          <w:sz w:val="21"/>
          <w:szCs w:val="21"/>
        </w:rPr>
        <w:t>附件9：履约保证金格式</w:t>
      </w:r>
      <w:bookmarkEnd w:id="618"/>
    </w:p>
    <w:p w14:paraId="027C0F94">
      <w:pPr>
        <w:snapToGrid w:val="0"/>
        <w:spacing w:line="360" w:lineRule="auto"/>
        <w:rPr>
          <w:rFonts w:cs="宋体"/>
          <w:color w:val="auto"/>
          <w:sz w:val="21"/>
          <w:szCs w:val="21"/>
        </w:rPr>
      </w:pPr>
      <w:bookmarkStart w:id="619" w:name="_Toc128950230"/>
      <w:r>
        <w:rPr>
          <w:rFonts w:hint="eastAsia" w:cs="宋体"/>
          <w:color w:val="auto"/>
          <w:sz w:val="21"/>
          <w:szCs w:val="21"/>
        </w:rPr>
        <w:t>附件10：预付款担保格式</w:t>
      </w:r>
      <w:bookmarkEnd w:id="619"/>
    </w:p>
    <w:p w14:paraId="3F0D52CA">
      <w:pPr>
        <w:snapToGrid w:val="0"/>
        <w:spacing w:line="360" w:lineRule="auto"/>
        <w:rPr>
          <w:rFonts w:cs="宋体"/>
          <w:color w:val="auto"/>
          <w:sz w:val="21"/>
          <w:szCs w:val="21"/>
        </w:rPr>
      </w:pPr>
      <w:bookmarkStart w:id="620" w:name="_Toc128950231"/>
      <w:r>
        <w:rPr>
          <w:rFonts w:hint="eastAsia" w:cs="宋体"/>
          <w:color w:val="auto"/>
          <w:sz w:val="21"/>
          <w:szCs w:val="21"/>
        </w:rPr>
        <w:t>附件11：支付担保格式</w:t>
      </w:r>
      <w:bookmarkEnd w:id="620"/>
    </w:p>
    <w:p w14:paraId="540ACE5A">
      <w:pPr>
        <w:snapToGrid w:val="0"/>
        <w:spacing w:line="360" w:lineRule="auto"/>
        <w:rPr>
          <w:rFonts w:cs="宋体"/>
          <w:color w:val="auto"/>
          <w:sz w:val="21"/>
          <w:szCs w:val="21"/>
        </w:rPr>
      </w:pPr>
      <w:bookmarkStart w:id="621" w:name="_Toc128950232"/>
      <w:r>
        <w:rPr>
          <w:rFonts w:hint="eastAsia" w:cs="宋体"/>
          <w:color w:val="auto"/>
          <w:sz w:val="21"/>
          <w:szCs w:val="21"/>
        </w:rPr>
        <w:t>附件12：暂估价一览表</w:t>
      </w:r>
      <w:bookmarkEnd w:id="621"/>
    </w:p>
    <w:p w14:paraId="69A7099B">
      <w:pPr>
        <w:snapToGrid w:val="0"/>
        <w:spacing w:line="360" w:lineRule="auto"/>
        <w:rPr>
          <w:rFonts w:cs="宋体"/>
          <w:color w:val="auto"/>
          <w:sz w:val="21"/>
          <w:szCs w:val="21"/>
        </w:rPr>
      </w:pPr>
      <w:bookmarkStart w:id="622" w:name="_Toc128950233"/>
      <w:r>
        <w:rPr>
          <w:rFonts w:hint="eastAsia" w:cs="宋体"/>
          <w:color w:val="auto"/>
          <w:sz w:val="21"/>
          <w:szCs w:val="21"/>
        </w:rPr>
        <w:t>附件13：安全生产合同</w:t>
      </w:r>
      <w:bookmarkEnd w:id="622"/>
    </w:p>
    <w:p w14:paraId="54D90BCC">
      <w:pPr>
        <w:snapToGrid w:val="0"/>
        <w:spacing w:line="360" w:lineRule="auto"/>
        <w:rPr>
          <w:rFonts w:cs="宋体"/>
          <w:color w:val="auto"/>
          <w:sz w:val="21"/>
          <w:szCs w:val="21"/>
        </w:rPr>
      </w:pPr>
      <w:bookmarkStart w:id="623" w:name="_Toc128950234"/>
      <w:r>
        <w:rPr>
          <w:rFonts w:hint="eastAsia" w:cs="宋体"/>
          <w:color w:val="auto"/>
          <w:sz w:val="21"/>
          <w:szCs w:val="21"/>
        </w:rPr>
        <w:t>附件14：项目经理质量终身责任制承诺</w:t>
      </w:r>
      <w:bookmarkEnd w:id="623"/>
    </w:p>
    <w:p w14:paraId="2888AC5B">
      <w:pPr>
        <w:snapToGrid w:val="0"/>
        <w:spacing w:before="312" w:beforeLines="100" w:after="312" w:afterLines="100" w:line="360" w:lineRule="auto"/>
        <w:outlineLvl w:val="2"/>
        <w:rPr>
          <w:rFonts w:ascii="Times New Roman" w:eastAsia="黑体"/>
          <w:color w:val="auto"/>
          <w:szCs w:val="24"/>
        </w:rPr>
      </w:pPr>
      <w:r>
        <w:rPr>
          <w:rFonts w:hint="eastAsia" w:cs="宋体"/>
          <w:bCs/>
          <w:color w:val="auto"/>
          <w:sz w:val="21"/>
          <w:szCs w:val="21"/>
        </w:rPr>
        <w:br w:type="page"/>
      </w:r>
      <w:bookmarkStart w:id="624" w:name="_Toc128950235"/>
      <w:r>
        <w:rPr>
          <w:rFonts w:hint="eastAsia" w:ascii="Times New Roman" w:eastAsia="黑体"/>
          <w:color w:val="auto"/>
          <w:szCs w:val="24"/>
        </w:rPr>
        <w:t>附件</w:t>
      </w:r>
      <w:r>
        <w:rPr>
          <w:rFonts w:ascii="Times New Roman" w:eastAsia="黑体"/>
          <w:color w:val="auto"/>
          <w:szCs w:val="24"/>
        </w:rPr>
        <w:t>1</w:t>
      </w:r>
      <w:r>
        <w:rPr>
          <w:rFonts w:hint="eastAsia" w:ascii="Times New Roman" w:eastAsia="黑体"/>
          <w:color w:val="auto"/>
          <w:szCs w:val="24"/>
        </w:rPr>
        <w:t>：承包人承揽工程项目一览表</w:t>
      </w:r>
      <w:bookmarkEnd w:id="624"/>
    </w:p>
    <w:p w14:paraId="599BA8DB">
      <w:pPr>
        <w:spacing w:line="360" w:lineRule="auto"/>
        <w:jc w:val="center"/>
        <w:rPr>
          <w:rFonts w:cs="宋体"/>
          <w:color w:val="auto"/>
          <w:sz w:val="22"/>
          <w:szCs w:val="21"/>
        </w:rPr>
      </w:pPr>
      <w:r>
        <w:rPr>
          <w:rFonts w:hint="eastAsia" w:cs="宋体"/>
          <w:color w:val="auto"/>
          <w:sz w:val="22"/>
          <w:szCs w:val="21"/>
        </w:rPr>
        <w:t>承包人承揽工程项目一览表</w:t>
      </w:r>
    </w:p>
    <w:tbl>
      <w:tblPr>
        <w:tblStyle w:val="5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979"/>
        <w:gridCol w:w="691"/>
        <w:gridCol w:w="1301"/>
        <w:gridCol w:w="691"/>
        <w:gridCol w:w="401"/>
        <w:gridCol w:w="691"/>
        <w:gridCol w:w="982"/>
        <w:gridCol w:w="1244"/>
        <w:gridCol w:w="691"/>
        <w:gridCol w:w="691"/>
      </w:tblGrid>
      <w:tr w14:paraId="07AB0A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586" w:type="pct"/>
            <w:tcBorders>
              <w:top w:val="single" w:color="auto" w:sz="12" w:space="0"/>
              <w:bottom w:val="double" w:color="auto" w:sz="6" w:space="0"/>
            </w:tcBorders>
            <w:vAlign w:val="center"/>
          </w:tcPr>
          <w:p w14:paraId="7C2DBB96">
            <w:pPr>
              <w:keepNext/>
              <w:snapToGrid w:val="0"/>
              <w:spacing w:line="360" w:lineRule="auto"/>
              <w:jc w:val="center"/>
              <w:rPr>
                <w:rFonts w:cs="宋体"/>
                <w:color w:val="auto"/>
                <w:sz w:val="22"/>
                <w:szCs w:val="21"/>
              </w:rPr>
            </w:pPr>
            <w:r>
              <w:rPr>
                <w:rFonts w:hint="eastAsia" w:cs="宋体"/>
                <w:color w:val="auto"/>
                <w:sz w:val="22"/>
                <w:szCs w:val="21"/>
              </w:rPr>
              <w:t>单位工程名称</w:t>
            </w:r>
          </w:p>
        </w:tc>
        <w:tc>
          <w:tcPr>
            <w:tcW w:w="413" w:type="pct"/>
            <w:tcBorders>
              <w:top w:val="single" w:color="auto" w:sz="12" w:space="0"/>
              <w:bottom w:val="double" w:color="auto" w:sz="6" w:space="0"/>
            </w:tcBorders>
            <w:vAlign w:val="center"/>
          </w:tcPr>
          <w:p w14:paraId="7E6949B6">
            <w:pPr>
              <w:keepNext/>
              <w:snapToGrid w:val="0"/>
              <w:spacing w:line="360" w:lineRule="auto"/>
              <w:jc w:val="center"/>
              <w:rPr>
                <w:rFonts w:cs="宋体"/>
                <w:color w:val="auto"/>
                <w:sz w:val="22"/>
                <w:szCs w:val="21"/>
              </w:rPr>
            </w:pPr>
            <w:r>
              <w:rPr>
                <w:rFonts w:hint="eastAsia" w:cs="宋体"/>
                <w:color w:val="auto"/>
                <w:sz w:val="22"/>
                <w:szCs w:val="21"/>
              </w:rPr>
              <w:t>建设规模</w:t>
            </w:r>
          </w:p>
        </w:tc>
        <w:tc>
          <w:tcPr>
            <w:tcW w:w="778" w:type="pct"/>
            <w:tcBorders>
              <w:top w:val="single" w:color="auto" w:sz="12" w:space="0"/>
              <w:bottom w:val="double" w:color="auto" w:sz="6" w:space="0"/>
            </w:tcBorders>
            <w:vAlign w:val="center"/>
          </w:tcPr>
          <w:p w14:paraId="28BA3D4B">
            <w:pPr>
              <w:keepNext/>
              <w:snapToGrid w:val="0"/>
              <w:spacing w:line="360" w:lineRule="auto"/>
              <w:jc w:val="center"/>
              <w:rPr>
                <w:rFonts w:cs="宋体"/>
                <w:color w:val="auto"/>
                <w:sz w:val="22"/>
                <w:szCs w:val="21"/>
              </w:rPr>
            </w:pPr>
            <w:r>
              <w:rPr>
                <w:rFonts w:hint="eastAsia" w:cs="宋体"/>
                <w:color w:val="auto"/>
                <w:sz w:val="22"/>
                <w:szCs w:val="21"/>
              </w:rPr>
              <w:t>建筑面积（平方米）</w:t>
            </w:r>
          </w:p>
        </w:tc>
        <w:tc>
          <w:tcPr>
            <w:tcW w:w="413" w:type="pct"/>
            <w:tcBorders>
              <w:top w:val="single" w:color="auto" w:sz="12" w:space="0"/>
              <w:bottom w:val="double" w:color="auto" w:sz="6" w:space="0"/>
            </w:tcBorders>
            <w:vAlign w:val="center"/>
          </w:tcPr>
          <w:p w14:paraId="0932AC82">
            <w:pPr>
              <w:keepNext/>
              <w:snapToGrid w:val="0"/>
              <w:spacing w:line="360" w:lineRule="auto"/>
              <w:jc w:val="center"/>
              <w:rPr>
                <w:rFonts w:cs="宋体"/>
                <w:color w:val="auto"/>
                <w:sz w:val="22"/>
                <w:szCs w:val="21"/>
              </w:rPr>
            </w:pPr>
            <w:r>
              <w:rPr>
                <w:rFonts w:hint="eastAsia" w:cs="宋体"/>
                <w:color w:val="auto"/>
                <w:sz w:val="22"/>
                <w:szCs w:val="21"/>
              </w:rPr>
              <w:t>结构形式</w:t>
            </w:r>
          </w:p>
        </w:tc>
        <w:tc>
          <w:tcPr>
            <w:tcW w:w="240" w:type="pct"/>
            <w:tcBorders>
              <w:top w:val="single" w:color="auto" w:sz="12" w:space="0"/>
              <w:bottom w:val="double" w:color="auto" w:sz="6" w:space="0"/>
            </w:tcBorders>
            <w:vAlign w:val="center"/>
          </w:tcPr>
          <w:p w14:paraId="2E04E871">
            <w:pPr>
              <w:keepNext/>
              <w:snapToGrid w:val="0"/>
              <w:spacing w:line="360" w:lineRule="auto"/>
              <w:jc w:val="center"/>
              <w:rPr>
                <w:rFonts w:cs="宋体"/>
                <w:color w:val="auto"/>
                <w:sz w:val="22"/>
                <w:szCs w:val="21"/>
              </w:rPr>
            </w:pPr>
            <w:r>
              <w:rPr>
                <w:rFonts w:hint="eastAsia" w:cs="宋体"/>
                <w:color w:val="auto"/>
                <w:sz w:val="22"/>
                <w:szCs w:val="21"/>
              </w:rPr>
              <w:t>层数</w:t>
            </w:r>
          </w:p>
        </w:tc>
        <w:tc>
          <w:tcPr>
            <w:tcW w:w="413" w:type="pct"/>
            <w:tcBorders>
              <w:top w:val="single" w:color="auto" w:sz="12" w:space="0"/>
              <w:bottom w:val="double" w:color="auto" w:sz="6" w:space="0"/>
            </w:tcBorders>
            <w:vAlign w:val="center"/>
          </w:tcPr>
          <w:p w14:paraId="6170F543">
            <w:pPr>
              <w:keepNext/>
              <w:snapToGrid w:val="0"/>
              <w:spacing w:line="360" w:lineRule="auto"/>
              <w:jc w:val="center"/>
              <w:rPr>
                <w:rFonts w:cs="宋体"/>
                <w:color w:val="auto"/>
                <w:sz w:val="22"/>
                <w:szCs w:val="21"/>
              </w:rPr>
            </w:pPr>
            <w:r>
              <w:rPr>
                <w:rFonts w:hint="eastAsia" w:cs="宋体"/>
                <w:color w:val="auto"/>
                <w:sz w:val="22"/>
                <w:szCs w:val="21"/>
              </w:rPr>
              <w:t>生产能力</w:t>
            </w:r>
          </w:p>
        </w:tc>
        <w:tc>
          <w:tcPr>
            <w:tcW w:w="587" w:type="pct"/>
            <w:tcBorders>
              <w:top w:val="single" w:color="auto" w:sz="12" w:space="0"/>
              <w:bottom w:val="double" w:color="auto" w:sz="6" w:space="0"/>
            </w:tcBorders>
            <w:vAlign w:val="center"/>
          </w:tcPr>
          <w:p w14:paraId="7BD2AF31">
            <w:pPr>
              <w:keepNext/>
              <w:snapToGrid w:val="0"/>
              <w:spacing w:line="360" w:lineRule="auto"/>
              <w:jc w:val="center"/>
              <w:rPr>
                <w:rFonts w:cs="宋体"/>
                <w:color w:val="auto"/>
                <w:sz w:val="22"/>
                <w:szCs w:val="21"/>
              </w:rPr>
            </w:pPr>
            <w:r>
              <w:rPr>
                <w:rFonts w:hint="eastAsia" w:cs="宋体"/>
                <w:color w:val="auto"/>
                <w:sz w:val="22"/>
                <w:szCs w:val="21"/>
              </w:rPr>
              <w:t>设备安装内容</w:t>
            </w:r>
          </w:p>
        </w:tc>
        <w:tc>
          <w:tcPr>
            <w:tcW w:w="744" w:type="pct"/>
            <w:tcBorders>
              <w:top w:val="single" w:color="auto" w:sz="12" w:space="0"/>
              <w:bottom w:val="double" w:color="auto" w:sz="6" w:space="0"/>
            </w:tcBorders>
            <w:vAlign w:val="center"/>
          </w:tcPr>
          <w:p w14:paraId="747B4721">
            <w:pPr>
              <w:keepNext/>
              <w:snapToGrid w:val="0"/>
              <w:spacing w:line="360" w:lineRule="auto"/>
              <w:jc w:val="center"/>
              <w:rPr>
                <w:rFonts w:cs="宋体"/>
                <w:color w:val="auto"/>
                <w:sz w:val="22"/>
                <w:szCs w:val="21"/>
              </w:rPr>
            </w:pPr>
            <w:r>
              <w:rPr>
                <w:rFonts w:hint="eastAsia" w:cs="宋体"/>
                <w:color w:val="auto"/>
                <w:sz w:val="22"/>
                <w:szCs w:val="21"/>
              </w:rPr>
              <w:t>合同价格（元）</w:t>
            </w:r>
          </w:p>
        </w:tc>
        <w:tc>
          <w:tcPr>
            <w:tcW w:w="413" w:type="pct"/>
            <w:tcBorders>
              <w:top w:val="single" w:color="auto" w:sz="12" w:space="0"/>
              <w:bottom w:val="double" w:color="auto" w:sz="6" w:space="0"/>
            </w:tcBorders>
            <w:vAlign w:val="center"/>
          </w:tcPr>
          <w:p w14:paraId="29B010DF">
            <w:pPr>
              <w:keepNext/>
              <w:snapToGrid w:val="0"/>
              <w:spacing w:line="360" w:lineRule="auto"/>
              <w:jc w:val="center"/>
              <w:rPr>
                <w:rFonts w:cs="宋体"/>
                <w:color w:val="auto"/>
                <w:sz w:val="22"/>
                <w:szCs w:val="21"/>
              </w:rPr>
            </w:pPr>
            <w:r>
              <w:rPr>
                <w:rFonts w:hint="eastAsia" w:cs="宋体"/>
                <w:color w:val="auto"/>
                <w:sz w:val="22"/>
                <w:szCs w:val="21"/>
              </w:rPr>
              <w:t>开工日期</w:t>
            </w:r>
          </w:p>
        </w:tc>
        <w:tc>
          <w:tcPr>
            <w:tcW w:w="413" w:type="pct"/>
            <w:tcBorders>
              <w:top w:val="single" w:color="auto" w:sz="12" w:space="0"/>
              <w:bottom w:val="double" w:color="auto" w:sz="6" w:space="0"/>
            </w:tcBorders>
            <w:vAlign w:val="center"/>
          </w:tcPr>
          <w:p w14:paraId="0D8BCF38">
            <w:pPr>
              <w:keepNext/>
              <w:snapToGrid w:val="0"/>
              <w:spacing w:line="360" w:lineRule="auto"/>
              <w:jc w:val="center"/>
              <w:rPr>
                <w:rFonts w:cs="宋体"/>
                <w:color w:val="auto"/>
                <w:sz w:val="22"/>
                <w:szCs w:val="21"/>
              </w:rPr>
            </w:pPr>
            <w:r>
              <w:rPr>
                <w:rFonts w:hint="eastAsia" w:cs="宋体"/>
                <w:color w:val="auto"/>
                <w:sz w:val="22"/>
                <w:szCs w:val="21"/>
              </w:rPr>
              <w:t>竣工日期</w:t>
            </w:r>
          </w:p>
        </w:tc>
      </w:tr>
      <w:tr w14:paraId="1CB7C2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6" w:type="pct"/>
            <w:tcBorders>
              <w:top w:val="double" w:color="auto" w:sz="6" w:space="0"/>
            </w:tcBorders>
            <w:vAlign w:val="center"/>
          </w:tcPr>
          <w:p w14:paraId="4CA05E38">
            <w:pPr>
              <w:keepNext/>
              <w:snapToGrid w:val="0"/>
              <w:spacing w:line="360" w:lineRule="auto"/>
              <w:jc w:val="center"/>
              <w:rPr>
                <w:rFonts w:cs="宋体"/>
                <w:color w:val="auto"/>
                <w:sz w:val="22"/>
                <w:szCs w:val="21"/>
              </w:rPr>
            </w:pPr>
          </w:p>
        </w:tc>
        <w:tc>
          <w:tcPr>
            <w:tcW w:w="413" w:type="pct"/>
            <w:tcBorders>
              <w:top w:val="double" w:color="auto" w:sz="6" w:space="0"/>
            </w:tcBorders>
            <w:vAlign w:val="center"/>
          </w:tcPr>
          <w:p w14:paraId="04E23F55">
            <w:pPr>
              <w:keepNext/>
              <w:snapToGrid w:val="0"/>
              <w:spacing w:line="360" w:lineRule="auto"/>
              <w:jc w:val="center"/>
              <w:rPr>
                <w:rFonts w:cs="宋体"/>
                <w:color w:val="auto"/>
                <w:sz w:val="22"/>
                <w:szCs w:val="21"/>
              </w:rPr>
            </w:pPr>
          </w:p>
        </w:tc>
        <w:tc>
          <w:tcPr>
            <w:tcW w:w="778" w:type="pct"/>
            <w:tcBorders>
              <w:top w:val="double" w:color="auto" w:sz="6" w:space="0"/>
            </w:tcBorders>
            <w:vAlign w:val="center"/>
          </w:tcPr>
          <w:p w14:paraId="0522E172">
            <w:pPr>
              <w:keepNext/>
              <w:snapToGrid w:val="0"/>
              <w:spacing w:line="360" w:lineRule="auto"/>
              <w:jc w:val="center"/>
              <w:rPr>
                <w:rFonts w:cs="宋体"/>
                <w:color w:val="auto"/>
                <w:sz w:val="22"/>
                <w:szCs w:val="21"/>
              </w:rPr>
            </w:pPr>
          </w:p>
        </w:tc>
        <w:tc>
          <w:tcPr>
            <w:tcW w:w="413" w:type="pct"/>
            <w:tcBorders>
              <w:top w:val="double" w:color="auto" w:sz="6" w:space="0"/>
            </w:tcBorders>
            <w:vAlign w:val="center"/>
          </w:tcPr>
          <w:p w14:paraId="3CC4907A">
            <w:pPr>
              <w:keepNext/>
              <w:snapToGrid w:val="0"/>
              <w:spacing w:line="360" w:lineRule="auto"/>
              <w:jc w:val="center"/>
              <w:rPr>
                <w:rFonts w:cs="宋体"/>
                <w:color w:val="auto"/>
                <w:sz w:val="22"/>
                <w:szCs w:val="21"/>
              </w:rPr>
            </w:pPr>
          </w:p>
        </w:tc>
        <w:tc>
          <w:tcPr>
            <w:tcW w:w="240" w:type="pct"/>
            <w:tcBorders>
              <w:top w:val="double" w:color="auto" w:sz="6" w:space="0"/>
            </w:tcBorders>
            <w:vAlign w:val="center"/>
          </w:tcPr>
          <w:p w14:paraId="4D12C217">
            <w:pPr>
              <w:keepNext/>
              <w:snapToGrid w:val="0"/>
              <w:spacing w:line="360" w:lineRule="auto"/>
              <w:jc w:val="center"/>
              <w:rPr>
                <w:rFonts w:cs="宋体"/>
                <w:color w:val="auto"/>
                <w:sz w:val="22"/>
                <w:szCs w:val="21"/>
              </w:rPr>
            </w:pPr>
          </w:p>
        </w:tc>
        <w:tc>
          <w:tcPr>
            <w:tcW w:w="413" w:type="pct"/>
            <w:tcBorders>
              <w:top w:val="double" w:color="auto" w:sz="6" w:space="0"/>
            </w:tcBorders>
            <w:vAlign w:val="center"/>
          </w:tcPr>
          <w:p w14:paraId="77038A34">
            <w:pPr>
              <w:keepNext/>
              <w:snapToGrid w:val="0"/>
              <w:spacing w:line="360" w:lineRule="auto"/>
              <w:jc w:val="center"/>
              <w:rPr>
                <w:rFonts w:cs="宋体"/>
                <w:color w:val="auto"/>
                <w:sz w:val="22"/>
                <w:szCs w:val="21"/>
              </w:rPr>
            </w:pPr>
          </w:p>
        </w:tc>
        <w:tc>
          <w:tcPr>
            <w:tcW w:w="587" w:type="pct"/>
            <w:tcBorders>
              <w:top w:val="double" w:color="auto" w:sz="6" w:space="0"/>
            </w:tcBorders>
            <w:vAlign w:val="center"/>
          </w:tcPr>
          <w:p w14:paraId="57B339AF">
            <w:pPr>
              <w:keepNext/>
              <w:snapToGrid w:val="0"/>
              <w:spacing w:line="360" w:lineRule="auto"/>
              <w:jc w:val="center"/>
              <w:rPr>
                <w:rFonts w:cs="宋体"/>
                <w:color w:val="auto"/>
                <w:sz w:val="22"/>
                <w:szCs w:val="21"/>
              </w:rPr>
            </w:pPr>
          </w:p>
        </w:tc>
        <w:tc>
          <w:tcPr>
            <w:tcW w:w="744" w:type="pct"/>
            <w:tcBorders>
              <w:top w:val="double" w:color="auto" w:sz="6" w:space="0"/>
            </w:tcBorders>
            <w:vAlign w:val="center"/>
          </w:tcPr>
          <w:p w14:paraId="6FBDF4C8">
            <w:pPr>
              <w:keepNext/>
              <w:snapToGrid w:val="0"/>
              <w:spacing w:line="360" w:lineRule="auto"/>
              <w:jc w:val="center"/>
              <w:rPr>
                <w:rFonts w:cs="宋体"/>
                <w:color w:val="auto"/>
                <w:sz w:val="22"/>
                <w:szCs w:val="21"/>
              </w:rPr>
            </w:pPr>
          </w:p>
        </w:tc>
        <w:tc>
          <w:tcPr>
            <w:tcW w:w="413" w:type="pct"/>
            <w:tcBorders>
              <w:top w:val="double" w:color="auto" w:sz="6" w:space="0"/>
            </w:tcBorders>
            <w:vAlign w:val="center"/>
          </w:tcPr>
          <w:p w14:paraId="4EDC1A1A">
            <w:pPr>
              <w:keepNext/>
              <w:snapToGrid w:val="0"/>
              <w:spacing w:line="360" w:lineRule="auto"/>
              <w:jc w:val="center"/>
              <w:rPr>
                <w:rFonts w:cs="宋体"/>
                <w:color w:val="auto"/>
                <w:sz w:val="22"/>
                <w:szCs w:val="21"/>
              </w:rPr>
            </w:pPr>
          </w:p>
        </w:tc>
        <w:tc>
          <w:tcPr>
            <w:tcW w:w="413" w:type="pct"/>
            <w:tcBorders>
              <w:top w:val="double" w:color="auto" w:sz="6" w:space="0"/>
            </w:tcBorders>
            <w:vAlign w:val="center"/>
          </w:tcPr>
          <w:p w14:paraId="763EB213">
            <w:pPr>
              <w:keepNext/>
              <w:snapToGrid w:val="0"/>
              <w:spacing w:line="360" w:lineRule="auto"/>
              <w:jc w:val="center"/>
              <w:rPr>
                <w:rFonts w:cs="宋体"/>
                <w:color w:val="auto"/>
                <w:sz w:val="22"/>
                <w:szCs w:val="21"/>
              </w:rPr>
            </w:pPr>
          </w:p>
        </w:tc>
      </w:tr>
      <w:tr w14:paraId="15BBE3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6" w:type="pct"/>
            <w:tcBorders>
              <w:top w:val="nil"/>
            </w:tcBorders>
            <w:vAlign w:val="center"/>
          </w:tcPr>
          <w:p w14:paraId="2CF5BEBD">
            <w:pPr>
              <w:keepNext/>
              <w:snapToGrid w:val="0"/>
              <w:spacing w:line="360" w:lineRule="auto"/>
              <w:jc w:val="center"/>
              <w:rPr>
                <w:rFonts w:cs="宋体"/>
                <w:color w:val="auto"/>
                <w:sz w:val="22"/>
                <w:szCs w:val="21"/>
              </w:rPr>
            </w:pPr>
          </w:p>
        </w:tc>
        <w:tc>
          <w:tcPr>
            <w:tcW w:w="413" w:type="pct"/>
            <w:tcBorders>
              <w:top w:val="nil"/>
            </w:tcBorders>
            <w:vAlign w:val="center"/>
          </w:tcPr>
          <w:p w14:paraId="10127955">
            <w:pPr>
              <w:keepNext/>
              <w:snapToGrid w:val="0"/>
              <w:spacing w:line="360" w:lineRule="auto"/>
              <w:jc w:val="center"/>
              <w:rPr>
                <w:rFonts w:cs="宋体"/>
                <w:color w:val="auto"/>
                <w:sz w:val="22"/>
                <w:szCs w:val="21"/>
              </w:rPr>
            </w:pPr>
          </w:p>
        </w:tc>
        <w:tc>
          <w:tcPr>
            <w:tcW w:w="778" w:type="pct"/>
            <w:tcBorders>
              <w:top w:val="nil"/>
            </w:tcBorders>
            <w:vAlign w:val="center"/>
          </w:tcPr>
          <w:p w14:paraId="0EA48690">
            <w:pPr>
              <w:keepNext/>
              <w:snapToGrid w:val="0"/>
              <w:spacing w:line="360" w:lineRule="auto"/>
              <w:jc w:val="center"/>
              <w:rPr>
                <w:rFonts w:cs="宋体"/>
                <w:color w:val="auto"/>
                <w:sz w:val="22"/>
                <w:szCs w:val="21"/>
              </w:rPr>
            </w:pPr>
          </w:p>
        </w:tc>
        <w:tc>
          <w:tcPr>
            <w:tcW w:w="413" w:type="pct"/>
            <w:tcBorders>
              <w:top w:val="nil"/>
            </w:tcBorders>
            <w:vAlign w:val="center"/>
          </w:tcPr>
          <w:p w14:paraId="593E0A43">
            <w:pPr>
              <w:keepNext/>
              <w:snapToGrid w:val="0"/>
              <w:spacing w:line="360" w:lineRule="auto"/>
              <w:jc w:val="center"/>
              <w:rPr>
                <w:rFonts w:cs="宋体"/>
                <w:color w:val="auto"/>
                <w:sz w:val="22"/>
                <w:szCs w:val="21"/>
              </w:rPr>
            </w:pPr>
          </w:p>
        </w:tc>
        <w:tc>
          <w:tcPr>
            <w:tcW w:w="240" w:type="pct"/>
            <w:tcBorders>
              <w:top w:val="nil"/>
            </w:tcBorders>
            <w:vAlign w:val="center"/>
          </w:tcPr>
          <w:p w14:paraId="0153B893">
            <w:pPr>
              <w:keepNext/>
              <w:snapToGrid w:val="0"/>
              <w:spacing w:line="360" w:lineRule="auto"/>
              <w:jc w:val="center"/>
              <w:rPr>
                <w:rFonts w:cs="宋体"/>
                <w:color w:val="auto"/>
                <w:sz w:val="22"/>
                <w:szCs w:val="21"/>
              </w:rPr>
            </w:pPr>
          </w:p>
        </w:tc>
        <w:tc>
          <w:tcPr>
            <w:tcW w:w="413" w:type="pct"/>
            <w:tcBorders>
              <w:top w:val="nil"/>
            </w:tcBorders>
            <w:vAlign w:val="center"/>
          </w:tcPr>
          <w:p w14:paraId="2D56BF03">
            <w:pPr>
              <w:keepNext/>
              <w:snapToGrid w:val="0"/>
              <w:spacing w:line="360" w:lineRule="auto"/>
              <w:jc w:val="center"/>
              <w:rPr>
                <w:rFonts w:cs="宋体"/>
                <w:color w:val="auto"/>
                <w:sz w:val="22"/>
                <w:szCs w:val="21"/>
              </w:rPr>
            </w:pPr>
          </w:p>
        </w:tc>
        <w:tc>
          <w:tcPr>
            <w:tcW w:w="587" w:type="pct"/>
            <w:tcBorders>
              <w:top w:val="nil"/>
            </w:tcBorders>
            <w:vAlign w:val="center"/>
          </w:tcPr>
          <w:p w14:paraId="366091CD">
            <w:pPr>
              <w:keepNext/>
              <w:snapToGrid w:val="0"/>
              <w:spacing w:line="360" w:lineRule="auto"/>
              <w:jc w:val="center"/>
              <w:rPr>
                <w:rFonts w:cs="宋体"/>
                <w:color w:val="auto"/>
                <w:sz w:val="22"/>
                <w:szCs w:val="21"/>
              </w:rPr>
            </w:pPr>
          </w:p>
        </w:tc>
        <w:tc>
          <w:tcPr>
            <w:tcW w:w="744" w:type="pct"/>
            <w:tcBorders>
              <w:top w:val="nil"/>
            </w:tcBorders>
            <w:vAlign w:val="center"/>
          </w:tcPr>
          <w:p w14:paraId="5904894F">
            <w:pPr>
              <w:keepNext/>
              <w:snapToGrid w:val="0"/>
              <w:spacing w:line="360" w:lineRule="auto"/>
              <w:jc w:val="center"/>
              <w:rPr>
                <w:rFonts w:cs="宋体"/>
                <w:color w:val="auto"/>
                <w:sz w:val="22"/>
                <w:szCs w:val="21"/>
              </w:rPr>
            </w:pPr>
          </w:p>
        </w:tc>
        <w:tc>
          <w:tcPr>
            <w:tcW w:w="413" w:type="pct"/>
            <w:tcBorders>
              <w:top w:val="nil"/>
            </w:tcBorders>
            <w:vAlign w:val="center"/>
          </w:tcPr>
          <w:p w14:paraId="7E9A210D">
            <w:pPr>
              <w:keepNext/>
              <w:snapToGrid w:val="0"/>
              <w:spacing w:line="360" w:lineRule="auto"/>
              <w:jc w:val="center"/>
              <w:rPr>
                <w:rFonts w:cs="宋体"/>
                <w:color w:val="auto"/>
                <w:sz w:val="22"/>
                <w:szCs w:val="21"/>
              </w:rPr>
            </w:pPr>
          </w:p>
        </w:tc>
        <w:tc>
          <w:tcPr>
            <w:tcW w:w="413" w:type="pct"/>
            <w:tcBorders>
              <w:top w:val="nil"/>
            </w:tcBorders>
            <w:vAlign w:val="center"/>
          </w:tcPr>
          <w:p w14:paraId="58308ECA">
            <w:pPr>
              <w:keepNext/>
              <w:snapToGrid w:val="0"/>
              <w:spacing w:line="360" w:lineRule="auto"/>
              <w:jc w:val="center"/>
              <w:rPr>
                <w:rFonts w:cs="宋体"/>
                <w:color w:val="auto"/>
                <w:sz w:val="22"/>
                <w:szCs w:val="21"/>
              </w:rPr>
            </w:pPr>
          </w:p>
        </w:tc>
      </w:tr>
      <w:tr w14:paraId="75B384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6" w:type="pct"/>
            <w:tcBorders>
              <w:top w:val="nil"/>
            </w:tcBorders>
            <w:vAlign w:val="center"/>
          </w:tcPr>
          <w:p w14:paraId="66F1739C">
            <w:pPr>
              <w:keepNext/>
              <w:snapToGrid w:val="0"/>
              <w:spacing w:line="360" w:lineRule="auto"/>
              <w:jc w:val="center"/>
              <w:rPr>
                <w:rFonts w:cs="宋体"/>
                <w:color w:val="auto"/>
                <w:sz w:val="22"/>
                <w:szCs w:val="21"/>
              </w:rPr>
            </w:pPr>
          </w:p>
        </w:tc>
        <w:tc>
          <w:tcPr>
            <w:tcW w:w="413" w:type="pct"/>
            <w:tcBorders>
              <w:top w:val="nil"/>
            </w:tcBorders>
            <w:vAlign w:val="center"/>
          </w:tcPr>
          <w:p w14:paraId="158AF2AB">
            <w:pPr>
              <w:keepNext/>
              <w:snapToGrid w:val="0"/>
              <w:spacing w:line="360" w:lineRule="auto"/>
              <w:jc w:val="center"/>
              <w:rPr>
                <w:rFonts w:cs="宋体"/>
                <w:color w:val="auto"/>
                <w:sz w:val="22"/>
                <w:szCs w:val="21"/>
              </w:rPr>
            </w:pPr>
          </w:p>
        </w:tc>
        <w:tc>
          <w:tcPr>
            <w:tcW w:w="778" w:type="pct"/>
            <w:tcBorders>
              <w:top w:val="nil"/>
            </w:tcBorders>
            <w:vAlign w:val="center"/>
          </w:tcPr>
          <w:p w14:paraId="37CF5BB5">
            <w:pPr>
              <w:keepNext/>
              <w:snapToGrid w:val="0"/>
              <w:spacing w:line="360" w:lineRule="auto"/>
              <w:jc w:val="center"/>
              <w:rPr>
                <w:rFonts w:cs="宋体"/>
                <w:color w:val="auto"/>
                <w:sz w:val="22"/>
                <w:szCs w:val="21"/>
              </w:rPr>
            </w:pPr>
          </w:p>
        </w:tc>
        <w:tc>
          <w:tcPr>
            <w:tcW w:w="413" w:type="pct"/>
            <w:tcBorders>
              <w:top w:val="nil"/>
            </w:tcBorders>
            <w:vAlign w:val="center"/>
          </w:tcPr>
          <w:p w14:paraId="12AC0EF7">
            <w:pPr>
              <w:keepNext/>
              <w:snapToGrid w:val="0"/>
              <w:spacing w:line="360" w:lineRule="auto"/>
              <w:jc w:val="center"/>
              <w:rPr>
                <w:rFonts w:cs="宋体"/>
                <w:color w:val="auto"/>
                <w:sz w:val="22"/>
                <w:szCs w:val="21"/>
              </w:rPr>
            </w:pPr>
          </w:p>
        </w:tc>
        <w:tc>
          <w:tcPr>
            <w:tcW w:w="240" w:type="pct"/>
            <w:tcBorders>
              <w:top w:val="nil"/>
            </w:tcBorders>
            <w:vAlign w:val="center"/>
          </w:tcPr>
          <w:p w14:paraId="550B0A56">
            <w:pPr>
              <w:keepNext/>
              <w:snapToGrid w:val="0"/>
              <w:spacing w:line="360" w:lineRule="auto"/>
              <w:jc w:val="center"/>
              <w:rPr>
                <w:rFonts w:cs="宋体"/>
                <w:color w:val="auto"/>
                <w:sz w:val="22"/>
                <w:szCs w:val="21"/>
              </w:rPr>
            </w:pPr>
          </w:p>
        </w:tc>
        <w:tc>
          <w:tcPr>
            <w:tcW w:w="413" w:type="pct"/>
            <w:tcBorders>
              <w:top w:val="nil"/>
            </w:tcBorders>
            <w:vAlign w:val="center"/>
          </w:tcPr>
          <w:p w14:paraId="46EB5DE4">
            <w:pPr>
              <w:keepNext/>
              <w:snapToGrid w:val="0"/>
              <w:spacing w:line="360" w:lineRule="auto"/>
              <w:jc w:val="center"/>
              <w:rPr>
                <w:rFonts w:cs="宋体"/>
                <w:color w:val="auto"/>
                <w:sz w:val="22"/>
                <w:szCs w:val="21"/>
              </w:rPr>
            </w:pPr>
          </w:p>
        </w:tc>
        <w:tc>
          <w:tcPr>
            <w:tcW w:w="587" w:type="pct"/>
            <w:tcBorders>
              <w:top w:val="nil"/>
            </w:tcBorders>
            <w:vAlign w:val="center"/>
          </w:tcPr>
          <w:p w14:paraId="5A48E577">
            <w:pPr>
              <w:keepNext/>
              <w:snapToGrid w:val="0"/>
              <w:spacing w:line="360" w:lineRule="auto"/>
              <w:jc w:val="center"/>
              <w:rPr>
                <w:rFonts w:cs="宋体"/>
                <w:color w:val="auto"/>
                <w:sz w:val="22"/>
                <w:szCs w:val="21"/>
              </w:rPr>
            </w:pPr>
          </w:p>
        </w:tc>
        <w:tc>
          <w:tcPr>
            <w:tcW w:w="744" w:type="pct"/>
            <w:tcBorders>
              <w:top w:val="nil"/>
            </w:tcBorders>
            <w:vAlign w:val="center"/>
          </w:tcPr>
          <w:p w14:paraId="492D8E63">
            <w:pPr>
              <w:keepNext/>
              <w:snapToGrid w:val="0"/>
              <w:spacing w:line="360" w:lineRule="auto"/>
              <w:jc w:val="center"/>
              <w:rPr>
                <w:rFonts w:cs="宋体"/>
                <w:color w:val="auto"/>
                <w:sz w:val="22"/>
                <w:szCs w:val="21"/>
              </w:rPr>
            </w:pPr>
          </w:p>
        </w:tc>
        <w:tc>
          <w:tcPr>
            <w:tcW w:w="413" w:type="pct"/>
            <w:tcBorders>
              <w:top w:val="nil"/>
            </w:tcBorders>
            <w:vAlign w:val="center"/>
          </w:tcPr>
          <w:p w14:paraId="0D2B37F5">
            <w:pPr>
              <w:keepNext/>
              <w:snapToGrid w:val="0"/>
              <w:spacing w:line="360" w:lineRule="auto"/>
              <w:jc w:val="center"/>
              <w:rPr>
                <w:rFonts w:cs="宋体"/>
                <w:color w:val="auto"/>
                <w:sz w:val="22"/>
                <w:szCs w:val="21"/>
              </w:rPr>
            </w:pPr>
          </w:p>
        </w:tc>
        <w:tc>
          <w:tcPr>
            <w:tcW w:w="413" w:type="pct"/>
            <w:tcBorders>
              <w:top w:val="nil"/>
            </w:tcBorders>
            <w:vAlign w:val="center"/>
          </w:tcPr>
          <w:p w14:paraId="19E73D68">
            <w:pPr>
              <w:keepNext/>
              <w:snapToGrid w:val="0"/>
              <w:spacing w:line="360" w:lineRule="auto"/>
              <w:jc w:val="center"/>
              <w:rPr>
                <w:rFonts w:cs="宋体"/>
                <w:color w:val="auto"/>
                <w:sz w:val="22"/>
                <w:szCs w:val="21"/>
              </w:rPr>
            </w:pPr>
          </w:p>
        </w:tc>
      </w:tr>
      <w:tr w14:paraId="714BBF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6" w:type="pct"/>
            <w:tcBorders>
              <w:bottom w:val="single" w:color="auto" w:sz="12" w:space="0"/>
            </w:tcBorders>
            <w:vAlign w:val="center"/>
          </w:tcPr>
          <w:p w14:paraId="2A2A86EF">
            <w:pPr>
              <w:keepNext/>
              <w:snapToGrid w:val="0"/>
              <w:spacing w:line="360" w:lineRule="auto"/>
              <w:jc w:val="center"/>
              <w:rPr>
                <w:rFonts w:cs="宋体"/>
                <w:color w:val="auto"/>
                <w:sz w:val="22"/>
                <w:szCs w:val="21"/>
              </w:rPr>
            </w:pPr>
          </w:p>
        </w:tc>
        <w:tc>
          <w:tcPr>
            <w:tcW w:w="413" w:type="pct"/>
            <w:tcBorders>
              <w:bottom w:val="single" w:color="auto" w:sz="12" w:space="0"/>
            </w:tcBorders>
            <w:vAlign w:val="center"/>
          </w:tcPr>
          <w:p w14:paraId="5A7635CF">
            <w:pPr>
              <w:keepNext/>
              <w:snapToGrid w:val="0"/>
              <w:spacing w:line="360" w:lineRule="auto"/>
              <w:jc w:val="center"/>
              <w:rPr>
                <w:rFonts w:cs="宋体"/>
                <w:color w:val="auto"/>
                <w:sz w:val="22"/>
                <w:szCs w:val="21"/>
              </w:rPr>
            </w:pPr>
          </w:p>
        </w:tc>
        <w:tc>
          <w:tcPr>
            <w:tcW w:w="778" w:type="pct"/>
            <w:tcBorders>
              <w:bottom w:val="single" w:color="auto" w:sz="12" w:space="0"/>
            </w:tcBorders>
            <w:vAlign w:val="center"/>
          </w:tcPr>
          <w:p w14:paraId="624B5995">
            <w:pPr>
              <w:keepNext/>
              <w:snapToGrid w:val="0"/>
              <w:spacing w:line="360" w:lineRule="auto"/>
              <w:jc w:val="center"/>
              <w:rPr>
                <w:rFonts w:cs="宋体"/>
                <w:color w:val="auto"/>
                <w:sz w:val="22"/>
                <w:szCs w:val="21"/>
              </w:rPr>
            </w:pPr>
          </w:p>
        </w:tc>
        <w:tc>
          <w:tcPr>
            <w:tcW w:w="413" w:type="pct"/>
            <w:tcBorders>
              <w:bottom w:val="single" w:color="auto" w:sz="12" w:space="0"/>
            </w:tcBorders>
            <w:vAlign w:val="center"/>
          </w:tcPr>
          <w:p w14:paraId="66FFB141">
            <w:pPr>
              <w:keepNext/>
              <w:snapToGrid w:val="0"/>
              <w:spacing w:line="360" w:lineRule="auto"/>
              <w:jc w:val="center"/>
              <w:rPr>
                <w:rFonts w:cs="宋体"/>
                <w:color w:val="auto"/>
                <w:sz w:val="22"/>
                <w:szCs w:val="21"/>
              </w:rPr>
            </w:pPr>
          </w:p>
        </w:tc>
        <w:tc>
          <w:tcPr>
            <w:tcW w:w="240" w:type="pct"/>
            <w:tcBorders>
              <w:bottom w:val="single" w:color="auto" w:sz="12" w:space="0"/>
            </w:tcBorders>
            <w:vAlign w:val="center"/>
          </w:tcPr>
          <w:p w14:paraId="31D63723">
            <w:pPr>
              <w:keepNext/>
              <w:snapToGrid w:val="0"/>
              <w:spacing w:line="360" w:lineRule="auto"/>
              <w:jc w:val="center"/>
              <w:rPr>
                <w:rFonts w:cs="宋体"/>
                <w:color w:val="auto"/>
                <w:sz w:val="22"/>
                <w:szCs w:val="21"/>
              </w:rPr>
            </w:pPr>
          </w:p>
        </w:tc>
        <w:tc>
          <w:tcPr>
            <w:tcW w:w="413" w:type="pct"/>
            <w:tcBorders>
              <w:bottom w:val="single" w:color="auto" w:sz="12" w:space="0"/>
            </w:tcBorders>
            <w:vAlign w:val="center"/>
          </w:tcPr>
          <w:p w14:paraId="3D686C7A">
            <w:pPr>
              <w:keepNext/>
              <w:snapToGrid w:val="0"/>
              <w:spacing w:line="360" w:lineRule="auto"/>
              <w:jc w:val="center"/>
              <w:rPr>
                <w:rFonts w:cs="宋体"/>
                <w:color w:val="auto"/>
                <w:sz w:val="22"/>
                <w:szCs w:val="21"/>
              </w:rPr>
            </w:pPr>
          </w:p>
        </w:tc>
        <w:tc>
          <w:tcPr>
            <w:tcW w:w="587" w:type="pct"/>
            <w:tcBorders>
              <w:bottom w:val="single" w:color="auto" w:sz="12" w:space="0"/>
            </w:tcBorders>
            <w:vAlign w:val="center"/>
          </w:tcPr>
          <w:p w14:paraId="0DFE99F9">
            <w:pPr>
              <w:keepNext/>
              <w:snapToGrid w:val="0"/>
              <w:spacing w:line="360" w:lineRule="auto"/>
              <w:jc w:val="center"/>
              <w:rPr>
                <w:rFonts w:cs="宋体"/>
                <w:color w:val="auto"/>
                <w:sz w:val="22"/>
                <w:szCs w:val="21"/>
              </w:rPr>
            </w:pPr>
          </w:p>
        </w:tc>
        <w:tc>
          <w:tcPr>
            <w:tcW w:w="744" w:type="pct"/>
            <w:tcBorders>
              <w:bottom w:val="single" w:color="auto" w:sz="12" w:space="0"/>
            </w:tcBorders>
            <w:vAlign w:val="center"/>
          </w:tcPr>
          <w:p w14:paraId="28D7DF5B">
            <w:pPr>
              <w:keepNext/>
              <w:snapToGrid w:val="0"/>
              <w:spacing w:line="360" w:lineRule="auto"/>
              <w:jc w:val="center"/>
              <w:rPr>
                <w:rFonts w:cs="宋体"/>
                <w:color w:val="auto"/>
                <w:sz w:val="22"/>
                <w:szCs w:val="21"/>
              </w:rPr>
            </w:pPr>
          </w:p>
        </w:tc>
        <w:tc>
          <w:tcPr>
            <w:tcW w:w="413" w:type="pct"/>
            <w:tcBorders>
              <w:bottom w:val="single" w:color="auto" w:sz="12" w:space="0"/>
            </w:tcBorders>
            <w:vAlign w:val="center"/>
          </w:tcPr>
          <w:p w14:paraId="2F5E7D07">
            <w:pPr>
              <w:keepNext/>
              <w:snapToGrid w:val="0"/>
              <w:spacing w:line="360" w:lineRule="auto"/>
              <w:jc w:val="center"/>
              <w:rPr>
                <w:rFonts w:cs="宋体"/>
                <w:color w:val="auto"/>
                <w:sz w:val="22"/>
                <w:szCs w:val="21"/>
              </w:rPr>
            </w:pPr>
          </w:p>
        </w:tc>
        <w:tc>
          <w:tcPr>
            <w:tcW w:w="413" w:type="pct"/>
            <w:tcBorders>
              <w:bottom w:val="single" w:color="auto" w:sz="12" w:space="0"/>
            </w:tcBorders>
            <w:vAlign w:val="center"/>
          </w:tcPr>
          <w:p w14:paraId="1A9ECC7C">
            <w:pPr>
              <w:keepNext/>
              <w:snapToGrid w:val="0"/>
              <w:spacing w:line="360" w:lineRule="auto"/>
              <w:jc w:val="center"/>
              <w:rPr>
                <w:rFonts w:cs="宋体"/>
                <w:color w:val="auto"/>
                <w:sz w:val="22"/>
                <w:szCs w:val="21"/>
              </w:rPr>
            </w:pPr>
          </w:p>
        </w:tc>
      </w:tr>
    </w:tbl>
    <w:p w14:paraId="266DA4A7">
      <w:pPr>
        <w:spacing w:before="312" w:beforeLines="100" w:after="312" w:afterLines="100"/>
        <w:outlineLvl w:val="2"/>
        <w:rPr>
          <w:rFonts w:ascii="Times New Roman" w:eastAsia="黑体"/>
          <w:color w:val="auto"/>
          <w:szCs w:val="24"/>
        </w:rPr>
      </w:pPr>
      <w:r>
        <w:rPr>
          <w:rFonts w:hint="eastAsia" w:ascii="Times New Roman" w:eastAsia="黑体"/>
          <w:bCs/>
          <w:color w:val="auto"/>
        </w:rPr>
        <w:br w:type="page"/>
      </w:r>
      <w:bookmarkStart w:id="625" w:name="_Toc128950236"/>
      <w:r>
        <w:rPr>
          <w:rFonts w:hint="eastAsia" w:ascii="Times New Roman" w:eastAsia="黑体"/>
          <w:color w:val="auto"/>
          <w:szCs w:val="24"/>
        </w:rPr>
        <w:t>附</w:t>
      </w:r>
      <w:bookmarkStart w:id="626" w:name="_Toc296944564"/>
      <w:bookmarkStart w:id="627" w:name="_Toc267261692"/>
      <w:bookmarkStart w:id="628" w:name="_Toc296346726"/>
      <w:bookmarkStart w:id="629" w:name="_Toc296891265"/>
      <w:bookmarkStart w:id="630" w:name="_Toc296503225"/>
      <w:bookmarkStart w:id="631" w:name="_Toc296891053"/>
      <w:bookmarkStart w:id="632" w:name="_Toc296347224"/>
      <w:r>
        <w:rPr>
          <w:rFonts w:hint="eastAsia" w:ascii="Times New Roman" w:eastAsia="黑体"/>
          <w:color w:val="auto"/>
          <w:szCs w:val="24"/>
        </w:rPr>
        <w:t>件</w:t>
      </w:r>
      <w:r>
        <w:rPr>
          <w:rFonts w:ascii="Times New Roman" w:eastAsia="黑体"/>
          <w:color w:val="auto"/>
          <w:szCs w:val="24"/>
        </w:rPr>
        <w:t>2</w:t>
      </w:r>
      <w:r>
        <w:rPr>
          <w:rFonts w:hint="eastAsia" w:ascii="Times New Roman" w:eastAsia="黑体"/>
          <w:color w:val="auto"/>
          <w:szCs w:val="24"/>
        </w:rPr>
        <w:t>：发包人供应材料设备一览表</w:t>
      </w:r>
      <w:bookmarkEnd w:id="625"/>
    </w:p>
    <w:bookmarkEnd w:id="626"/>
    <w:bookmarkEnd w:id="627"/>
    <w:bookmarkEnd w:id="628"/>
    <w:bookmarkEnd w:id="629"/>
    <w:bookmarkEnd w:id="630"/>
    <w:bookmarkEnd w:id="631"/>
    <w:bookmarkEnd w:id="632"/>
    <w:p w14:paraId="504F3056">
      <w:pPr>
        <w:spacing w:line="360" w:lineRule="auto"/>
        <w:jc w:val="center"/>
        <w:rPr>
          <w:rFonts w:cs="宋体"/>
          <w:color w:val="auto"/>
          <w:sz w:val="22"/>
          <w:szCs w:val="21"/>
        </w:rPr>
      </w:pPr>
      <w:r>
        <w:rPr>
          <w:rFonts w:hint="eastAsia" w:cs="宋体"/>
          <w:color w:val="auto"/>
          <w:sz w:val="22"/>
          <w:szCs w:val="21"/>
        </w:rPr>
        <w:t>发包人供应材料设备一览表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488"/>
        <w:gridCol w:w="1574"/>
        <w:gridCol w:w="923"/>
        <w:gridCol w:w="488"/>
        <w:gridCol w:w="488"/>
        <w:gridCol w:w="1141"/>
        <w:gridCol w:w="923"/>
        <w:gridCol w:w="924"/>
        <w:gridCol w:w="924"/>
        <w:gridCol w:w="489"/>
      </w:tblGrid>
      <w:tr w14:paraId="2E4051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292" w:type="pct"/>
            <w:tcBorders>
              <w:top w:val="single" w:color="auto" w:sz="12" w:space="0"/>
              <w:bottom w:val="double" w:color="auto" w:sz="6" w:space="0"/>
            </w:tcBorders>
            <w:vAlign w:val="center"/>
          </w:tcPr>
          <w:p w14:paraId="56B37A37">
            <w:pPr>
              <w:keepNext/>
              <w:snapToGrid w:val="0"/>
              <w:spacing w:line="360" w:lineRule="auto"/>
              <w:jc w:val="center"/>
              <w:rPr>
                <w:rFonts w:cs="宋体"/>
                <w:color w:val="auto"/>
                <w:sz w:val="22"/>
                <w:szCs w:val="21"/>
              </w:rPr>
            </w:pPr>
            <w:r>
              <w:rPr>
                <w:rFonts w:hint="eastAsia" w:cs="宋体"/>
                <w:color w:val="auto"/>
                <w:sz w:val="22"/>
                <w:szCs w:val="21"/>
              </w:rPr>
              <w:t>序号</w:t>
            </w:r>
          </w:p>
        </w:tc>
        <w:tc>
          <w:tcPr>
            <w:tcW w:w="941" w:type="pct"/>
            <w:tcBorders>
              <w:top w:val="single" w:color="auto" w:sz="12" w:space="0"/>
              <w:bottom w:val="double" w:color="auto" w:sz="6" w:space="0"/>
            </w:tcBorders>
            <w:vAlign w:val="center"/>
          </w:tcPr>
          <w:p w14:paraId="6C72E6AF">
            <w:pPr>
              <w:keepNext/>
              <w:snapToGrid w:val="0"/>
              <w:spacing w:line="360" w:lineRule="auto"/>
              <w:jc w:val="center"/>
              <w:rPr>
                <w:rFonts w:cs="宋体"/>
                <w:color w:val="auto"/>
                <w:sz w:val="22"/>
                <w:szCs w:val="21"/>
              </w:rPr>
            </w:pPr>
            <w:r>
              <w:rPr>
                <w:rFonts w:hint="eastAsia" w:cs="宋体"/>
                <w:color w:val="auto"/>
                <w:sz w:val="22"/>
                <w:szCs w:val="21"/>
              </w:rPr>
              <w:t>材料、设备品种</w:t>
            </w:r>
          </w:p>
        </w:tc>
        <w:tc>
          <w:tcPr>
            <w:tcW w:w="552" w:type="pct"/>
            <w:tcBorders>
              <w:top w:val="single" w:color="auto" w:sz="12" w:space="0"/>
              <w:bottom w:val="double" w:color="auto" w:sz="6" w:space="0"/>
            </w:tcBorders>
            <w:vAlign w:val="center"/>
          </w:tcPr>
          <w:p w14:paraId="48793F70">
            <w:pPr>
              <w:keepNext/>
              <w:snapToGrid w:val="0"/>
              <w:spacing w:line="360" w:lineRule="auto"/>
              <w:jc w:val="center"/>
              <w:rPr>
                <w:rFonts w:cs="宋体"/>
                <w:color w:val="auto"/>
                <w:sz w:val="22"/>
                <w:szCs w:val="21"/>
              </w:rPr>
            </w:pPr>
            <w:r>
              <w:rPr>
                <w:rFonts w:hint="eastAsia" w:cs="宋体"/>
                <w:color w:val="auto"/>
                <w:sz w:val="22"/>
                <w:szCs w:val="21"/>
              </w:rPr>
              <w:t>规格型号</w:t>
            </w:r>
          </w:p>
        </w:tc>
        <w:tc>
          <w:tcPr>
            <w:tcW w:w="292" w:type="pct"/>
            <w:tcBorders>
              <w:top w:val="single" w:color="auto" w:sz="12" w:space="0"/>
              <w:bottom w:val="double" w:color="auto" w:sz="6" w:space="0"/>
            </w:tcBorders>
            <w:vAlign w:val="center"/>
          </w:tcPr>
          <w:p w14:paraId="52CAD71C">
            <w:pPr>
              <w:keepNext/>
              <w:snapToGrid w:val="0"/>
              <w:spacing w:line="360" w:lineRule="auto"/>
              <w:jc w:val="center"/>
              <w:rPr>
                <w:rFonts w:cs="宋体"/>
                <w:color w:val="auto"/>
                <w:sz w:val="22"/>
                <w:szCs w:val="21"/>
              </w:rPr>
            </w:pPr>
            <w:r>
              <w:rPr>
                <w:rFonts w:hint="eastAsia" w:cs="宋体"/>
                <w:color w:val="auto"/>
                <w:sz w:val="22"/>
                <w:szCs w:val="21"/>
              </w:rPr>
              <w:t>单位</w:t>
            </w:r>
          </w:p>
        </w:tc>
        <w:tc>
          <w:tcPr>
            <w:tcW w:w="292" w:type="pct"/>
            <w:tcBorders>
              <w:top w:val="single" w:color="auto" w:sz="12" w:space="0"/>
              <w:bottom w:val="double" w:color="auto" w:sz="6" w:space="0"/>
            </w:tcBorders>
            <w:vAlign w:val="center"/>
          </w:tcPr>
          <w:p w14:paraId="7305C9F6">
            <w:pPr>
              <w:keepNext/>
              <w:snapToGrid w:val="0"/>
              <w:spacing w:line="360" w:lineRule="auto"/>
              <w:jc w:val="center"/>
              <w:rPr>
                <w:rFonts w:cs="宋体"/>
                <w:color w:val="auto"/>
                <w:sz w:val="22"/>
                <w:szCs w:val="21"/>
              </w:rPr>
            </w:pPr>
            <w:r>
              <w:rPr>
                <w:rFonts w:hint="eastAsia" w:cs="宋体"/>
                <w:color w:val="auto"/>
                <w:sz w:val="22"/>
                <w:szCs w:val="21"/>
              </w:rPr>
              <w:t>数量</w:t>
            </w:r>
          </w:p>
        </w:tc>
        <w:tc>
          <w:tcPr>
            <w:tcW w:w="682" w:type="pct"/>
            <w:tcBorders>
              <w:top w:val="single" w:color="auto" w:sz="12" w:space="0"/>
              <w:bottom w:val="double" w:color="auto" w:sz="6" w:space="0"/>
            </w:tcBorders>
            <w:vAlign w:val="center"/>
          </w:tcPr>
          <w:p w14:paraId="72953CD4">
            <w:pPr>
              <w:keepNext/>
              <w:snapToGrid w:val="0"/>
              <w:spacing w:line="360" w:lineRule="auto"/>
              <w:jc w:val="center"/>
              <w:rPr>
                <w:rFonts w:cs="宋体"/>
                <w:color w:val="auto"/>
                <w:sz w:val="22"/>
                <w:szCs w:val="21"/>
              </w:rPr>
            </w:pPr>
            <w:r>
              <w:rPr>
                <w:rFonts w:hint="eastAsia" w:cs="宋体"/>
                <w:color w:val="auto"/>
                <w:sz w:val="22"/>
                <w:szCs w:val="21"/>
              </w:rPr>
              <w:t>单价（元）</w:t>
            </w:r>
          </w:p>
        </w:tc>
        <w:tc>
          <w:tcPr>
            <w:tcW w:w="552" w:type="pct"/>
            <w:tcBorders>
              <w:top w:val="single" w:color="auto" w:sz="12" w:space="0"/>
              <w:bottom w:val="double" w:color="auto" w:sz="6" w:space="0"/>
            </w:tcBorders>
            <w:vAlign w:val="center"/>
          </w:tcPr>
          <w:p w14:paraId="35A77B7F">
            <w:pPr>
              <w:keepNext/>
              <w:snapToGrid w:val="0"/>
              <w:spacing w:line="360" w:lineRule="auto"/>
              <w:jc w:val="center"/>
              <w:rPr>
                <w:rFonts w:cs="宋体"/>
                <w:color w:val="auto"/>
                <w:sz w:val="22"/>
                <w:szCs w:val="21"/>
              </w:rPr>
            </w:pPr>
            <w:r>
              <w:rPr>
                <w:rFonts w:hint="eastAsia" w:cs="宋体"/>
                <w:color w:val="auto"/>
                <w:sz w:val="22"/>
                <w:szCs w:val="21"/>
              </w:rPr>
              <w:t>质量等级</w:t>
            </w:r>
          </w:p>
        </w:tc>
        <w:tc>
          <w:tcPr>
            <w:tcW w:w="552" w:type="pct"/>
            <w:tcBorders>
              <w:top w:val="single" w:color="auto" w:sz="12" w:space="0"/>
              <w:bottom w:val="double" w:color="auto" w:sz="6" w:space="0"/>
            </w:tcBorders>
            <w:vAlign w:val="center"/>
          </w:tcPr>
          <w:p w14:paraId="24850FDB">
            <w:pPr>
              <w:keepNext/>
              <w:snapToGrid w:val="0"/>
              <w:spacing w:line="360" w:lineRule="auto"/>
              <w:jc w:val="center"/>
              <w:rPr>
                <w:rFonts w:cs="宋体"/>
                <w:color w:val="auto"/>
                <w:sz w:val="22"/>
                <w:szCs w:val="21"/>
              </w:rPr>
            </w:pPr>
            <w:r>
              <w:rPr>
                <w:rFonts w:hint="eastAsia" w:cs="宋体"/>
                <w:color w:val="auto"/>
                <w:sz w:val="22"/>
                <w:szCs w:val="21"/>
              </w:rPr>
              <w:t>供应时间</w:t>
            </w:r>
          </w:p>
        </w:tc>
        <w:tc>
          <w:tcPr>
            <w:tcW w:w="552" w:type="pct"/>
            <w:tcBorders>
              <w:top w:val="single" w:color="auto" w:sz="12" w:space="0"/>
              <w:bottom w:val="double" w:color="auto" w:sz="6" w:space="0"/>
            </w:tcBorders>
            <w:vAlign w:val="center"/>
          </w:tcPr>
          <w:p w14:paraId="10ECC392">
            <w:pPr>
              <w:keepNext/>
              <w:snapToGrid w:val="0"/>
              <w:spacing w:line="360" w:lineRule="auto"/>
              <w:jc w:val="center"/>
              <w:rPr>
                <w:rFonts w:cs="宋体"/>
                <w:color w:val="auto"/>
                <w:sz w:val="22"/>
                <w:szCs w:val="21"/>
              </w:rPr>
            </w:pPr>
            <w:r>
              <w:rPr>
                <w:rFonts w:hint="eastAsia" w:cs="宋体"/>
                <w:color w:val="auto"/>
                <w:sz w:val="22"/>
                <w:szCs w:val="21"/>
              </w:rPr>
              <w:t>送达地点</w:t>
            </w:r>
          </w:p>
        </w:tc>
        <w:tc>
          <w:tcPr>
            <w:tcW w:w="292" w:type="pct"/>
            <w:tcBorders>
              <w:top w:val="single" w:color="auto" w:sz="12" w:space="0"/>
              <w:bottom w:val="double" w:color="auto" w:sz="6" w:space="0"/>
            </w:tcBorders>
            <w:vAlign w:val="center"/>
          </w:tcPr>
          <w:p w14:paraId="1CB46477">
            <w:pPr>
              <w:keepNext/>
              <w:snapToGrid w:val="0"/>
              <w:spacing w:line="360" w:lineRule="auto"/>
              <w:jc w:val="center"/>
              <w:rPr>
                <w:rFonts w:cs="宋体"/>
                <w:color w:val="auto"/>
                <w:sz w:val="22"/>
                <w:szCs w:val="21"/>
              </w:rPr>
            </w:pPr>
            <w:r>
              <w:rPr>
                <w:rFonts w:hint="eastAsia" w:cs="宋体"/>
                <w:color w:val="auto"/>
                <w:sz w:val="22"/>
                <w:szCs w:val="21"/>
              </w:rPr>
              <w:t>备注</w:t>
            </w:r>
          </w:p>
        </w:tc>
      </w:tr>
      <w:tr w14:paraId="0CACE3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292" w:type="pct"/>
            <w:tcBorders>
              <w:top w:val="double" w:color="auto" w:sz="6" w:space="0"/>
            </w:tcBorders>
            <w:vAlign w:val="center"/>
          </w:tcPr>
          <w:p w14:paraId="6514F0F0">
            <w:pPr>
              <w:keepNext/>
              <w:snapToGrid w:val="0"/>
              <w:spacing w:line="360" w:lineRule="auto"/>
              <w:jc w:val="center"/>
              <w:rPr>
                <w:rFonts w:cs="宋体"/>
                <w:color w:val="auto"/>
                <w:sz w:val="22"/>
                <w:szCs w:val="21"/>
              </w:rPr>
            </w:pPr>
          </w:p>
        </w:tc>
        <w:tc>
          <w:tcPr>
            <w:tcW w:w="941" w:type="pct"/>
            <w:tcBorders>
              <w:top w:val="double" w:color="auto" w:sz="6" w:space="0"/>
            </w:tcBorders>
            <w:vAlign w:val="center"/>
          </w:tcPr>
          <w:p w14:paraId="71273E8C">
            <w:pPr>
              <w:keepNext/>
              <w:snapToGrid w:val="0"/>
              <w:spacing w:line="360" w:lineRule="auto"/>
              <w:jc w:val="center"/>
              <w:rPr>
                <w:rFonts w:cs="宋体"/>
                <w:color w:val="auto"/>
                <w:sz w:val="22"/>
                <w:szCs w:val="21"/>
              </w:rPr>
            </w:pPr>
          </w:p>
        </w:tc>
        <w:tc>
          <w:tcPr>
            <w:tcW w:w="552" w:type="pct"/>
            <w:tcBorders>
              <w:top w:val="double" w:color="auto" w:sz="6" w:space="0"/>
            </w:tcBorders>
            <w:vAlign w:val="center"/>
          </w:tcPr>
          <w:p w14:paraId="6947BB0B">
            <w:pPr>
              <w:keepNext/>
              <w:snapToGrid w:val="0"/>
              <w:spacing w:line="360" w:lineRule="auto"/>
              <w:jc w:val="center"/>
              <w:rPr>
                <w:rFonts w:cs="宋体"/>
                <w:color w:val="auto"/>
                <w:sz w:val="22"/>
                <w:szCs w:val="21"/>
              </w:rPr>
            </w:pPr>
          </w:p>
        </w:tc>
        <w:tc>
          <w:tcPr>
            <w:tcW w:w="292" w:type="pct"/>
            <w:tcBorders>
              <w:top w:val="double" w:color="auto" w:sz="6" w:space="0"/>
            </w:tcBorders>
            <w:vAlign w:val="center"/>
          </w:tcPr>
          <w:p w14:paraId="45E84CAF">
            <w:pPr>
              <w:keepNext/>
              <w:snapToGrid w:val="0"/>
              <w:spacing w:line="360" w:lineRule="auto"/>
              <w:jc w:val="center"/>
              <w:rPr>
                <w:rFonts w:cs="宋体"/>
                <w:color w:val="auto"/>
                <w:sz w:val="22"/>
                <w:szCs w:val="21"/>
              </w:rPr>
            </w:pPr>
          </w:p>
        </w:tc>
        <w:tc>
          <w:tcPr>
            <w:tcW w:w="292" w:type="pct"/>
            <w:tcBorders>
              <w:top w:val="double" w:color="auto" w:sz="6" w:space="0"/>
            </w:tcBorders>
            <w:vAlign w:val="center"/>
          </w:tcPr>
          <w:p w14:paraId="36BFA143">
            <w:pPr>
              <w:keepNext/>
              <w:snapToGrid w:val="0"/>
              <w:spacing w:line="360" w:lineRule="auto"/>
              <w:jc w:val="center"/>
              <w:rPr>
                <w:rFonts w:cs="宋体"/>
                <w:color w:val="auto"/>
                <w:sz w:val="22"/>
                <w:szCs w:val="21"/>
              </w:rPr>
            </w:pPr>
          </w:p>
        </w:tc>
        <w:tc>
          <w:tcPr>
            <w:tcW w:w="682" w:type="pct"/>
            <w:tcBorders>
              <w:top w:val="double" w:color="auto" w:sz="6" w:space="0"/>
            </w:tcBorders>
            <w:vAlign w:val="center"/>
          </w:tcPr>
          <w:p w14:paraId="143C6A1B">
            <w:pPr>
              <w:keepNext/>
              <w:snapToGrid w:val="0"/>
              <w:spacing w:line="360" w:lineRule="auto"/>
              <w:jc w:val="center"/>
              <w:rPr>
                <w:rFonts w:cs="宋体"/>
                <w:color w:val="auto"/>
                <w:sz w:val="22"/>
                <w:szCs w:val="21"/>
              </w:rPr>
            </w:pPr>
          </w:p>
        </w:tc>
        <w:tc>
          <w:tcPr>
            <w:tcW w:w="552" w:type="pct"/>
            <w:tcBorders>
              <w:top w:val="double" w:color="auto" w:sz="6" w:space="0"/>
            </w:tcBorders>
            <w:vAlign w:val="center"/>
          </w:tcPr>
          <w:p w14:paraId="4A6774D2">
            <w:pPr>
              <w:keepNext/>
              <w:snapToGrid w:val="0"/>
              <w:spacing w:line="360" w:lineRule="auto"/>
              <w:jc w:val="center"/>
              <w:rPr>
                <w:rFonts w:cs="宋体"/>
                <w:color w:val="auto"/>
                <w:sz w:val="22"/>
                <w:szCs w:val="21"/>
              </w:rPr>
            </w:pPr>
          </w:p>
        </w:tc>
        <w:tc>
          <w:tcPr>
            <w:tcW w:w="552" w:type="pct"/>
            <w:tcBorders>
              <w:top w:val="double" w:color="auto" w:sz="6" w:space="0"/>
            </w:tcBorders>
            <w:vAlign w:val="center"/>
          </w:tcPr>
          <w:p w14:paraId="1D5290F8">
            <w:pPr>
              <w:keepNext/>
              <w:snapToGrid w:val="0"/>
              <w:spacing w:line="360" w:lineRule="auto"/>
              <w:jc w:val="center"/>
              <w:rPr>
                <w:rFonts w:cs="宋体"/>
                <w:color w:val="auto"/>
                <w:sz w:val="22"/>
                <w:szCs w:val="21"/>
              </w:rPr>
            </w:pPr>
          </w:p>
        </w:tc>
        <w:tc>
          <w:tcPr>
            <w:tcW w:w="552" w:type="pct"/>
            <w:tcBorders>
              <w:top w:val="double" w:color="auto" w:sz="6" w:space="0"/>
            </w:tcBorders>
            <w:vAlign w:val="center"/>
          </w:tcPr>
          <w:p w14:paraId="4D7EC693">
            <w:pPr>
              <w:keepNext/>
              <w:snapToGrid w:val="0"/>
              <w:spacing w:line="360" w:lineRule="auto"/>
              <w:jc w:val="center"/>
              <w:rPr>
                <w:rFonts w:cs="宋体"/>
                <w:color w:val="auto"/>
                <w:sz w:val="22"/>
                <w:szCs w:val="21"/>
              </w:rPr>
            </w:pPr>
          </w:p>
        </w:tc>
        <w:tc>
          <w:tcPr>
            <w:tcW w:w="292" w:type="pct"/>
            <w:tcBorders>
              <w:top w:val="double" w:color="auto" w:sz="6" w:space="0"/>
            </w:tcBorders>
            <w:vAlign w:val="center"/>
          </w:tcPr>
          <w:p w14:paraId="3DB4C2C2">
            <w:pPr>
              <w:keepNext/>
              <w:snapToGrid w:val="0"/>
              <w:spacing w:line="360" w:lineRule="auto"/>
              <w:jc w:val="center"/>
              <w:rPr>
                <w:rFonts w:cs="宋体"/>
                <w:color w:val="auto"/>
                <w:sz w:val="22"/>
                <w:szCs w:val="21"/>
              </w:rPr>
            </w:pPr>
          </w:p>
        </w:tc>
      </w:tr>
      <w:tr w14:paraId="78D047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292" w:type="pct"/>
            <w:vAlign w:val="center"/>
          </w:tcPr>
          <w:p w14:paraId="1E1975AC">
            <w:pPr>
              <w:snapToGrid w:val="0"/>
              <w:spacing w:line="360" w:lineRule="auto"/>
              <w:jc w:val="center"/>
              <w:rPr>
                <w:rFonts w:cs="宋体"/>
                <w:color w:val="auto"/>
                <w:sz w:val="22"/>
                <w:szCs w:val="21"/>
              </w:rPr>
            </w:pPr>
          </w:p>
        </w:tc>
        <w:tc>
          <w:tcPr>
            <w:tcW w:w="941" w:type="pct"/>
            <w:vAlign w:val="center"/>
          </w:tcPr>
          <w:p w14:paraId="480EF924">
            <w:pPr>
              <w:snapToGrid w:val="0"/>
              <w:spacing w:line="360" w:lineRule="auto"/>
              <w:jc w:val="center"/>
              <w:rPr>
                <w:rFonts w:cs="宋体"/>
                <w:color w:val="auto"/>
                <w:sz w:val="22"/>
                <w:szCs w:val="21"/>
              </w:rPr>
            </w:pPr>
          </w:p>
        </w:tc>
        <w:tc>
          <w:tcPr>
            <w:tcW w:w="552" w:type="pct"/>
            <w:vAlign w:val="center"/>
          </w:tcPr>
          <w:p w14:paraId="04454D98">
            <w:pPr>
              <w:snapToGrid w:val="0"/>
              <w:spacing w:line="360" w:lineRule="auto"/>
              <w:jc w:val="center"/>
              <w:rPr>
                <w:rFonts w:cs="宋体"/>
                <w:color w:val="auto"/>
                <w:sz w:val="22"/>
                <w:szCs w:val="21"/>
              </w:rPr>
            </w:pPr>
          </w:p>
        </w:tc>
        <w:tc>
          <w:tcPr>
            <w:tcW w:w="292" w:type="pct"/>
            <w:vAlign w:val="center"/>
          </w:tcPr>
          <w:p w14:paraId="6ECBEDC7">
            <w:pPr>
              <w:snapToGrid w:val="0"/>
              <w:spacing w:line="360" w:lineRule="auto"/>
              <w:jc w:val="center"/>
              <w:rPr>
                <w:rFonts w:cs="宋体"/>
                <w:color w:val="auto"/>
                <w:sz w:val="22"/>
                <w:szCs w:val="21"/>
              </w:rPr>
            </w:pPr>
          </w:p>
        </w:tc>
        <w:tc>
          <w:tcPr>
            <w:tcW w:w="292" w:type="pct"/>
            <w:vAlign w:val="center"/>
          </w:tcPr>
          <w:p w14:paraId="2E5D7751">
            <w:pPr>
              <w:snapToGrid w:val="0"/>
              <w:spacing w:line="360" w:lineRule="auto"/>
              <w:jc w:val="center"/>
              <w:rPr>
                <w:rFonts w:cs="宋体"/>
                <w:color w:val="auto"/>
                <w:sz w:val="22"/>
                <w:szCs w:val="21"/>
              </w:rPr>
            </w:pPr>
          </w:p>
        </w:tc>
        <w:tc>
          <w:tcPr>
            <w:tcW w:w="682" w:type="pct"/>
            <w:vAlign w:val="center"/>
          </w:tcPr>
          <w:p w14:paraId="44E9E94E">
            <w:pPr>
              <w:snapToGrid w:val="0"/>
              <w:spacing w:line="360" w:lineRule="auto"/>
              <w:jc w:val="center"/>
              <w:rPr>
                <w:rFonts w:cs="宋体"/>
                <w:color w:val="auto"/>
                <w:sz w:val="22"/>
                <w:szCs w:val="21"/>
              </w:rPr>
            </w:pPr>
          </w:p>
        </w:tc>
        <w:tc>
          <w:tcPr>
            <w:tcW w:w="552" w:type="pct"/>
            <w:vAlign w:val="center"/>
          </w:tcPr>
          <w:p w14:paraId="1BB3F31F">
            <w:pPr>
              <w:snapToGrid w:val="0"/>
              <w:spacing w:line="360" w:lineRule="auto"/>
              <w:jc w:val="center"/>
              <w:rPr>
                <w:rFonts w:cs="宋体"/>
                <w:color w:val="auto"/>
                <w:sz w:val="22"/>
                <w:szCs w:val="21"/>
              </w:rPr>
            </w:pPr>
          </w:p>
        </w:tc>
        <w:tc>
          <w:tcPr>
            <w:tcW w:w="552" w:type="pct"/>
            <w:vAlign w:val="center"/>
          </w:tcPr>
          <w:p w14:paraId="6CBE6653">
            <w:pPr>
              <w:snapToGrid w:val="0"/>
              <w:spacing w:line="360" w:lineRule="auto"/>
              <w:jc w:val="center"/>
              <w:rPr>
                <w:rFonts w:cs="宋体"/>
                <w:color w:val="auto"/>
                <w:sz w:val="22"/>
                <w:szCs w:val="21"/>
              </w:rPr>
            </w:pPr>
          </w:p>
        </w:tc>
        <w:tc>
          <w:tcPr>
            <w:tcW w:w="552" w:type="pct"/>
            <w:vAlign w:val="center"/>
          </w:tcPr>
          <w:p w14:paraId="169C5E7E">
            <w:pPr>
              <w:snapToGrid w:val="0"/>
              <w:spacing w:line="360" w:lineRule="auto"/>
              <w:jc w:val="center"/>
              <w:rPr>
                <w:rFonts w:cs="宋体"/>
                <w:color w:val="auto"/>
                <w:sz w:val="22"/>
                <w:szCs w:val="21"/>
              </w:rPr>
            </w:pPr>
          </w:p>
        </w:tc>
        <w:tc>
          <w:tcPr>
            <w:tcW w:w="292" w:type="pct"/>
            <w:vAlign w:val="center"/>
          </w:tcPr>
          <w:p w14:paraId="4E90CB97">
            <w:pPr>
              <w:snapToGrid w:val="0"/>
              <w:spacing w:line="360" w:lineRule="auto"/>
              <w:jc w:val="center"/>
              <w:rPr>
                <w:rFonts w:cs="宋体"/>
                <w:color w:val="auto"/>
                <w:sz w:val="22"/>
                <w:szCs w:val="21"/>
              </w:rPr>
            </w:pPr>
          </w:p>
        </w:tc>
      </w:tr>
      <w:tr w14:paraId="500CCC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292" w:type="pct"/>
            <w:tcBorders>
              <w:bottom w:val="single" w:color="auto" w:sz="12" w:space="0"/>
            </w:tcBorders>
            <w:vAlign w:val="center"/>
          </w:tcPr>
          <w:p w14:paraId="15278347">
            <w:pPr>
              <w:snapToGrid w:val="0"/>
              <w:spacing w:line="360" w:lineRule="auto"/>
              <w:jc w:val="center"/>
              <w:rPr>
                <w:rFonts w:cs="宋体"/>
                <w:color w:val="auto"/>
                <w:sz w:val="22"/>
                <w:szCs w:val="21"/>
              </w:rPr>
            </w:pPr>
          </w:p>
        </w:tc>
        <w:tc>
          <w:tcPr>
            <w:tcW w:w="941" w:type="pct"/>
            <w:tcBorders>
              <w:bottom w:val="single" w:color="auto" w:sz="12" w:space="0"/>
            </w:tcBorders>
            <w:vAlign w:val="center"/>
          </w:tcPr>
          <w:p w14:paraId="35C240D6">
            <w:pPr>
              <w:snapToGrid w:val="0"/>
              <w:spacing w:line="360" w:lineRule="auto"/>
              <w:jc w:val="center"/>
              <w:rPr>
                <w:rFonts w:cs="宋体"/>
                <w:color w:val="auto"/>
                <w:sz w:val="22"/>
                <w:szCs w:val="21"/>
              </w:rPr>
            </w:pPr>
          </w:p>
        </w:tc>
        <w:tc>
          <w:tcPr>
            <w:tcW w:w="552" w:type="pct"/>
            <w:tcBorders>
              <w:bottom w:val="single" w:color="auto" w:sz="12" w:space="0"/>
            </w:tcBorders>
            <w:vAlign w:val="center"/>
          </w:tcPr>
          <w:p w14:paraId="2C9F8167">
            <w:pPr>
              <w:snapToGrid w:val="0"/>
              <w:spacing w:line="360" w:lineRule="auto"/>
              <w:jc w:val="center"/>
              <w:rPr>
                <w:rFonts w:cs="宋体"/>
                <w:color w:val="auto"/>
                <w:sz w:val="22"/>
                <w:szCs w:val="21"/>
              </w:rPr>
            </w:pPr>
          </w:p>
        </w:tc>
        <w:tc>
          <w:tcPr>
            <w:tcW w:w="292" w:type="pct"/>
            <w:tcBorders>
              <w:bottom w:val="single" w:color="auto" w:sz="12" w:space="0"/>
            </w:tcBorders>
            <w:vAlign w:val="center"/>
          </w:tcPr>
          <w:p w14:paraId="4E7E3377">
            <w:pPr>
              <w:snapToGrid w:val="0"/>
              <w:spacing w:line="360" w:lineRule="auto"/>
              <w:jc w:val="center"/>
              <w:rPr>
                <w:rFonts w:cs="宋体"/>
                <w:color w:val="auto"/>
                <w:sz w:val="22"/>
                <w:szCs w:val="21"/>
              </w:rPr>
            </w:pPr>
          </w:p>
        </w:tc>
        <w:tc>
          <w:tcPr>
            <w:tcW w:w="292" w:type="pct"/>
            <w:tcBorders>
              <w:bottom w:val="single" w:color="auto" w:sz="12" w:space="0"/>
            </w:tcBorders>
            <w:vAlign w:val="center"/>
          </w:tcPr>
          <w:p w14:paraId="508F6898">
            <w:pPr>
              <w:snapToGrid w:val="0"/>
              <w:spacing w:line="360" w:lineRule="auto"/>
              <w:jc w:val="center"/>
              <w:rPr>
                <w:rFonts w:cs="宋体"/>
                <w:color w:val="auto"/>
                <w:sz w:val="22"/>
                <w:szCs w:val="21"/>
              </w:rPr>
            </w:pPr>
          </w:p>
        </w:tc>
        <w:tc>
          <w:tcPr>
            <w:tcW w:w="682" w:type="pct"/>
            <w:tcBorders>
              <w:bottom w:val="single" w:color="auto" w:sz="12" w:space="0"/>
            </w:tcBorders>
            <w:vAlign w:val="center"/>
          </w:tcPr>
          <w:p w14:paraId="66C210EE">
            <w:pPr>
              <w:snapToGrid w:val="0"/>
              <w:spacing w:line="360" w:lineRule="auto"/>
              <w:jc w:val="center"/>
              <w:rPr>
                <w:rFonts w:cs="宋体"/>
                <w:color w:val="auto"/>
                <w:sz w:val="22"/>
                <w:szCs w:val="21"/>
              </w:rPr>
            </w:pPr>
          </w:p>
        </w:tc>
        <w:tc>
          <w:tcPr>
            <w:tcW w:w="552" w:type="pct"/>
            <w:tcBorders>
              <w:bottom w:val="single" w:color="auto" w:sz="12" w:space="0"/>
            </w:tcBorders>
            <w:vAlign w:val="center"/>
          </w:tcPr>
          <w:p w14:paraId="259CA5F4">
            <w:pPr>
              <w:snapToGrid w:val="0"/>
              <w:spacing w:line="360" w:lineRule="auto"/>
              <w:jc w:val="center"/>
              <w:rPr>
                <w:rFonts w:cs="宋体"/>
                <w:color w:val="auto"/>
                <w:sz w:val="22"/>
                <w:szCs w:val="21"/>
              </w:rPr>
            </w:pPr>
          </w:p>
        </w:tc>
        <w:tc>
          <w:tcPr>
            <w:tcW w:w="552" w:type="pct"/>
            <w:tcBorders>
              <w:bottom w:val="single" w:color="auto" w:sz="12" w:space="0"/>
            </w:tcBorders>
            <w:vAlign w:val="center"/>
          </w:tcPr>
          <w:p w14:paraId="76D2F731">
            <w:pPr>
              <w:snapToGrid w:val="0"/>
              <w:spacing w:line="360" w:lineRule="auto"/>
              <w:jc w:val="center"/>
              <w:rPr>
                <w:rFonts w:cs="宋体"/>
                <w:color w:val="auto"/>
                <w:sz w:val="22"/>
                <w:szCs w:val="21"/>
              </w:rPr>
            </w:pPr>
          </w:p>
        </w:tc>
        <w:tc>
          <w:tcPr>
            <w:tcW w:w="552" w:type="pct"/>
            <w:tcBorders>
              <w:bottom w:val="single" w:color="auto" w:sz="12" w:space="0"/>
            </w:tcBorders>
            <w:vAlign w:val="center"/>
          </w:tcPr>
          <w:p w14:paraId="605F7B81">
            <w:pPr>
              <w:snapToGrid w:val="0"/>
              <w:spacing w:line="360" w:lineRule="auto"/>
              <w:jc w:val="center"/>
              <w:rPr>
                <w:rFonts w:cs="宋体"/>
                <w:color w:val="auto"/>
                <w:sz w:val="22"/>
                <w:szCs w:val="21"/>
              </w:rPr>
            </w:pPr>
          </w:p>
        </w:tc>
        <w:tc>
          <w:tcPr>
            <w:tcW w:w="292" w:type="pct"/>
            <w:tcBorders>
              <w:bottom w:val="single" w:color="auto" w:sz="12" w:space="0"/>
            </w:tcBorders>
            <w:vAlign w:val="center"/>
          </w:tcPr>
          <w:p w14:paraId="0E4326E9">
            <w:pPr>
              <w:snapToGrid w:val="0"/>
              <w:spacing w:line="360" w:lineRule="auto"/>
              <w:jc w:val="center"/>
              <w:rPr>
                <w:rFonts w:cs="宋体"/>
                <w:color w:val="auto"/>
                <w:sz w:val="22"/>
                <w:szCs w:val="21"/>
              </w:rPr>
            </w:pPr>
          </w:p>
        </w:tc>
      </w:tr>
    </w:tbl>
    <w:p w14:paraId="1FB6BAA6">
      <w:pPr>
        <w:spacing w:before="312" w:beforeLines="100" w:after="312" w:afterLines="100"/>
        <w:outlineLvl w:val="2"/>
        <w:rPr>
          <w:rFonts w:ascii="Times New Roman" w:eastAsia="黑体"/>
          <w:color w:val="auto"/>
          <w:szCs w:val="24"/>
        </w:rPr>
      </w:pPr>
      <w:r>
        <w:rPr>
          <w:rFonts w:hint="eastAsia" w:cs="宋体"/>
          <w:bCs/>
          <w:color w:val="auto"/>
        </w:rPr>
        <w:br w:type="page"/>
      </w:r>
      <w:bookmarkStart w:id="633" w:name="_Toc128950237"/>
      <w:r>
        <w:rPr>
          <w:rFonts w:hint="eastAsia" w:ascii="Times New Roman" w:eastAsia="黑体"/>
          <w:color w:val="auto"/>
          <w:szCs w:val="24"/>
        </w:rPr>
        <w:t>附件3：工程质量保修书（房屋建筑工程）</w:t>
      </w:r>
      <w:bookmarkEnd w:id="633"/>
    </w:p>
    <w:p w14:paraId="1E7E9D85">
      <w:pPr>
        <w:adjustRightInd w:val="0"/>
        <w:snapToGrid w:val="0"/>
        <w:spacing w:before="156" w:beforeLines="50" w:after="156" w:afterLines="50" w:line="360" w:lineRule="auto"/>
        <w:jc w:val="center"/>
        <w:rPr>
          <w:rFonts w:cs="宋体"/>
          <w:b/>
          <w:color w:val="auto"/>
        </w:rPr>
      </w:pPr>
      <w:r>
        <w:rPr>
          <w:rFonts w:hint="eastAsia" w:cs="宋体"/>
          <w:b/>
          <w:color w:val="auto"/>
        </w:rPr>
        <w:t>工程质量保修书</w:t>
      </w:r>
    </w:p>
    <w:p w14:paraId="55B99AD3">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发包人（全称）：</w:t>
      </w:r>
      <w:r>
        <w:rPr>
          <w:rFonts w:hint="eastAsia" w:cs="宋体"/>
          <w:color w:val="auto"/>
          <w:sz w:val="21"/>
          <w:szCs w:val="21"/>
          <w:u w:val="single"/>
        </w:rPr>
        <w:t xml:space="preserve">                                </w:t>
      </w:r>
      <w:r>
        <w:rPr>
          <w:rFonts w:hint="eastAsia" w:cs="宋体"/>
          <w:color w:val="auto"/>
          <w:sz w:val="21"/>
          <w:szCs w:val="21"/>
        </w:rPr>
        <w:t xml:space="preserve"> </w:t>
      </w:r>
    </w:p>
    <w:p w14:paraId="1B5AA7FF">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承包人（全称）：</w:t>
      </w:r>
      <w:r>
        <w:rPr>
          <w:rFonts w:hint="eastAsia" w:cs="宋体"/>
          <w:color w:val="auto"/>
          <w:sz w:val="21"/>
          <w:szCs w:val="21"/>
          <w:u w:val="single"/>
        </w:rPr>
        <w:t xml:space="preserve">                                </w:t>
      </w:r>
      <w:r>
        <w:rPr>
          <w:rFonts w:hint="eastAsia" w:cs="宋体"/>
          <w:color w:val="auto"/>
          <w:sz w:val="21"/>
          <w:szCs w:val="21"/>
        </w:rPr>
        <w:t xml:space="preserve"> </w:t>
      </w:r>
    </w:p>
    <w:p w14:paraId="5AF58BEC">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发包人和承包人根据《中华人民共和国建筑法》和《建设工程质量管理条例》，经协商一致就_______________（工程全称）签订工程质量保修书。</w:t>
      </w:r>
    </w:p>
    <w:p w14:paraId="6FDA21E7">
      <w:pPr>
        <w:adjustRightInd w:val="0"/>
        <w:snapToGrid w:val="0"/>
        <w:spacing w:line="360" w:lineRule="auto"/>
        <w:ind w:firstLine="422" w:firstLineChars="200"/>
        <w:rPr>
          <w:rFonts w:cs="宋体"/>
          <w:b/>
          <w:color w:val="auto"/>
          <w:sz w:val="21"/>
          <w:szCs w:val="21"/>
        </w:rPr>
      </w:pPr>
      <w:r>
        <w:rPr>
          <w:rFonts w:hint="eastAsia" w:cs="宋体"/>
          <w:b/>
          <w:color w:val="auto"/>
          <w:sz w:val="21"/>
          <w:szCs w:val="21"/>
        </w:rPr>
        <w:t>一、工程质量保修范围和内容</w:t>
      </w:r>
    </w:p>
    <w:p w14:paraId="7E762D5A">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承包人在质量保修期内，按照有关法律规定和合同约定，承担工程质量保修责任。</w:t>
      </w:r>
    </w:p>
    <w:p w14:paraId="7FE60618">
      <w:pPr>
        <w:adjustRightInd w:val="0"/>
        <w:snapToGrid w:val="0"/>
        <w:spacing w:line="360" w:lineRule="auto"/>
        <w:ind w:firstLine="420" w:firstLineChars="200"/>
        <w:rPr>
          <w:rFonts w:cs="宋体"/>
          <w:color w:val="auto"/>
          <w:sz w:val="21"/>
          <w:szCs w:val="21"/>
        </w:rPr>
      </w:pPr>
      <w:r>
        <w:rPr>
          <w:rFonts w:hint="eastAsia" w:cs="宋体"/>
          <w:color w:val="auto"/>
          <w:sz w:val="21"/>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cs="宋体"/>
          <w:color w:val="auto"/>
          <w:sz w:val="21"/>
          <w:szCs w:val="21"/>
          <w:u w:val="single"/>
        </w:rPr>
        <w:t xml:space="preserve">                </w:t>
      </w:r>
      <w:r>
        <w:rPr>
          <w:rFonts w:hint="eastAsia" w:cs="宋体"/>
          <w:color w:val="auto"/>
          <w:sz w:val="21"/>
          <w:szCs w:val="21"/>
        </w:rPr>
        <w:t>。</w:t>
      </w:r>
    </w:p>
    <w:p w14:paraId="3ADEDB4F">
      <w:pPr>
        <w:adjustRightInd w:val="0"/>
        <w:snapToGrid w:val="0"/>
        <w:spacing w:line="360" w:lineRule="auto"/>
        <w:ind w:firstLine="413" w:firstLineChars="196"/>
        <w:rPr>
          <w:rFonts w:cs="宋体"/>
          <w:b/>
          <w:color w:val="auto"/>
          <w:sz w:val="21"/>
          <w:szCs w:val="21"/>
        </w:rPr>
      </w:pPr>
      <w:r>
        <w:rPr>
          <w:rFonts w:hint="eastAsia" w:cs="宋体"/>
          <w:b/>
          <w:color w:val="auto"/>
          <w:sz w:val="21"/>
          <w:szCs w:val="21"/>
        </w:rPr>
        <w:t>二、质量保修期</w:t>
      </w:r>
    </w:p>
    <w:p w14:paraId="3001F05E">
      <w:pPr>
        <w:adjustRightInd w:val="0"/>
        <w:snapToGrid w:val="0"/>
        <w:spacing w:line="360" w:lineRule="auto"/>
        <w:ind w:firstLine="420" w:firstLineChars="200"/>
        <w:rPr>
          <w:rFonts w:cs="宋体"/>
          <w:color w:val="auto"/>
          <w:sz w:val="21"/>
          <w:szCs w:val="21"/>
        </w:rPr>
      </w:pPr>
      <w:r>
        <w:rPr>
          <w:rFonts w:hint="eastAsia" w:cs="宋体"/>
          <w:color w:val="auto"/>
          <w:sz w:val="21"/>
          <w:szCs w:val="21"/>
        </w:rPr>
        <w:t>根据《建设工程质量管理条例》及有关规定，工程的质量保修期如下：</w:t>
      </w:r>
    </w:p>
    <w:p w14:paraId="49A8016F">
      <w:pPr>
        <w:adjustRightInd w:val="0"/>
        <w:snapToGrid w:val="0"/>
        <w:spacing w:line="360" w:lineRule="auto"/>
        <w:ind w:firstLine="420" w:firstLineChars="200"/>
        <w:rPr>
          <w:rFonts w:cs="宋体"/>
          <w:color w:val="auto"/>
          <w:sz w:val="21"/>
          <w:szCs w:val="21"/>
        </w:rPr>
      </w:pPr>
      <w:r>
        <w:rPr>
          <w:rFonts w:hint="eastAsia" w:cs="宋体"/>
          <w:color w:val="auto"/>
          <w:sz w:val="21"/>
          <w:szCs w:val="21"/>
        </w:rPr>
        <w:t>1. 地基基础工程和主体结构工程为设计文件规定的工程合理使用年限；</w:t>
      </w:r>
    </w:p>
    <w:p w14:paraId="658D3E3B">
      <w:pPr>
        <w:adjustRightInd w:val="0"/>
        <w:snapToGrid w:val="0"/>
        <w:spacing w:line="360" w:lineRule="auto"/>
        <w:ind w:firstLine="420" w:firstLineChars="200"/>
        <w:rPr>
          <w:rFonts w:cs="宋体"/>
          <w:color w:val="auto"/>
          <w:sz w:val="21"/>
          <w:szCs w:val="21"/>
        </w:rPr>
      </w:pPr>
      <w:r>
        <w:rPr>
          <w:rFonts w:hint="eastAsia" w:cs="宋体"/>
          <w:color w:val="auto"/>
          <w:sz w:val="21"/>
          <w:szCs w:val="21"/>
        </w:rPr>
        <w:t>2. 屋面防水工程、有防水要求的卫生间、房间和外墙面的防渗为</w:t>
      </w:r>
      <w:r>
        <w:rPr>
          <w:rFonts w:hint="eastAsia" w:cs="宋体"/>
          <w:color w:val="auto"/>
          <w:sz w:val="21"/>
          <w:szCs w:val="21"/>
          <w:u w:val="single"/>
        </w:rPr>
        <w:t>5</w:t>
      </w:r>
      <w:r>
        <w:rPr>
          <w:rFonts w:hint="eastAsia" w:cs="宋体"/>
          <w:color w:val="auto"/>
          <w:sz w:val="21"/>
          <w:szCs w:val="21"/>
        </w:rPr>
        <w:t>年；</w:t>
      </w:r>
    </w:p>
    <w:p w14:paraId="22EF1945">
      <w:pPr>
        <w:adjustRightInd w:val="0"/>
        <w:snapToGrid w:val="0"/>
        <w:spacing w:line="360" w:lineRule="auto"/>
        <w:ind w:firstLine="420" w:firstLineChars="200"/>
        <w:rPr>
          <w:rFonts w:cs="宋体"/>
          <w:color w:val="auto"/>
          <w:sz w:val="21"/>
          <w:szCs w:val="21"/>
        </w:rPr>
      </w:pPr>
      <w:r>
        <w:rPr>
          <w:rFonts w:hint="eastAsia" w:cs="宋体"/>
          <w:color w:val="auto"/>
          <w:sz w:val="21"/>
          <w:szCs w:val="21"/>
        </w:rPr>
        <w:t>3. 装修工程为</w:t>
      </w:r>
      <w:r>
        <w:rPr>
          <w:rFonts w:hint="eastAsia" w:cs="宋体"/>
          <w:color w:val="auto"/>
          <w:sz w:val="21"/>
          <w:szCs w:val="21"/>
          <w:u w:val="single"/>
        </w:rPr>
        <w:t>2</w:t>
      </w:r>
      <w:r>
        <w:rPr>
          <w:rFonts w:hint="eastAsia" w:cs="宋体"/>
          <w:color w:val="auto"/>
          <w:sz w:val="21"/>
          <w:szCs w:val="21"/>
        </w:rPr>
        <w:t>年；</w:t>
      </w:r>
    </w:p>
    <w:p w14:paraId="4A62BC74">
      <w:pPr>
        <w:adjustRightInd w:val="0"/>
        <w:snapToGrid w:val="0"/>
        <w:spacing w:line="360" w:lineRule="auto"/>
        <w:ind w:firstLine="420" w:firstLineChars="200"/>
        <w:rPr>
          <w:rFonts w:cs="宋体"/>
          <w:color w:val="auto"/>
          <w:sz w:val="21"/>
          <w:szCs w:val="21"/>
        </w:rPr>
      </w:pPr>
      <w:r>
        <w:rPr>
          <w:rFonts w:hint="eastAsia" w:cs="宋体"/>
          <w:color w:val="auto"/>
          <w:sz w:val="21"/>
          <w:szCs w:val="21"/>
        </w:rPr>
        <w:t>4. 电气管线、给排水管道、设备安装工程为</w:t>
      </w:r>
      <w:r>
        <w:rPr>
          <w:rFonts w:hint="eastAsia" w:cs="宋体"/>
          <w:color w:val="auto"/>
          <w:sz w:val="21"/>
          <w:szCs w:val="21"/>
          <w:u w:val="single"/>
        </w:rPr>
        <w:t>2</w:t>
      </w:r>
      <w:r>
        <w:rPr>
          <w:rFonts w:hint="eastAsia" w:cs="宋体"/>
          <w:color w:val="auto"/>
          <w:sz w:val="21"/>
          <w:szCs w:val="21"/>
        </w:rPr>
        <w:t>年；</w:t>
      </w:r>
    </w:p>
    <w:p w14:paraId="366B5F92">
      <w:pPr>
        <w:adjustRightInd w:val="0"/>
        <w:snapToGrid w:val="0"/>
        <w:spacing w:line="360" w:lineRule="auto"/>
        <w:ind w:firstLine="420" w:firstLineChars="200"/>
        <w:rPr>
          <w:rFonts w:cs="宋体"/>
          <w:color w:val="auto"/>
          <w:sz w:val="21"/>
          <w:szCs w:val="21"/>
        </w:rPr>
      </w:pPr>
      <w:r>
        <w:rPr>
          <w:rFonts w:hint="eastAsia" w:cs="宋体"/>
          <w:color w:val="auto"/>
          <w:sz w:val="21"/>
          <w:szCs w:val="21"/>
        </w:rPr>
        <w:t>5. 供热与供冷系统为</w:t>
      </w:r>
      <w:r>
        <w:rPr>
          <w:rFonts w:hint="eastAsia" w:cs="宋体"/>
          <w:color w:val="auto"/>
          <w:sz w:val="21"/>
          <w:szCs w:val="21"/>
          <w:u w:val="single"/>
        </w:rPr>
        <w:t>2</w:t>
      </w:r>
      <w:r>
        <w:rPr>
          <w:rFonts w:hint="eastAsia" w:cs="宋体"/>
          <w:color w:val="auto"/>
          <w:sz w:val="21"/>
          <w:szCs w:val="21"/>
        </w:rPr>
        <w:t>个采暖期、供冷期；</w:t>
      </w:r>
    </w:p>
    <w:p w14:paraId="4744056A">
      <w:pPr>
        <w:adjustRightInd w:val="0"/>
        <w:snapToGrid w:val="0"/>
        <w:spacing w:line="360" w:lineRule="auto"/>
        <w:ind w:firstLine="420" w:firstLineChars="200"/>
        <w:rPr>
          <w:rFonts w:cs="宋体"/>
          <w:color w:val="auto"/>
          <w:sz w:val="21"/>
          <w:szCs w:val="21"/>
        </w:rPr>
      </w:pPr>
      <w:r>
        <w:rPr>
          <w:rFonts w:hint="eastAsia" w:cs="宋体"/>
          <w:color w:val="auto"/>
          <w:sz w:val="21"/>
          <w:szCs w:val="21"/>
        </w:rPr>
        <w:t>6. 住宅小区内的给排水设施、道路等配套工程为</w:t>
      </w:r>
      <w:r>
        <w:rPr>
          <w:rFonts w:hint="eastAsia" w:cs="宋体"/>
          <w:color w:val="auto"/>
          <w:sz w:val="21"/>
          <w:szCs w:val="21"/>
          <w:u w:val="single"/>
        </w:rPr>
        <w:t>2</w:t>
      </w:r>
      <w:r>
        <w:rPr>
          <w:rFonts w:hint="eastAsia" w:cs="宋体"/>
          <w:color w:val="auto"/>
          <w:sz w:val="21"/>
          <w:szCs w:val="21"/>
        </w:rPr>
        <w:t>年；</w:t>
      </w:r>
    </w:p>
    <w:p w14:paraId="19169838">
      <w:pPr>
        <w:adjustRightInd w:val="0"/>
        <w:snapToGrid w:val="0"/>
        <w:spacing w:line="360" w:lineRule="auto"/>
        <w:ind w:firstLine="420" w:firstLineChars="200"/>
        <w:rPr>
          <w:rFonts w:cs="宋体"/>
          <w:color w:val="auto"/>
          <w:sz w:val="21"/>
          <w:szCs w:val="21"/>
        </w:rPr>
      </w:pPr>
      <w:r>
        <w:rPr>
          <w:rFonts w:hint="eastAsia" w:cs="宋体"/>
          <w:color w:val="auto"/>
          <w:sz w:val="21"/>
          <w:szCs w:val="21"/>
        </w:rPr>
        <w:t>7. 其他项目保修期限约定如下：</w:t>
      </w:r>
      <w:r>
        <w:rPr>
          <w:rFonts w:hint="eastAsia" w:cs="宋体"/>
          <w:color w:val="auto"/>
          <w:sz w:val="21"/>
          <w:szCs w:val="21"/>
          <w:u w:val="single"/>
        </w:rPr>
        <w:t>保温工程5年</w:t>
      </w:r>
      <w:r>
        <w:rPr>
          <w:rFonts w:hint="eastAsia" w:cs="宋体"/>
          <w:color w:val="auto"/>
          <w:sz w:val="21"/>
          <w:szCs w:val="21"/>
        </w:rPr>
        <w:t>。</w:t>
      </w:r>
    </w:p>
    <w:p w14:paraId="30365D44">
      <w:pPr>
        <w:adjustRightInd w:val="0"/>
        <w:snapToGrid w:val="0"/>
        <w:spacing w:line="360" w:lineRule="auto"/>
        <w:ind w:firstLine="420" w:firstLineChars="200"/>
        <w:rPr>
          <w:rFonts w:cs="宋体"/>
          <w:color w:val="auto"/>
          <w:sz w:val="21"/>
          <w:szCs w:val="21"/>
        </w:rPr>
      </w:pPr>
      <w:r>
        <w:rPr>
          <w:rFonts w:hint="eastAsia" w:cs="宋体"/>
          <w:color w:val="auto"/>
          <w:sz w:val="21"/>
          <w:szCs w:val="21"/>
        </w:rPr>
        <w:t>质量保修期自工程竣工验收合格之日起计算。</w:t>
      </w:r>
    </w:p>
    <w:p w14:paraId="670CA442">
      <w:pPr>
        <w:adjustRightInd w:val="0"/>
        <w:snapToGrid w:val="0"/>
        <w:spacing w:line="360" w:lineRule="auto"/>
        <w:ind w:firstLine="422" w:firstLineChars="200"/>
        <w:rPr>
          <w:rFonts w:cs="宋体"/>
          <w:b/>
          <w:color w:val="auto"/>
          <w:sz w:val="21"/>
          <w:szCs w:val="21"/>
        </w:rPr>
      </w:pPr>
      <w:r>
        <w:rPr>
          <w:rFonts w:hint="eastAsia" w:cs="宋体"/>
          <w:b/>
          <w:color w:val="auto"/>
          <w:sz w:val="21"/>
          <w:szCs w:val="21"/>
        </w:rPr>
        <w:t>三、缺陷责任期</w:t>
      </w:r>
    </w:p>
    <w:p w14:paraId="60E63343">
      <w:pPr>
        <w:adjustRightInd w:val="0"/>
        <w:snapToGrid w:val="0"/>
        <w:spacing w:line="360" w:lineRule="auto"/>
        <w:ind w:firstLine="420" w:firstLineChars="200"/>
        <w:rPr>
          <w:rFonts w:cs="宋体"/>
          <w:color w:val="auto"/>
          <w:sz w:val="21"/>
          <w:szCs w:val="21"/>
        </w:rPr>
      </w:pPr>
      <w:r>
        <w:rPr>
          <w:rFonts w:hint="eastAsia" w:cs="宋体"/>
          <w:color w:val="auto"/>
          <w:sz w:val="21"/>
          <w:szCs w:val="21"/>
        </w:rPr>
        <w:t>工程缺陷责任期为</w:t>
      </w:r>
      <w:r>
        <w:rPr>
          <w:rFonts w:hint="eastAsia" w:cs="宋体"/>
          <w:color w:val="auto"/>
          <w:sz w:val="21"/>
          <w:szCs w:val="21"/>
          <w:u w:val="single"/>
        </w:rPr>
        <w:t xml:space="preserve">          </w:t>
      </w:r>
      <w:r>
        <w:rPr>
          <w:rFonts w:hint="eastAsia" w:cs="宋体"/>
          <w:color w:val="auto"/>
          <w:sz w:val="21"/>
          <w:szCs w:val="21"/>
        </w:rPr>
        <w:t>，缺陷责任期自工程竣工验收合格之日起计算。单位工程先于全部工程进行验收，单位工程缺陷责任期自单位工程验收合格之日起算。</w:t>
      </w:r>
    </w:p>
    <w:p w14:paraId="11F1201A">
      <w:pPr>
        <w:adjustRightInd w:val="0"/>
        <w:snapToGrid w:val="0"/>
        <w:spacing w:line="360" w:lineRule="auto"/>
        <w:ind w:firstLine="420" w:firstLineChars="200"/>
        <w:rPr>
          <w:rFonts w:cs="宋体"/>
          <w:b/>
          <w:color w:val="auto"/>
          <w:sz w:val="21"/>
          <w:szCs w:val="21"/>
        </w:rPr>
      </w:pPr>
      <w:r>
        <w:rPr>
          <w:rFonts w:hint="eastAsia" w:cs="宋体"/>
          <w:color w:val="auto"/>
          <w:sz w:val="21"/>
          <w:szCs w:val="21"/>
        </w:rPr>
        <w:t>缺陷责任期终止后，发包人应退还剩余的质量保证金。</w:t>
      </w:r>
    </w:p>
    <w:p w14:paraId="75242EFD">
      <w:pPr>
        <w:adjustRightInd w:val="0"/>
        <w:snapToGrid w:val="0"/>
        <w:spacing w:line="360" w:lineRule="auto"/>
        <w:ind w:firstLine="422" w:firstLineChars="200"/>
        <w:rPr>
          <w:rFonts w:cs="宋体"/>
          <w:b/>
          <w:color w:val="auto"/>
          <w:sz w:val="21"/>
          <w:szCs w:val="21"/>
        </w:rPr>
      </w:pPr>
      <w:r>
        <w:rPr>
          <w:rFonts w:hint="eastAsia" w:cs="宋体"/>
          <w:b/>
          <w:color w:val="auto"/>
          <w:sz w:val="21"/>
          <w:szCs w:val="21"/>
        </w:rPr>
        <w:t>四、质量保修责任</w:t>
      </w:r>
    </w:p>
    <w:p w14:paraId="3274BF02">
      <w:pPr>
        <w:adjustRightInd w:val="0"/>
        <w:snapToGrid w:val="0"/>
        <w:spacing w:line="360" w:lineRule="auto"/>
        <w:ind w:firstLine="430" w:firstLineChars="205"/>
        <w:rPr>
          <w:rFonts w:cs="宋体"/>
          <w:color w:val="auto"/>
          <w:sz w:val="21"/>
          <w:szCs w:val="21"/>
        </w:rPr>
      </w:pPr>
      <w:r>
        <w:rPr>
          <w:rFonts w:hint="eastAsia" w:cs="宋体"/>
          <w:color w:val="auto"/>
          <w:sz w:val="21"/>
          <w:szCs w:val="21"/>
        </w:rPr>
        <w:t>1. 属于保修范围、内容的项目，承包人应当在接到保修通知之日起7天内派人保修。承包人不在约定期限内派人保修的，发包人可以委托他人修理。</w:t>
      </w:r>
    </w:p>
    <w:p w14:paraId="68DA61B8">
      <w:pPr>
        <w:adjustRightInd w:val="0"/>
        <w:snapToGrid w:val="0"/>
        <w:spacing w:line="360" w:lineRule="auto"/>
        <w:ind w:firstLine="430" w:firstLineChars="205"/>
        <w:rPr>
          <w:rFonts w:cs="宋体"/>
          <w:color w:val="auto"/>
          <w:sz w:val="21"/>
          <w:szCs w:val="21"/>
        </w:rPr>
      </w:pPr>
      <w:r>
        <w:rPr>
          <w:rFonts w:hint="eastAsia" w:cs="宋体"/>
          <w:color w:val="auto"/>
          <w:sz w:val="21"/>
          <w:szCs w:val="21"/>
        </w:rPr>
        <w:t>2. 发生紧急事故需抢修的，承包人在接到事故通知后，应当立即到达事故现场抢修。</w:t>
      </w:r>
    </w:p>
    <w:p w14:paraId="37526B89">
      <w:pPr>
        <w:adjustRightInd w:val="0"/>
        <w:snapToGrid w:val="0"/>
        <w:spacing w:line="360" w:lineRule="auto"/>
        <w:ind w:firstLine="430" w:firstLineChars="205"/>
        <w:rPr>
          <w:rFonts w:cs="宋体"/>
          <w:color w:val="auto"/>
          <w:sz w:val="21"/>
          <w:szCs w:val="21"/>
        </w:rPr>
      </w:pPr>
      <w:r>
        <w:rPr>
          <w:rFonts w:hint="eastAsia" w:cs="宋体"/>
          <w:color w:val="auto"/>
          <w:sz w:val="21"/>
          <w:szCs w:val="21"/>
        </w:rPr>
        <w:t>3. 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6DD8C5B">
      <w:pPr>
        <w:adjustRightInd w:val="0"/>
        <w:snapToGrid w:val="0"/>
        <w:spacing w:line="360" w:lineRule="auto"/>
        <w:ind w:firstLine="430" w:firstLineChars="205"/>
        <w:rPr>
          <w:rFonts w:cs="宋体"/>
          <w:color w:val="auto"/>
          <w:sz w:val="21"/>
          <w:szCs w:val="21"/>
        </w:rPr>
      </w:pPr>
      <w:r>
        <w:rPr>
          <w:rFonts w:hint="eastAsia" w:cs="宋体"/>
          <w:color w:val="auto"/>
          <w:sz w:val="21"/>
          <w:szCs w:val="21"/>
        </w:rPr>
        <w:t>4. 质量保修完成后，由发包人组织验收。</w:t>
      </w:r>
    </w:p>
    <w:p w14:paraId="7E454DA8">
      <w:pPr>
        <w:adjustRightInd w:val="0"/>
        <w:snapToGrid w:val="0"/>
        <w:spacing w:line="360" w:lineRule="auto"/>
        <w:ind w:firstLine="422" w:firstLineChars="200"/>
        <w:rPr>
          <w:rFonts w:cs="宋体"/>
          <w:b/>
          <w:color w:val="auto"/>
          <w:sz w:val="21"/>
          <w:szCs w:val="21"/>
        </w:rPr>
      </w:pPr>
      <w:r>
        <w:rPr>
          <w:rFonts w:hint="eastAsia" w:cs="宋体"/>
          <w:b/>
          <w:color w:val="auto"/>
          <w:sz w:val="21"/>
          <w:szCs w:val="21"/>
        </w:rPr>
        <w:t>五、保修费用</w:t>
      </w:r>
    </w:p>
    <w:p w14:paraId="6E0754E0">
      <w:pPr>
        <w:adjustRightInd w:val="0"/>
        <w:snapToGrid w:val="0"/>
        <w:spacing w:line="360" w:lineRule="auto"/>
        <w:ind w:firstLine="420" w:firstLineChars="200"/>
        <w:rPr>
          <w:rFonts w:cs="宋体"/>
          <w:color w:val="auto"/>
          <w:sz w:val="21"/>
          <w:szCs w:val="21"/>
        </w:rPr>
      </w:pPr>
      <w:r>
        <w:rPr>
          <w:rFonts w:hint="eastAsia" w:cs="宋体"/>
          <w:color w:val="auto"/>
          <w:sz w:val="21"/>
          <w:szCs w:val="21"/>
        </w:rPr>
        <w:t>保修费用由造成质量缺陷的责任方承担。</w:t>
      </w:r>
    </w:p>
    <w:p w14:paraId="59505F43">
      <w:pPr>
        <w:adjustRightInd w:val="0"/>
        <w:snapToGrid w:val="0"/>
        <w:spacing w:line="360" w:lineRule="auto"/>
        <w:ind w:firstLine="422" w:firstLineChars="200"/>
        <w:rPr>
          <w:rFonts w:cs="宋体"/>
          <w:b/>
          <w:color w:val="auto"/>
          <w:sz w:val="21"/>
          <w:szCs w:val="21"/>
        </w:rPr>
      </w:pPr>
      <w:r>
        <w:rPr>
          <w:rFonts w:hint="eastAsia" w:cs="宋体"/>
          <w:b/>
          <w:color w:val="auto"/>
          <w:sz w:val="21"/>
          <w:szCs w:val="21"/>
        </w:rPr>
        <w:t>六、双方约定的其他工程质量保修事项：</w:t>
      </w:r>
      <w:r>
        <w:rPr>
          <w:rFonts w:hint="eastAsia" w:cs="宋体"/>
          <w:b/>
          <w:color w:val="auto"/>
          <w:sz w:val="21"/>
          <w:szCs w:val="21"/>
          <w:u w:val="single"/>
        </w:rPr>
        <w:t xml:space="preserve">             </w:t>
      </w:r>
      <w:r>
        <w:rPr>
          <w:rFonts w:hint="eastAsia" w:cs="宋体"/>
          <w:b/>
          <w:color w:val="auto"/>
          <w:sz w:val="21"/>
          <w:szCs w:val="21"/>
        </w:rPr>
        <w:t>。</w:t>
      </w:r>
    </w:p>
    <w:p w14:paraId="0AEC0E5B">
      <w:pPr>
        <w:adjustRightInd w:val="0"/>
        <w:snapToGrid w:val="0"/>
        <w:spacing w:line="360" w:lineRule="auto"/>
        <w:ind w:firstLine="399" w:firstLineChars="190"/>
        <w:rPr>
          <w:rFonts w:cs="宋体"/>
          <w:color w:val="auto"/>
          <w:sz w:val="21"/>
          <w:szCs w:val="21"/>
        </w:rPr>
      </w:pPr>
      <w:r>
        <w:rPr>
          <w:rFonts w:hint="eastAsia" w:cs="宋体"/>
          <w:color w:val="auto"/>
          <w:sz w:val="21"/>
          <w:szCs w:val="21"/>
        </w:rPr>
        <w:t>工程质量保修书由发包人、承包人在工程竣工验收前共同签署，作为施工合同附件，其有效期限至保修期满。</w:t>
      </w:r>
    </w:p>
    <w:p w14:paraId="6A0B9840">
      <w:pPr>
        <w:adjustRightInd w:val="0"/>
        <w:snapToGrid w:val="0"/>
        <w:spacing w:line="360" w:lineRule="auto"/>
        <w:ind w:firstLine="420"/>
        <w:rPr>
          <w:rFonts w:cs="宋体"/>
          <w:color w:val="auto"/>
          <w:sz w:val="21"/>
          <w:szCs w:val="21"/>
        </w:rPr>
      </w:pPr>
    </w:p>
    <w:p w14:paraId="3A70A9F7">
      <w:pPr>
        <w:adjustRightInd w:val="0"/>
        <w:snapToGrid w:val="0"/>
        <w:spacing w:line="360" w:lineRule="auto"/>
        <w:ind w:firstLine="420"/>
        <w:rPr>
          <w:rFonts w:cs="宋体"/>
          <w:color w:val="auto"/>
          <w:sz w:val="21"/>
          <w:szCs w:val="21"/>
        </w:rPr>
      </w:pPr>
    </w:p>
    <w:p w14:paraId="5C559322">
      <w:pPr>
        <w:adjustRightInd w:val="0"/>
        <w:snapToGrid w:val="0"/>
        <w:spacing w:line="360" w:lineRule="auto"/>
        <w:rPr>
          <w:rFonts w:cs="宋体"/>
          <w:color w:val="auto"/>
          <w:sz w:val="21"/>
          <w:szCs w:val="21"/>
          <w:u w:val="single"/>
        </w:rPr>
      </w:pPr>
      <w:r>
        <w:rPr>
          <w:rFonts w:hint="eastAsia" w:cs="宋体"/>
          <w:color w:val="auto"/>
          <w:sz w:val="21"/>
          <w:szCs w:val="21"/>
        </w:rPr>
        <w:t>发包人（公章）：</w:t>
      </w:r>
      <w:r>
        <w:rPr>
          <w:rFonts w:hint="eastAsia" w:cs="宋体"/>
          <w:color w:val="auto"/>
          <w:sz w:val="21"/>
          <w:szCs w:val="21"/>
          <w:u w:val="single"/>
        </w:rPr>
        <w:t xml:space="preserve">      </w:t>
      </w:r>
      <w:r>
        <w:rPr>
          <w:rFonts w:hint="eastAsia" w:cs="宋体"/>
          <w:color w:val="auto"/>
          <w:sz w:val="21"/>
          <w:szCs w:val="21"/>
        </w:rPr>
        <w:t xml:space="preserve">           承包人（公章）：</w:t>
      </w:r>
      <w:r>
        <w:rPr>
          <w:rFonts w:hint="eastAsia" w:cs="宋体"/>
          <w:color w:val="auto"/>
          <w:sz w:val="21"/>
          <w:szCs w:val="21"/>
          <w:u w:val="single"/>
        </w:rPr>
        <w:t>          </w:t>
      </w:r>
    </w:p>
    <w:p w14:paraId="26099DA7">
      <w:pPr>
        <w:adjustRightInd w:val="0"/>
        <w:snapToGrid w:val="0"/>
        <w:spacing w:line="360" w:lineRule="auto"/>
        <w:rPr>
          <w:rFonts w:cs="宋体"/>
          <w:color w:val="auto"/>
          <w:sz w:val="21"/>
          <w:szCs w:val="21"/>
          <w:u w:val="single"/>
        </w:rPr>
      </w:pPr>
      <w:r>
        <w:rPr>
          <w:rFonts w:hint="eastAsia" w:cs="宋体"/>
          <w:color w:val="auto"/>
          <w:sz w:val="21"/>
          <w:szCs w:val="21"/>
        </w:rPr>
        <w:t>地  址：</w:t>
      </w:r>
      <w:r>
        <w:rPr>
          <w:rFonts w:hint="eastAsia" w:cs="宋体"/>
          <w:color w:val="auto"/>
          <w:sz w:val="21"/>
          <w:szCs w:val="21"/>
          <w:u w:val="single"/>
        </w:rPr>
        <w:t xml:space="preserve">     </w:t>
      </w:r>
      <w:r>
        <w:rPr>
          <w:rFonts w:hint="eastAsia" w:cs="宋体"/>
          <w:color w:val="auto"/>
          <w:sz w:val="21"/>
          <w:szCs w:val="21"/>
        </w:rPr>
        <w:t xml:space="preserve">            地  址：</w:t>
      </w:r>
      <w:r>
        <w:rPr>
          <w:rFonts w:hint="eastAsia" w:cs="宋体"/>
          <w:color w:val="auto"/>
          <w:sz w:val="21"/>
          <w:szCs w:val="21"/>
          <w:u w:val="single"/>
        </w:rPr>
        <w:t xml:space="preserve">    </w:t>
      </w:r>
    </w:p>
    <w:p w14:paraId="5AD2DAD9">
      <w:pPr>
        <w:adjustRightInd w:val="0"/>
        <w:snapToGrid w:val="0"/>
        <w:spacing w:line="360" w:lineRule="auto"/>
        <w:rPr>
          <w:rFonts w:cs="宋体"/>
          <w:color w:val="auto"/>
          <w:sz w:val="21"/>
          <w:szCs w:val="21"/>
          <w:u w:val="single"/>
        </w:rPr>
      </w:pPr>
      <w:r>
        <w:rPr>
          <w:rFonts w:hint="eastAsia" w:cs="宋体"/>
          <w:color w:val="auto"/>
          <w:sz w:val="21"/>
          <w:szCs w:val="21"/>
        </w:rPr>
        <w:t>法定代表人（签字）：</w:t>
      </w:r>
      <w:r>
        <w:rPr>
          <w:rFonts w:hint="eastAsia" w:cs="宋体"/>
          <w:color w:val="auto"/>
          <w:sz w:val="21"/>
          <w:szCs w:val="21"/>
          <w:u w:val="single"/>
        </w:rPr>
        <w:t xml:space="preserve">      </w:t>
      </w:r>
      <w:r>
        <w:rPr>
          <w:rFonts w:hint="eastAsia" w:cs="宋体"/>
          <w:color w:val="auto"/>
          <w:sz w:val="21"/>
          <w:szCs w:val="21"/>
        </w:rPr>
        <w:t xml:space="preserve">         法定代表人（签字）：</w:t>
      </w:r>
      <w:r>
        <w:rPr>
          <w:rFonts w:hint="eastAsia" w:cs="宋体"/>
          <w:color w:val="auto"/>
          <w:sz w:val="21"/>
          <w:szCs w:val="21"/>
          <w:u w:val="single"/>
        </w:rPr>
        <w:t xml:space="preserve">    </w:t>
      </w:r>
    </w:p>
    <w:p w14:paraId="1B7198BB">
      <w:pPr>
        <w:adjustRightInd w:val="0"/>
        <w:snapToGrid w:val="0"/>
        <w:spacing w:line="360" w:lineRule="auto"/>
        <w:rPr>
          <w:rFonts w:cs="宋体"/>
          <w:color w:val="auto"/>
          <w:sz w:val="21"/>
          <w:szCs w:val="21"/>
          <w:u w:val="single"/>
        </w:rPr>
      </w:pPr>
      <w:r>
        <w:rPr>
          <w:rFonts w:hint="eastAsia" w:cs="宋体"/>
          <w:color w:val="auto"/>
          <w:sz w:val="21"/>
          <w:szCs w:val="21"/>
        </w:rPr>
        <w:t>委托代理人（签字）：</w:t>
      </w:r>
      <w:r>
        <w:rPr>
          <w:rFonts w:hint="eastAsia" w:cs="宋体"/>
          <w:color w:val="auto"/>
          <w:sz w:val="21"/>
          <w:szCs w:val="21"/>
          <w:u w:val="single"/>
        </w:rPr>
        <w:t xml:space="preserve">      </w:t>
      </w:r>
      <w:r>
        <w:rPr>
          <w:rFonts w:hint="eastAsia" w:cs="宋体"/>
          <w:color w:val="auto"/>
          <w:sz w:val="21"/>
          <w:szCs w:val="21"/>
        </w:rPr>
        <w:t xml:space="preserve">         委托代理人（签字）：</w:t>
      </w:r>
      <w:r>
        <w:rPr>
          <w:rFonts w:hint="eastAsia" w:cs="宋体"/>
          <w:color w:val="auto"/>
          <w:sz w:val="21"/>
          <w:szCs w:val="21"/>
          <w:u w:val="single"/>
        </w:rPr>
        <w:t xml:space="preserve">    </w:t>
      </w:r>
    </w:p>
    <w:p w14:paraId="25D9E433">
      <w:pPr>
        <w:adjustRightInd w:val="0"/>
        <w:snapToGrid w:val="0"/>
        <w:spacing w:line="360" w:lineRule="auto"/>
        <w:rPr>
          <w:rFonts w:cs="宋体"/>
          <w:color w:val="auto"/>
          <w:sz w:val="21"/>
          <w:szCs w:val="21"/>
        </w:rPr>
      </w:pPr>
      <w:r>
        <w:rPr>
          <w:rFonts w:hint="eastAsia" w:cs="宋体"/>
          <w:color w:val="auto"/>
          <w:sz w:val="21"/>
          <w:szCs w:val="21"/>
        </w:rPr>
        <w:t>电  话：</w:t>
      </w:r>
      <w:r>
        <w:rPr>
          <w:rFonts w:hint="eastAsia" w:cs="宋体"/>
          <w:color w:val="auto"/>
          <w:sz w:val="21"/>
          <w:szCs w:val="21"/>
          <w:u w:val="single"/>
        </w:rPr>
        <w:t xml:space="preserve">   </w:t>
      </w:r>
      <w:r>
        <w:rPr>
          <w:rFonts w:hint="eastAsia" w:cs="宋体"/>
          <w:color w:val="auto"/>
          <w:sz w:val="21"/>
          <w:szCs w:val="21"/>
        </w:rPr>
        <w:t xml:space="preserve">            电  话：</w:t>
      </w:r>
      <w:r>
        <w:rPr>
          <w:rFonts w:hint="eastAsia" w:cs="宋体"/>
          <w:color w:val="auto"/>
          <w:sz w:val="21"/>
          <w:szCs w:val="21"/>
          <w:u w:val="single"/>
        </w:rPr>
        <w:t xml:space="preserve">  </w:t>
      </w:r>
    </w:p>
    <w:p w14:paraId="0160AC27">
      <w:pPr>
        <w:adjustRightInd w:val="0"/>
        <w:snapToGrid w:val="0"/>
        <w:spacing w:line="360" w:lineRule="auto"/>
        <w:rPr>
          <w:rFonts w:cs="宋体"/>
          <w:color w:val="auto"/>
          <w:sz w:val="21"/>
          <w:szCs w:val="21"/>
        </w:rPr>
      </w:pPr>
      <w:r>
        <w:rPr>
          <w:rFonts w:hint="eastAsia" w:cs="宋体"/>
          <w:color w:val="auto"/>
          <w:sz w:val="21"/>
          <w:szCs w:val="21"/>
        </w:rPr>
        <w:t>传  真：</w:t>
      </w:r>
      <w:r>
        <w:rPr>
          <w:rFonts w:hint="eastAsia" w:cs="宋体"/>
          <w:color w:val="auto"/>
          <w:sz w:val="21"/>
          <w:szCs w:val="21"/>
          <w:u w:val="single"/>
        </w:rPr>
        <w:t xml:space="preserve">   </w:t>
      </w:r>
      <w:r>
        <w:rPr>
          <w:rFonts w:hint="eastAsia" w:cs="宋体"/>
          <w:color w:val="auto"/>
          <w:sz w:val="21"/>
          <w:szCs w:val="21"/>
        </w:rPr>
        <w:t xml:space="preserve">            传  真：</w:t>
      </w:r>
      <w:r>
        <w:rPr>
          <w:rFonts w:hint="eastAsia" w:cs="宋体"/>
          <w:color w:val="auto"/>
          <w:sz w:val="21"/>
          <w:szCs w:val="21"/>
          <w:u w:val="single"/>
        </w:rPr>
        <w:t>  </w:t>
      </w:r>
    </w:p>
    <w:p w14:paraId="6E1BB22E">
      <w:pPr>
        <w:adjustRightInd w:val="0"/>
        <w:snapToGrid w:val="0"/>
        <w:spacing w:line="360" w:lineRule="auto"/>
        <w:rPr>
          <w:rFonts w:cs="宋体"/>
          <w:color w:val="auto"/>
          <w:sz w:val="21"/>
          <w:szCs w:val="21"/>
        </w:rPr>
      </w:pPr>
      <w:r>
        <w:rPr>
          <w:rFonts w:hint="eastAsia" w:cs="宋体"/>
          <w:color w:val="auto"/>
          <w:sz w:val="21"/>
          <w:szCs w:val="21"/>
        </w:rPr>
        <w:t>开户银行：</w:t>
      </w:r>
      <w:r>
        <w:rPr>
          <w:rFonts w:hint="eastAsia" w:cs="宋体"/>
          <w:color w:val="auto"/>
          <w:sz w:val="21"/>
          <w:szCs w:val="21"/>
          <w:u w:val="single"/>
        </w:rPr>
        <w:t xml:space="preserve">   </w:t>
      </w:r>
      <w:r>
        <w:rPr>
          <w:rFonts w:hint="eastAsia" w:cs="宋体"/>
          <w:color w:val="auto"/>
          <w:sz w:val="21"/>
          <w:szCs w:val="21"/>
        </w:rPr>
        <w:t xml:space="preserve">            开户银行：</w:t>
      </w:r>
      <w:r>
        <w:rPr>
          <w:rFonts w:hint="eastAsia" w:cs="宋体"/>
          <w:color w:val="auto"/>
          <w:sz w:val="21"/>
          <w:szCs w:val="21"/>
          <w:u w:val="single"/>
        </w:rPr>
        <w:t></w:t>
      </w:r>
    </w:p>
    <w:p w14:paraId="3FA28BF0">
      <w:pPr>
        <w:adjustRightInd w:val="0"/>
        <w:snapToGrid w:val="0"/>
        <w:spacing w:line="360" w:lineRule="auto"/>
        <w:rPr>
          <w:rFonts w:cs="宋体"/>
          <w:color w:val="auto"/>
          <w:sz w:val="21"/>
          <w:szCs w:val="21"/>
        </w:rPr>
      </w:pPr>
      <w:r>
        <w:rPr>
          <w:rFonts w:hint="eastAsia" w:cs="宋体"/>
          <w:color w:val="auto"/>
          <w:sz w:val="21"/>
          <w:szCs w:val="21"/>
        </w:rPr>
        <w:t>账  号：</w:t>
      </w:r>
      <w:r>
        <w:rPr>
          <w:rFonts w:hint="eastAsia" w:cs="宋体"/>
          <w:color w:val="auto"/>
          <w:sz w:val="21"/>
          <w:szCs w:val="21"/>
          <w:u w:val="single"/>
        </w:rPr>
        <w:t xml:space="preserve">       </w:t>
      </w:r>
      <w:r>
        <w:rPr>
          <w:rFonts w:hint="eastAsia" w:cs="宋体"/>
          <w:color w:val="auto"/>
          <w:sz w:val="21"/>
          <w:szCs w:val="21"/>
        </w:rPr>
        <w:t xml:space="preserve">            账  号：</w:t>
      </w:r>
      <w:r>
        <w:rPr>
          <w:rFonts w:hint="eastAsia" w:cs="宋体"/>
          <w:color w:val="auto"/>
          <w:sz w:val="21"/>
          <w:szCs w:val="21"/>
          <w:u w:val="single"/>
        </w:rPr>
        <w:t xml:space="preserve">  </w:t>
      </w:r>
    </w:p>
    <w:p w14:paraId="5A5B383B">
      <w:pPr>
        <w:adjustRightInd w:val="0"/>
        <w:snapToGrid w:val="0"/>
        <w:spacing w:line="360" w:lineRule="auto"/>
        <w:rPr>
          <w:rFonts w:cs="宋体"/>
          <w:color w:val="auto"/>
          <w:sz w:val="21"/>
          <w:szCs w:val="21"/>
        </w:rPr>
      </w:pPr>
      <w:r>
        <w:rPr>
          <w:rFonts w:hint="eastAsia" w:cs="宋体"/>
          <w:color w:val="auto"/>
          <w:sz w:val="21"/>
          <w:szCs w:val="21"/>
        </w:rPr>
        <w:t>邮政编码：</w:t>
      </w:r>
      <w:r>
        <w:rPr>
          <w:rFonts w:hint="eastAsia" w:cs="宋体"/>
          <w:color w:val="auto"/>
          <w:sz w:val="21"/>
          <w:szCs w:val="21"/>
          <w:u w:val="single"/>
        </w:rPr>
        <w:t xml:space="preserve">     </w:t>
      </w:r>
      <w:r>
        <w:rPr>
          <w:rFonts w:hint="eastAsia" w:cs="宋体"/>
          <w:color w:val="auto"/>
          <w:sz w:val="21"/>
          <w:szCs w:val="21"/>
        </w:rPr>
        <w:t xml:space="preserve">            邮政编码：</w:t>
      </w:r>
      <w:r>
        <w:rPr>
          <w:rFonts w:hint="eastAsia" w:cs="宋体"/>
          <w:color w:val="auto"/>
          <w:sz w:val="21"/>
          <w:szCs w:val="21"/>
          <w:u w:val="single"/>
        </w:rPr>
        <w:t></w:t>
      </w:r>
    </w:p>
    <w:p w14:paraId="20350579">
      <w:pPr>
        <w:spacing w:before="312" w:beforeLines="100" w:after="312" w:afterLines="100"/>
        <w:outlineLvl w:val="2"/>
        <w:rPr>
          <w:rFonts w:ascii="Times New Roman" w:eastAsia="黑体"/>
          <w:color w:val="auto"/>
          <w:szCs w:val="24"/>
        </w:rPr>
      </w:pPr>
      <w:r>
        <w:rPr>
          <w:rFonts w:hint="eastAsia" w:ascii="Times New Roman" w:eastAsia="黑体"/>
          <w:bCs/>
          <w:color w:val="auto"/>
        </w:rPr>
        <w:br w:type="page"/>
      </w:r>
      <w:bookmarkStart w:id="634" w:name="_Toc128950238"/>
      <w:r>
        <w:rPr>
          <w:rFonts w:hint="eastAsia" w:ascii="Times New Roman" w:eastAsia="黑体"/>
          <w:color w:val="auto"/>
          <w:szCs w:val="24"/>
        </w:rPr>
        <w:t>附</w:t>
      </w:r>
      <w:bookmarkStart w:id="635" w:name="_Toc296891266"/>
      <w:bookmarkStart w:id="636" w:name="_Toc296944565"/>
      <w:bookmarkStart w:id="637" w:name="_Toc296503226"/>
      <w:bookmarkStart w:id="638" w:name="_Toc267261693"/>
      <w:bookmarkStart w:id="639" w:name="_Toc296347225"/>
      <w:bookmarkStart w:id="640" w:name="_Toc296346727"/>
      <w:bookmarkStart w:id="641" w:name="_Toc296891054"/>
      <w:r>
        <w:rPr>
          <w:rFonts w:hint="eastAsia" w:ascii="Times New Roman" w:eastAsia="黑体"/>
          <w:color w:val="auto"/>
          <w:szCs w:val="24"/>
        </w:rPr>
        <w:t>件</w:t>
      </w:r>
      <w:r>
        <w:rPr>
          <w:rFonts w:ascii="Times New Roman" w:eastAsia="黑体"/>
          <w:color w:val="auto"/>
          <w:szCs w:val="24"/>
        </w:rPr>
        <w:t>3</w:t>
      </w:r>
      <w:r>
        <w:rPr>
          <w:rFonts w:hint="eastAsia" w:ascii="Times New Roman" w:eastAsia="黑体"/>
          <w:color w:val="auto"/>
          <w:szCs w:val="24"/>
        </w:rPr>
        <w:t>：</w:t>
      </w:r>
      <w:bookmarkEnd w:id="635"/>
      <w:bookmarkEnd w:id="636"/>
      <w:bookmarkEnd w:id="637"/>
      <w:bookmarkEnd w:id="638"/>
      <w:bookmarkEnd w:id="639"/>
      <w:bookmarkEnd w:id="640"/>
      <w:bookmarkEnd w:id="641"/>
      <w:r>
        <w:rPr>
          <w:rFonts w:hint="eastAsia" w:ascii="Times New Roman" w:eastAsia="黑体"/>
          <w:color w:val="auto"/>
          <w:szCs w:val="24"/>
        </w:rPr>
        <w:t>工程质量保修书（市政公用工程）</w:t>
      </w:r>
      <w:bookmarkEnd w:id="634"/>
    </w:p>
    <w:p w14:paraId="00F0A1E1">
      <w:pPr>
        <w:adjustRightInd w:val="0"/>
        <w:snapToGrid w:val="0"/>
        <w:spacing w:line="360" w:lineRule="auto"/>
        <w:jc w:val="center"/>
        <w:rPr>
          <w:rFonts w:cs="宋体"/>
          <w:color w:val="auto"/>
          <w:sz w:val="28"/>
          <w:szCs w:val="28"/>
        </w:rPr>
      </w:pPr>
      <w:r>
        <w:rPr>
          <w:rFonts w:hint="eastAsia" w:cs="宋体"/>
          <w:color w:val="auto"/>
          <w:sz w:val="28"/>
          <w:szCs w:val="28"/>
        </w:rPr>
        <w:t>工程质量保修书</w:t>
      </w:r>
    </w:p>
    <w:p w14:paraId="617D9124">
      <w:pPr>
        <w:adjustRightInd w:val="0"/>
        <w:snapToGrid w:val="0"/>
        <w:spacing w:line="360" w:lineRule="auto"/>
        <w:ind w:firstLine="420" w:firstLineChars="200"/>
        <w:rPr>
          <w:rFonts w:cs="宋体"/>
          <w:color w:val="auto"/>
          <w:position w:val="14"/>
          <w:sz w:val="21"/>
          <w:szCs w:val="21"/>
        </w:rPr>
      </w:pPr>
      <w:r>
        <w:rPr>
          <w:rFonts w:hint="eastAsia" w:cs="宋体"/>
          <w:bCs/>
          <w:color w:val="auto"/>
          <w:position w:val="14"/>
          <w:sz w:val="21"/>
          <w:szCs w:val="21"/>
        </w:rPr>
        <w:t>发包人</w:t>
      </w:r>
      <w:r>
        <w:rPr>
          <w:rFonts w:hint="eastAsia" w:cs="宋体"/>
          <w:color w:val="auto"/>
          <w:position w:val="14"/>
          <w:sz w:val="21"/>
          <w:szCs w:val="21"/>
        </w:rPr>
        <w:t>：_______________________________</w:t>
      </w:r>
    </w:p>
    <w:p w14:paraId="2BCD698F">
      <w:pPr>
        <w:widowControl/>
        <w:adjustRightInd w:val="0"/>
        <w:snapToGrid w:val="0"/>
        <w:spacing w:line="360" w:lineRule="auto"/>
        <w:ind w:firstLine="420" w:firstLineChars="200"/>
        <w:jc w:val="left"/>
        <w:rPr>
          <w:rFonts w:cs="宋体"/>
          <w:color w:val="auto"/>
          <w:position w:val="14"/>
          <w:sz w:val="21"/>
          <w:szCs w:val="21"/>
        </w:rPr>
      </w:pPr>
      <w:r>
        <w:rPr>
          <w:rFonts w:hint="eastAsia" w:cs="宋体"/>
          <w:bCs/>
          <w:color w:val="auto"/>
          <w:position w:val="14"/>
          <w:sz w:val="21"/>
          <w:szCs w:val="21"/>
        </w:rPr>
        <w:t>承包人</w:t>
      </w:r>
      <w:r>
        <w:rPr>
          <w:rFonts w:hint="eastAsia" w:cs="宋体"/>
          <w:color w:val="auto"/>
          <w:position w:val="14"/>
          <w:sz w:val="21"/>
          <w:szCs w:val="21"/>
        </w:rPr>
        <w:t>：_______________________________</w:t>
      </w:r>
    </w:p>
    <w:p w14:paraId="6C6DCAF4">
      <w:pPr>
        <w:widowControl/>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发包人、承包人根据《中华人民共和国建筑法》《建设工程质量管理条例》，参照《房屋建筑工程质量保修办法》，经协商一致，对______________________工程签订工程质量保修书。</w:t>
      </w:r>
    </w:p>
    <w:p w14:paraId="2757CA9F">
      <w:pPr>
        <w:widowControl/>
        <w:adjustRightInd w:val="0"/>
        <w:snapToGrid w:val="0"/>
        <w:spacing w:line="360" w:lineRule="auto"/>
        <w:ind w:firstLine="422" w:firstLineChars="200"/>
        <w:jc w:val="left"/>
        <w:rPr>
          <w:rFonts w:cs="宋体"/>
          <w:b/>
          <w:bCs/>
          <w:color w:val="auto"/>
          <w:position w:val="6"/>
          <w:sz w:val="21"/>
          <w:szCs w:val="21"/>
        </w:rPr>
      </w:pPr>
      <w:r>
        <w:rPr>
          <w:rFonts w:hint="eastAsia" w:cs="宋体"/>
          <w:b/>
          <w:bCs/>
          <w:color w:val="auto"/>
          <w:position w:val="6"/>
          <w:sz w:val="21"/>
          <w:szCs w:val="21"/>
        </w:rPr>
        <w:t>一、工程质量保修范围和内容</w:t>
      </w:r>
    </w:p>
    <w:p w14:paraId="25E0393F">
      <w:pPr>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按照《建设工程质量管理条例》及有关法律、法规、规章的管理规定，双方约定由施工单位在质量保修期内，承担本工程的质量保修责任。</w:t>
      </w:r>
    </w:p>
    <w:p w14:paraId="7CAEBF94">
      <w:pPr>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质量保修范围和内容：______________________。</w:t>
      </w:r>
      <w:r>
        <w:rPr>
          <w:rFonts w:hint="eastAsia" w:cs="宋体"/>
          <w:bCs/>
          <w:color w:val="auto"/>
          <w:position w:val="6"/>
          <w:sz w:val="21"/>
          <w:szCs w:val="21"/>
        </w:rPr>
        <w:t>因不可抗力或使用不当造成的质量缺陷，不属保修范围。</w:t>
      </w:r>
    </w:p>
    <w:p w14:paraId="57E18DA7">
      <w:pPr>
        <w:widowControl/>
        <w:adjustRightInd w:val="0"/>
        <w:snapToGrid w:val="0"/>
        <w:spacing w:line="360" w:lineRule="auto"/>
        <w:ind w:firstLine="422" w:firstLineChars="200"/>
        <w:jc w:val="left"/>
        <w:rPr>
          <w:rFonts w:cs="宋体"/>
          <w:b/>
          <w:bCs/>
          <w:color w:val="auto"/>
          <w:position w:val="6"/>
          <w:sz w:val="21"/>
          <w:szCs w:val="21"/>
        </w:rPr>
      </w:pPr>
      <w:r>
        <w:rPr>
          <w:rFonts w:hint="eastAsia" w:cs="宋体"/>
          <w:b/>
          <w:bCs/>
          <w:color w:val="auto"/>
          <w:position w:val="6"/>
          <w:sz w:val="21"/>
          <w:szCs w:val="21"/>
        </w:rPr>
        <w:t>二、质量保修期</w:t>
      </w:r>
    </w:p>
    <w:p w14:paraId="5B50C28E">
      <w:pPr>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双方根据《建设工程质量管理条例》及有关规定，约定本工程的质量保修期如下：</w:t>
      </w:r>
    </w:p>
    <w:p w14:paraId="2405F0B6">
      <w:pPr>
        <w:widowControl/>
        <w:adjustRightInd w:val="0"/>
        <w:snapToGrid w:val="0"/>
        <w:spacing w:line="360" w:lineRule="auto"/>
        <w:ind w:left="400" w:leftChars="200" w:firstLine="58" w:firstLineChars="28"/>
        <w:jc w:val="left"/>
        <w:rPr>
          <w:rFonts w:cs="宋体"/>
          <w:color w:val="auto"/>
          <w:position w:val="6"/>
          <w:sz w:val="21"/>
          <w:szCs w:val="21"/>
        </w:rPr>
      </w:pPr>
      <w:r>
        <w:rPr>
          <w:rFonts w:hint="eastAsia" w:cs="宋体"/>
          <w:color w:val="auto"/>
          <w:position w:val="6"/>
          <w:sz w:val="21"/>
          <w:szCs w:val="21"/>
        </w:rPr>
        <w:t>1. 主体结构和基础工程，为</w:t>
      </w:r>
      <w:r>
        <w:rPr>
          <w:rFonts w:hint="eastAsia" w:cs="宋体"/>
          <w:color w:val="auto"/>
          <w:position w:val="6"/>
          <w:sz w:val="21"/>
          <w:szCs w:val="21"/>
          <w:u w:val="single"/>
        </w:rPr>
        <w:t xml:space="preserve">     </w:t>
      </w:r>
      <w:r>
        <w:rPr>
          <w:rFonts w:hint="eastAsia" w:cs="宋体"/>
          <w:color w:val="auto"/>
          <w:position w:val="6"/>
          <w:sz w:val="21"/>
          <w:szCs w:val="21"/>
        </w:rPr>
        <w:t>年；</w:t>
      </w:r>
    </w:p>
    <w:p w14:paraId="65EAF2D2">
      <w:pPr>
        <w:widowControl/>
        <w:adjustRightInd w:val="0"/>
        <w:snapToGrid w:val="0"/>
        <w:spacing w:line="360" w:lineRule="auto"/>
        <w:ind w:left="400" w:leftChars="200" w:firstLine="58" w:firstLineChars="28"/>
        <w:jc w:val="left"/>
        <w:rPr>
          <w:rFonts w:cs="宋体"/>
          <w:color w:val="auto"/>
          <w:position w:val="6"/>
          <w:sz w:val="21"/>
          <w:szCs w:val="21"/>
        </w:rPr>
      </w:pPr>
      <w:r>
        <w:rPr>
          <w:rFonts w:hint="eastAsia" w:cs="宋体"/>
          <w:color w:val="auto"/>
          <w:position w:val="6"/>
          <w:sz w:val="21"/>
          <w:szCs w:val="21"/>
        </w:rPr>
        <w:t>2. _____________工程，为</w:t>
      </w:r>
      <w:r>
        <w:rPr>
          <w:rFonts w:hint="eastAsia" w:cs="宋体"/>
          <w:color w:val="auto"/>
          <w:position w:val="6"/>
          <w:sz w:val="21"/>
          <w:szCs w:val="21"/>
          <w:u w:val="single"/>
        </w:rPr>
        <w:t xml:space="preserve">     </w:t>
      </w:r>
      <w:r>
        <w:rPr>
          <w:rFonts w:hint="eastAsia" w:cs="宋体"/>
          <w:color w:val="auto"/>
          <w:position w:val="6"/>
          <w:sz w:val="21"/>
          <w:szCs w:val="21"/>
        </w:rPr>
        <w:t>年；</w:t>
      </w:r>
    </w:p>
    <w:p w14:paraId="5D1CBD6C">
      <w:pPr>
        <w:widowControl/>
        <w:adjustRightInd w:val="0"/>
        <w:snapToGrid w:val="0"/>
        <w:spacing w:line="360" w:lineRule="auto"/>
        <w:ind w:left="400" w:leftChars="200" w:firstLine="58" w:firstLineChars="28"/>
        <w:jc w:val="left"/>
        <w:rPr>
          <w:rFonts w:cs="宋体"/>
          <w:color w:val="auto"/>
          <w:position w:val="6"/>
          <w:sz w:val="21"/>
          <w:szCs w:val="21"/>
        </w:rPr>
      </w:pPr>
      <w:r>
        <w:rPr>
          <w:rFonts w:hint="eastAsia" w:cs="宋体"/>
          <w:color w:val="auto"/>
          <w:position w:val="6"/>
          <w:sz w:val="21"/>
          <w:szCs w:val="21"/>
        </w:rPr>
        <w:t>3. _____________工程，为</w:t>
      </w:r>
      <w:r>
        <w:rPr>
          <w:rFonts w:hint="eastAsia" w:cs="宋体"/>
          <w:color w:val="auto"/>
          <w:position w:val="6"/>
          <w:sz w:val="21"/>
          <w:szCs w:val="21"/>
          <w:u w:val="single"/>
        </w:rPr>
        <w:t xml:space="preserve">     </w:t>
      </w:r>
      <w:r>
        <w:rPr>
          <w:rFonts w:hint="eastAsia" w:cs="宋体"/>
          <w:color w:val="auto"/>
          <w:position w:val="6"/>
          <w:sz w:val="21"/>
          <w:szCs w:val="21"/>
        </w:rPr>
        <w:t>年；</w:t>
      </w:r>
    </w:p>
    <w:p w14:paraId="06D55B52">
      <w:pPr>
        <w:adjustRightInd w:val="0"/>
        <w:snapToGrid w:val="0"/>
        <w:spacing w:line="360" w:lineRule="auto"/>
        <w:ind w:left="342" w:leftChars="171" w:firstLine="105" w:firstLineChars="50"/>
        <w:rPr>
          <w:rFonts w:cs="宋体"/>
          <w:color w:val="auto"/>
          <w:position w:val="6"/>
          <w:sz w:val="21"/>
          <w:szCs w:val="21"/>
        </w:rPr>
      </w:pPr>
      <w:r>
        <w:rPr>
          <w:rFonts w:hint="eastAsia" w:cs="宋体"/>
          <w:color w:val="auto"/>
          <w:position w:val="6"/>
          <w:sz w:val="21"/>
          <w:szCs w:val="21"/>
        </w:rPr>
        <w:t xml:space="preserve">4. _____________工程，为 </w:t>
      </w:r>
      <w:r>
        <w:rPr>
          <w:rFonts w:hint="eastAsia" w:cs="宋体"/>
          <w:color w:val="auto"/>
          <w:position w:val="6"/>
          <w:sz w:val="21"/>
          <w:szCs w:val="21"/>
          <w:u w:val="single"/>
        </w:rPr>
        <w:t xml:space="preserve">     </w:t>
      </w:r>
      <w:r>
        <w:rPr>
          <w:rFonts w:hint="eastAsia" w:cs="宋体"/>
          <w:color w:val="auto"/>
          <w:position w:val="6"/>
          <w:sz w:val="21"/>
          <w:szCs w:val="21"/>
        </w:rPr>
        <w:t>年；</w:t>
      </w:r>
    </w:p>
    <w:p w14:paraId="7A699EFD">
      <w:pPr>
        <w:adjustRightInd w:val="0"/>
        <w:snapToGrid w:val="0"/>
        <w:spacing w:line="360" w:lineRule="auto"/>
        <w:ind w:left="342" w:leftChars="171" w:firstLine="105" w:firstLineChars="50"/>
        <w:rPr>
          <w:rFonts w:cs="宋体"/>
          <w:color w:val="auto"/>
          <w:position w:val="6"/>
          <w:sz w:val="21"/>
          <w:szCs w:val="21"/>
        </w:rPr>
      </w:pPr>
      <w:r>
        <w:rPr>
          <w:rFonts w:hint="eastAsia" w:cs="宋体"/>
          <w:color w:val="auto"/>
          <w:position w:val="6"/>
          <w:sz w:val="21"/>
          <w:szCs w:val="21"/>
        </w:rPr>
        <w:t>质量保修期自工程竣工验收合格之日起计算。</w:t>
      </w:r>
    </w:p>
    <w:p w14:paraId="2E957FBA">
      <w:pPr>
        <w:adjustRightInd w:val="0"/>
        <w:snapToGrid w:val="0"/>
        <w:spacing w:line="360" w:lineRule="auto"/>
        <w:ind w:firstLine="422" w:firstLineChars="200"/>
        <w:rPr>
          <w:rFonts w:cs="宋体"/>
          <w:b/>
          <w:color w:val="auto"/>
          <w:sz w:val="21"/>
          <w:szCs w:val="21"/>
        </w:rPr>
      </w:pPr>
      <w:r>
        <w:rPr>
          <w:rFonts w:hint="eastAsia" w:cs="宋体"/>
          <w:b/>
          <w:color w:val="auto"/>
          <w:sz w:val="21"/>
          <w:szCs w:val="21"/>
        </w:rPr>
        <w:t>三、缺陷责任期</w:t>
      </w:r>
    </w:p>
    <w:p w14:paraId="54556D9A">
      <w:pPr>
        <w:adjustRightInd w:val="0"/>
        <w:snapToGrid w:val="0"/>
        <w:spacing w:line="360" w:lineRule="auto"/>
        <w:ind w:firstLine="420" w:firstLineChars="200"/>
        <w:rPr>
          <w:rFonts w:cs="宋体"/>
          <w:color w:val="auto"/>
          <w:sz w:val="21"/>
          <w:szCs w:val="21"/>
        </w:rPr>
      </w:pPr>
      <w:r>
        <w:rPr>
          <w:rFonts w:hint="eastAsia" w:cs="宋体"/>
          <w:color w:val="auto"/>
          <w:sz w:val="21"/>
          <w:szCs w:val="21"/>
        </w:rPr>
        <w:t>工程缺陷责任期为</w:t>
      </w:r>
      <w:r>
        <w:rPr>
          <w:rFonts w:hint="eastAsia" w:cs="宋体"/>
          <w:color w:val="auto"/>
          <w:sz w:val="21"/>
          <w:szCs w:val="21"/>
          <w:u w:val="single"/>
        </w:rPr>
        <w:t xml:space="preserve">     </w:t>
      </w:r>
      <w:r>
        <w:rPr>
          <w:rFonts w:hint="eastAsia" w:cs="宋体"/>
          <w:color w:val="auto"/>
          <w:sz w:val="21"/>
          <w:szCs w:val="21"/>
        </w:rPr>
        <w:t>，缺陷责任期自工程竣工验收合格之日起计算。单位工程先于全部工程进行验收，单位工程缺陷责任期自单位工程验收合格之日起算。</w:t>
      </w:r>
    </w:p>
    <w:p w14:paraId="51FB82D7">
      <w:pPr>
        <w:adjustRightInd w:val="0"/>
        <w:snapToGrid w:val="0"/>
        <w:spacing w:line="360" w:lineRule="auto"/>
        <w:ind w:firstLine="420" w:firstLineChars="200"/>
        <w:rPr>
          <w:rFonts w:cs="宋体"/>
          <w:color w:val="auto"/>
          <w:sz w:val="21"/>
          <w:szCs w:val="21"/>
        </w:rPr>
      </w:pPr>
      <w:r>
        <w:rPr>
          <w:rFonts w:hint="eastAsia" w:cs="宋体"/>
          <w:color w:val="auto"/>
          <w:sz w:val="21"/>
          <w:szCs w:val="21"/>
        </w:rPr>
        <w:t>缺陷责任期终止后，发包人应退还剩余的质量保证金。</w:t>
      </w:r>
    </w:p>
    <w:p w14:paraId="52FD2359">
      <w:pPr>
        <w:widowControl/>
        <w:adjustRightInd w:val="0"/>
        <w:snapToGrid w:val="0"/>
        <w:spacing w:line="360" w:lineRule="auto"/>
        <w:ind w:firstLine="422" w:firstLineChars="200"/>
        <w:jc w:val="left"/>
        <w:rPr>
          <w:rFonts w:cs="宋体"/>
          <w:b/>
          <w:bCs/>
          <w:color w:val="auto"/>
          <w:position w:val="6"/>
          <w:sz w:val="21"/>
          <w:szCs w:val="21"/>
        </w:rPr>
      </w:pPr>
      <w:r>
        <w:rPr>
          <w:rFonts w:hint="eastAsia" w:cs="宋体"/>
          <w:b/>
          <w:color w:val="auto"/>
          <w:sz w:val="21"/>
          <w:szCs w:val="21"/>
        </w:rPr>
        <w:t>四、质量保修责任</w:t>
      </w:r>
    </w:p>
    <w:p w14:paraId="414348B9">
      <w:pPr>
        <w:widowControl/>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1. 属于保修范围、内容的项目，承包人应当在接到保修通知之日起7天内派人保修。承包人不在约定期限内派人保修的，发包人可以委托他人修理。</w:t>
      </w:r>
    </w:p>
    <w:p w14:paraId="5D3B63C7">
      <w:pPr>
        <w:widowControl/>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2. 发生紧急抢修事故的，承包人在接到事故通知后，应当立即到达事故现场抢修。</w:t>
      </w:r>
    </w:p>
    <w:p w14:paraId="2F29B3DE">
      <w:pPr>
        <w:widowControl/>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3. 对于涉及结构安全的质量问题，应当立即向当地建设行政主管部门报告，采取安全防范措施；由原设计单位或者具有相应资质等级的设计单位提出保修方案，承包人实施保修。</w:t>
      </w:r>
    </w:p>
    <w:p w14:paraId="1816DF79">
      <w:pPr>
        <w:widowControl/>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4. 质量保修完成后，由发包人组织验收。</w:t>
      </w:r>
    </w:p>
    <w:p w14:paraId="0EF1B21E">
      <w:pPr>
        <w:widowControl/>
        <w:adjustRightInd w:val="0"/>
        <w:snapToGrid w:val="0"/>
        <w:spacing w:line="360" w:lineRule="auto"/>
        <w:ind w:firstLine="422" w:firstLineChars="200"/>
        <w:jc w:val="left"/>
        <w:rPr>
          <w:rFonts w:cs="宋体"/>
          <w:b/>
          <w:bCs/>
          <w:color w:val="auto"/>
          <w:position w:val="6"/>
          <w:sz w:val="21"/>
          <w:szCs w:val="21"/>
        </w:rPr>
      </w:pPr>
      <w:r>
        <w:rPr>
          <w:rFonts w:hint="eastAsia" w:cs="宋体"/>
          <w:b/>
          <w:bCs/>
          <w:color w:val="auto"/>
          <w:position w:val="6"/>
          <w:sz w:val="21"/>
          <w:szCs w:val="21"/>
        </w:rPr>
        <w:t>五、保修费用</w:t>
      </w:r>
    </w:p>
    <w:p w14:paraId="077CDFEF">
      <w:pPr>
        <w:widowControl/>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保修费用由造成质量缺陷的责任方承担。</w:t>
      </w:r>
    </w:p>
    <w:p w14:paraId="76A2D235">
      <w:pPr>
        <w:widowControl/>
        <w:adjustRightInd w:val="0"/>
        <w:snapToGrid w:val="0"/>
        <w:spacing w:line="360" w:lineRule="auto"/>
        <w:ind w:firstLine="420" w:firstLineChars="200"/>
        <w:jc w:val="left"/>
        <w:rPr>
          <w:rFonts w:cs="宋体"/>
          <w:b/>
          <w:color w:val="auto"/>
          <w:sz w:val="21"/>
          <w:szCs w:val="21"/>
        </w:rPr>
      </w:pPr>
      <w:r>
        <w:rPr>
          <w:rFonts w:hint="eastAsia" w:cs="宋体"/>
          <w:bCs/>
          <w:color w:val="auto"/>
          <w:position w:val="6"/>
          <w:sz w:val="21"/>
          <w:szCs w:val="21"/>
        </w:rPr>
        <w:t>六、</w:t>
      </w:r>
      <w:r>
        <w:rPr>
          <w:rFonts w:hint="eastAsia" w:cs="宋体"/>
          <w:b/>
          <w:color w:val="auto"/>
          <w:sz w:val="21"/>
          <w:szCs w:val="21"/>
        </w:rPr>
        <w:t>双方约定的其他工程质量保修事项：</w:t>
      </w:r>
      <w:r>
        <w:rPr>
          <w:rFonts w:hint="eastAsia" w:cs="宋体"/>
          <w:b/>
          <w:color w:val="auto"/>
          <w:sz w:val="21"/>
          <w:szCs w:val="21"/>
          <w:u w:val="single"/>
        </w:rPr>
        <w:t xml:space="preserve">             </w:t>
      </w:r>
      <w:r>
        <w:rPr>
          <w:rFonts w:hint="eastAsia" w:cs="宋体"/>
          <w:b/>
          <w:color w:val="auto"/>
          <w:sz w:val="21"/>
          <w:szCs w:val="21"/>
        </w:rPr>
        <w:t>。</w:t>
      </w:r>
    </w:p>
    <w:p w14:paraId="68569A76">
      <w:pPr>
        <w:widowControl/>
        <w:adjustRightInd w:val="0"/>
        <w:snapToGrid w:val="0"/>
        <w:spacing w:line="360" w:lineRule="auto"/>
        <w:ind w:firstLine="420" w:firstLineChars="200"/>
        <w:jc w:val="left"/>
        <w:rPr>
          <w:rFonts w:cs="宋体"/>
          <w:bCs/>
          <w:color w:val="auto"/>
          <w:sz w:val="21"/>
          <w:szCs w:val="21"/>
        </w:rPr>
      </w:pPr>
      <w:r>
        <w:rPr>
          <w:rFonts w:hint="eastAsia" w:cs="宋体"/>
          <w:bCs/>
          <w:color w:val="auto"/>
          <w:position w:val="6"/>
          <w:sz w:val="21"/>
          <w:szCs w:val="21"/>
        </w:rPr>
        <w:t>本工程质量保修书，由施工合同发包人、承包人双方在竣工验收前共同签署，作为施工合同附件，其有效期限至保修期满。</w:t>
      </w:r>
    </w:p>
    <w:p w14:paraId="7CAAEE00">
      <w:pPr>
        <w:adjustRightInd w:val="0"/>
        <w:snapToGrid w:val="0"/>
        <w:spacing w:line="360" w:lineRule="auto"/>
        <w:ind w:firstLine="420"/>
        <w:rPr>
          <w:rFonts w:cs="宋体"/>
          <w:color w:val="auto"/>
          <w:sz w:val="21"/>
          <w:szCs w:val="21"/>
        </w:rPr>
      </w:pPr>
    </w:p>
    <w:p w14:paraId="1E06D7D7">
      <w:pPr>
        <w:adjustRightInd w:val="0"/>
        <w:snapToGrid w:val="0"/>
        <w:spacing w:line="360" w:lineRule="auto"/>
        <w:rPr>
          <w:rFonts w:cs="宋体"/>
          <w:color w:val="auto"/>
          <w:sz w:val="21"/>
          <w:szCs w:val="21"/>
          <w:u w:val="single"/>
        </w:rPr>
      </w:pPr>
      <w:r>
        <w:rPr>
          <w:rFonts w:hint="eastAsia" w:cs="宋体"/>
          <w:color w:val="auto"/>
          <w:sz w:val="21"/>
          <w:szCs w:val="21"/>
        </w:rPr>
        <w:t>发包人（公章）：</w:t>
      </w:r>
      <w:r>
        <w:rPr>
          <w:rFonts w:hint="eastAsia" w:cs="宋体"/>
          <w:color w:val="auto"/>
          <w:sz w:val="21"/>
          <w:szCs w:val="21"/>
          <w:u w:val="single"/>
        </w:rPr>
        <w:t xml:space="preserve">        </w:t>
      </w:r>
      <w:r>
        <w:rPr>
          <w:rFonts w:hint="eastAsia" w:cs="宋体"/>
          <w:color w:val="auto"/>
          <w:sz w:val="21"/>
          <w:szCs w:val="21"/>
        </w:rPr>
        <w:t xml:space="preserve">           承包人（公章）：</w:t>
      </w:r>
      <w:r>
        <w:rPr>
          <w:rFonts w:hint="eastAsia" w:cs="宋体"/>
          <w:color w:val="auto"/>
          <w:sz w:val="21"/>
          <w:szCs w:val="21"/>
          <w:u w:val="single"/>
        </w:rPr>
        <w:t xml:space="preserve">        </w:t>
      </w:r>
    </w:p>
    <w:p w14:paraId="739AE5B4">
      <w:pPr>
        <w:adjustRightInd w:val="0"/>
        <w:snapToGrid w:val="0"/>
        <w:spacing w:line="360" w:lineRule="auto"/>
        <w:rPr>
          <w:rFonts w:cs="宋体"/>
          <w:color w:val="auto"/>
          <w:sz w:val="21"/>
          <w:szCs w:val="21"/>
          <w:u w:val="single"/>
        </w:rPr>
      </w:pPr>
      <w:r>
        <w:rPr>
          <w:rFonts w:hint="eastAsia" w:cs="宋体"/>
          <w:color w:val="auto"/>
          <w:sz w:val="21"/>
          <w:szCs w:val="21"/>
        </w:rPr>
        <w:t>地  址：</w:t>
      </w:r>
      <w:r>
        <w:rPr>
          <w:rFonts w:hint="eastAsia" w:cs="宋体"/>
          <w:color w:val="auto"/>
          <w:sz w:val="21"/>
          <w:szCs w:val="21"/>
          <w:u w:val="single"/>
        </w:rPr>
        <w:t xml:space="preserve">     </w:t>
      </w:r>
      <w:r>
        <w:rPr>
          <w:rFonts w:hint="eastAsia" w:cs="宋体"/>
          <w:color w:val="auto"/>
          <w:sz w:val="21"/>
          <w:szCs w:val="21"/>
        </w:rPr>
        <w:t xml:space="preserve">              地  址：</w:t>
      </w:r>
      <w:r>
        <w:rPr>
          <w:rFonts w:hint="eastAsia" w:cs="宋体"/>
          <w:color w:val="auto"/>
          <w:sz w:val="21"/>
          <w:szCs w:val="21"/>
          <w:u w:val="single"/>
        </w:rPr>
        <w:t xml:space="preserve">       </w:t>
      </w:r>
    </w:p>
    <w:p w14:paraId="2330A7DA">
      <w:pPr>
        <w:adjustRightInd w:val="0"/>
        <w:snapToGrid w:val="0"/>
        <w:spacing w:line="360" w:lineRule="auto"/>
        <w:rPr>
          <w:rFonts w:cs="宋体"/>
          <w:color w:val="auto"/>
          <w:sz w:val="21"/>
          <w:szCs w:val="21"/>
          <w:u w:val="single"/>
        </w:rPr>
      </w:pPr>
      <w:r>
        <w:rPr>
          <w:rFonts w:hint="eastAsia" w:cs="宋体"/>
          <w:color w:val="auto"/>
          <w:sz w:val="21"/>
          <w:szCs w:val="21"/>
        </w:rPr>
        <w:t>法定代表人（签字）：</w:t>
      </w:r>
      <w:r>
        <w:rPr>
          <w:rFonts w:hint="eastAsia" w:cs="宋体"/>
          <w:color w:val="auto"/>
          <w:sz w:val="21"/>
          <w:szCs w:val="21"/>
          <w:u w:val="single"/>
        </w:rPr>
        <w:t xml:space="preserve">      </w:t>
      </w:r>
      <w:r>
        <w:rPr>
          <w:rFonts w:hint="eastAsia" w:cs="宋体"/>
          <w:color w:val="auto"/>
          <w:sz w:val="21"/>
          <w:szCs w:val="21"/>
        </w:rPr>
        <w:t xml:space="preserve">           法定代表人（签字）：</w:t>
      </w:r>
      <w:r>
        <w:rPr>
          <w:rFonts w:hint="eastAsia" w:cs="宋体"/>
          <w:color w:val="auto"/>
          <w:sz w:val="21"/>
          <w:szCs w:val="21"/>
          <w:u w:val="single"/>
        </w:rPr>
        <w:t xml:space="preserve">       </w:t>
      </w:r>
    </w:p>
    <w:p w14:paraId="1811C63A">
      <w:pPr>
        <w:adjustRightInd w:val="0"/>
        <w:snapToGrid w:val="0"/>
        <w:spacing w:line="360" w:lineRule="auto"/>
        <w:rPr>
          <w:rFonts w:cs="宋体"/>
          <w:color w:val="auto"/>
          <w:sz w:val="21"/>
          <w:szCs w:val="21"/>
          <w:u w:val="single"/>
        </w:rPr>
      </w:pPr>
      <w:r>
        <w:rPr>
          <w:rFonts w:hint="eastAsia" w:cs="宋体"/>
          <w:color w:val="auto"/>
          <w:sz w:val="21"/>
          <w:szCs w:val="21"/>
        </w:rPr>
        <w:t>委托代理人（签字）：</w:t>
      </w:r>
      <w:r>
        <w:rPr>
          <w:rFonts w:hint="eastAsia" w:cs="宋体"/>
          <w:color w:val="auto"/>
          <w:sz w:val="21"/>
          <w:szCs w:val="21"/>
          <w:u w:val="single"/>
        </w:rPr>
        <w:t xml:space="preserve">      </w:t>
      </w:r>
      <w:r>
        <w:rPr>
          <w:rFonts w:hint="eastAsia" w:cs="宋体"/>
          <w:color w:val="auto"/>
          <w:sz w:val="21"/>
          <w:szCs w:val="21"/>
        </w:rPr>
        <w:t xml:space="preserve">           委托代理人（签字）：</w:t>
      </w:r>
      <w:r>
        <w:rPr>
          <w:rFonts w:hint="eastAsia" w:cs="宋体"/>
          <w:color w:val="auto"/>
          <w:sz w:val="21"/>
          <w:szCs w:val="21"/>
          <w:u w:val="single"/>
        </w:rPr>
        <w:t xml:space="preserve">       </w:t>
      </w:r>
    </w:p>
    <w:p w14:paraId="6C0C26C1">
      <w:pPr>
        <w:adjustRightInd w:val="0"/>
        <w:snapToGrid w:val="0"/>
        <w:spacing w:line="360" w:lineRule="auto"/>
        <w:rPr>
          <w:rFonts w:cs="宋体"/>
          <w:color w:val="auto"/>
          <w:sz w:val="21"/>
          <w:szCs w:val="21"/>
        </w:rPr>
      </w:pPr>
      <w:r>
        <w:rPr>
          <w:rFonts w:hint="eastAsia" w:cs="宋体"/>
          <w:color w:val="auto"/>
          <w:sz w:val="21"/>
          <w:szCs w:val="21"/>
        </w:rPr>
        <w:t>电  话：</w:t>
      </w:r>
      <w:r>
        <w:rPr>
          <w:rFonts w:hint="eastAsia" w:cs="宋体"/>
          <w:color w:val="auto"/>
          <w:sz w:val="21"/>
          <w:szCs w:val="21"/>
          <w:u w:val="single"/>
        </w:rPr>
        <w:t xml:space="preserve">   </w:t>
      </w:r>
      <w:r>
        <w:rPr>
          <w:rFonts w:hint="eastAsia" w:cs="宋体"/>
          <w:color w:val="auto"/>
          <w:sz w:val="21"/>
          <w:szCs w:val="21"/>
        </w:rPr>
        <w:t xml:space="preserve">              电  话：</w:t>
      </w:r>
      <w:r>
        <w:rPr>
          <w:rFonts w:hint="eastAsia" w:cs="宋体"/>
          <w:color w:val="auto"/>
          <w:sz w:val="21"/>
          <w:szCs w:val="21"/>
          <w:u w:val="single"/>
        </w:rPr>
        <w:t xml:space="preserve">     </w:t>
      </w:r>
    </w:p>
    <w:p w14:paraId="40CAA59A">
      <w:pPr>
        <w:adjustRightInd w:val="0"/>
        <w:snapToGrid w:val="0"/>
        <w:spacing w:line="360" w:lineRule="auto"/>
        <w:rPr>
          <w:rFonts w:cs="宋体"/>
          <w:color w:val="auto"/>
          <w:sz w:val="21"/>
          <w:szCs w:val="21"/>
        </w:rPr>
      </w:pPr>
      <w:r>
        <w:rPr>
          <w:rFonts w:hint="eastAsia" w:cs="宋体"/>
          <w:color w:val="auto"/>
          <w:sz w:val="21"/>
          <w:szCs w:val="21"/>
        </w:rPr>
        <w:t>传  真：</w:t>
      </w:r>
      <w:r>
        <w:rPr>
          <w:rFonts w:hint="eastAsia" w:cs="宋体"/>
          <w:color w:val="auto"/>
          <w:sz w:val="21"/>
          <w:szCs w:val="21"/>
          <w:u w:val="single"/>
        </w:rPr>
        <w:t xml:space="preserve">   </w:t>
      </w:r>
      <w:r>
        <w:rPr>
          <w:rFonts w:hint="eastAsia" w:cs="宋体"/>
          <w:color w:val="auto"/>
          <w:sz w:val="21"/>
          <w:szCs w:val="21"/>
        </w:rPr>
        <w:t xml:space="preserve">              传  真：</w:t>
      </w:r>
      <w:r>
        <w:rPr>
          <w:rFonts w:hint="eastAsia" w:cs="宋体"/>
          <w:color w:val="auto"/>
          <w:sz w:val="21"/>
          <w:szCs w:val="21"/>
          <w:u w:val="single"/>
        </w:rPr>
        <w:t xml:space="preserve">     </w:t>
      </w:r>
    </w:p>
    <w:p w14:paraId="42921B94">
      <w:pPr>
        <w:adjustRightInd w:val="0"/>
        <w:snapToGrid w:val="0"/>
        <w:spacing w:line="360" w:lineRule="auto"/>
        <w:rPr>
          <w:rFonts w:cs="宋体"/>
          <w:color w:val="auto"/>
          <w:sz w:val="21"/>
          <w:szCs w:val="21"/>
        </w:rPr>
      </w:pPr>
      <w:r>
        <w:rPr>
          <w:rFonts w:hint="eastAsia" w:cs="宋体"/>
          <w:color w:val="auto"/>
          <w:sz w:val="21"/>
          <w:szCs w:val="21"/>
        </w:rPr>
        <w:t>开户银行：</w:t>
      </w:r>
      <w:r>
        <w:rPr>
          <w:rFonts w:hint="eastAsia" w:cs="宋体"/>
          <w:color w:val="auto"/>
          <w:sz w:val="21"/>
          <w:szCs w:val="21"/>
          <w:u w:val="single"/>
        </w:rPr>
        <w:t xml:space="preserve">   </w:t>
      </w:r>
      <w:r>
        <w:rPr>
          <w:rFonts w:hint="eastAsia" w:cs="宋体"/>
          <w:color w:val="auto"/>
          <w:sz w:val="21"/>
          <w:szCs w:val="21"/>
        </w:rPr>
        <w:t xml:space="preserve">              开户银行：</w:t>
      </w:r>
      <w:r>
        <w:rPr>
          <w:rFonts w:hint="eastAsia" w:cs="宋体"/>
          <w:color w:val="auto"/>
          <w:sz w:val="21"/>
          <w:szCs w:val="21"/>
          <w:u w:val="single"/>
        </w:rPr>
        <w:t xml:space="preserve">   </w:t>
      </w:r>
    </w:p>
    <w:p w14:paraId="474D2F54">
      <w:pPr>
        <w:adjustRightInd w:val="0"/>
        <w:snapToGrid w:val="0"/>
        <w:spacing w:line="360" w:lineRule="auto"/>
        <w:rPr>
          <w:rFonts w:cs="宋体"/>
          <w:color w:val="auto"/>
          <w:sz w:val="21"/>
          <w:szCs w:val="21"/>
        </w:rPr>
      </w:pPr>
      <w:r>
        <w:rPr>
          <w:rFonts w:hint="eastAsia" w:cs="宋体"/>
          <w:color w:val="auto"/>
          <w:sz w:val="21"/>
          <w:szCs w:val="21"/>
        </w:rPr>
        <w:t>账  号：</w:t>
      </w:r>
      <w:r>
        <w:rPr>
          <w:rFonts w:hint="eastAsia" w:cs="宋体"/>
          <w:color w:val="auto"/>
          <w:sz w:val="21"/>
          <w:szCs w:val="21"/>
          <w:u w:val="single"/>
        </w:rPr>
        <w:t xml:space="preserve">       </w:t>
      </w:r>
      <w:r>
        <w:rPr>
          <w:rFonts w:hint="eastAsia" w:cs="宋体"/>
          <w:color w:val="auto"/>
          <w:sz w:val="21"/>
          <w:szCs w:val="21"/>
        </w:rPr>
        <w:t xml:space="preserve">              账  号：</w:t>
      </w:r>
      <w:r>
        <w:rPr>
          <w:rFonts w:hint="eastAsia" w:cs="宋体"/>
          <w:color w:val="auto"/>
          <w:sz w:val="21"/>
          <w:szCs w:val="21"/>
          <w:u w:val="single"/>
        </w:rPr>
        <w:t xml:space="preserve">     </w:t>
      </w:r>
    </w:p>
    <w:p w14:paraId="796D05CE">
      <w:pPr>
        <w:adjustRightInd w:val="0"/>
        <w:snapToGrid w:val="0"/>
        <w:spacing w:line="360" w:lineRule="auto"/>
        <w:rPr>
          <w:rFonts w:cs="宋体"/>
          <w:color w:val="auto"/>
          <w:sz w:val="21"/>
          <w:szCs w:val="21"/>
        </w:rPr>
      </w:pPr>
      <w:r>
        <w:rPr>
          <w:rFonts w:hint="eastAsia" w:cs="宋体"/>
          <w:color w:val="auto"/>
          <w:sz w:val="21"/>
          <w:szCs w:val="21"/>
        </w:rPr>
        <w:t>邮政编码：</w:t>
      </w:r>
      <w:r>
        <w:rPr>
          <w:rFonts w:hint="eastAsia" w:cs="宋体"/>
          <w:color w:val="auto"/>
          <w:sz w:val="21"/>
          <w:szCs w:val="21"/>
          <w:u w:val="single"/>
        </w:rPr>
        <w:t xml:space="preserve">     </w:t>
      </w:r>
      <w:r>
        <w:rPr>
          <w:rFonts w:hint="eastAsia" w:cs="宋体"/>
          <w:color w:val="auto"/>
          <w:sz w:val="21"/>
          <w:szCs w:val="21"/>
        </w:rPr>
        <w:t xml:space="preserve">              邮政编码：</w:t>
      </w:r>
      <w:r>
        <w:rPr>
          <w:rFonts w:hint="eastAsia" w:cs="宋体"/>
          <w:color w:val="auto"/>
          <w:sz w:val="21"/>
          <w:szCs w:val="21"/>
          <w:u w:val="single"/>
        </w:rPr>
        <w:t xml:space="preserve">   </w:t>
      </w:r>
    </w:p>
    <w:p w14:paraId="5437FE4D">
      <w:pPr>
        <w:spacing w:before="312" w:beforeLines="100" w:after="312" w:afterLines="100"/>
        <w:outlineLvl w:val="2"/>
        <w:rPr>
          <w:rFonts w:ascii="Times New Roman" w:eastAsia="黑体"/>
          <w:color w:val="auto"/>
          <w:szCs w:val="24"/>
        </w:rPr>
      </w:pPr>
      <w:r>
        <w:rPr>
          <w:rFonts w:ascii="Times New Roman" w:eastAsia="黑体"/>
          <w:b/>
          <w:bCs/>
          <w:color w:val="auto"/>
        </w:rPr>
        <w:br w:type="page"/>
      </w:r>
      <w:bookmarkStart w:id="642" w:name="_Toc128950239"/>
      <w:r>
        <w:rPr>
          <w:rFonts w:hint="eastAsia" w:ascii="Times New Roman" w:eastAsia="黑体"/>
          <w:color w:val="auto"/>
          <w:szCs w:val="24"/>
        </w:rPr>
        <w:t>附件</w:t>
      </w:r>
      <w:r>
        <w:rPr>
          <w:rFonts w:ascii="Times New Roman" w:eastAsia="黑体"/>
          <w:color w:val="auto"/>
          <w:szCs w:val="24"/>
        </w:rPr>
        <w:t>4</w:t>
      </w:r>
      <w:r>
        <w:rPr>
          <w:rFonts w:hint="eastAsia" w:ascii="Times New Roman" w:eastAsia="黑体"/>
          <w:color w:val="auto"/>
          <w:szCs w:val="24"/>
        </w:rPr>
        <w:t>：主要建设工程文件目录</w:t>
      </w:r>
      <w:bookmarkEnd w:id="642"/>
    </w:p>
    <w:p w14:paraId="4D5EDA0A">
      <w:pPr>
        <w:spacing w:before="156" w:beforeLines="50" w:after="156" w:afterLines="50"/>
        <w:jc w:val="center"/>
        <w:rPr>
          <w:rFonts w:cs="宋体"/>
          <w:color w:val="auto"/>
          <w:szCs w:val="21"/>
        </w:rPr>
      </w:pPr>
      <w:r>
        <w:rPr>
          <w:rFonts w:hint="eastAsia" w:cs="宋体"/>
          <w:color w:val="auto"/>
          <w:szCs w:val="21"/>
        </w:rPr>
        <w:t>主要建设工程文件目录</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806"/>
        <w:gridCol w:w="1181"/>
        <w:gridCol w:w="1342"/>
        <w:gridCol w:w="1149"/>
        <w:gridCol w:w="1342"/>
        <w:gridCol w:w="1542"/>
      </w:tblGrid>
      <w:tr w14:paraId="288B73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080" w:type="pct"/>
            <w:tcBorders>
              <w:top w:val="single" w:color="auto" w:sz="12" w:space="0"/>
              <w:bottom w:val="double" w:color="auto" w:sz="6" w:space="0"/>
            </w:tcBorders>
            <w:vAlign w:val="center"/>
          </w:tcPr>
          <w:p w14:paraId="73322064">
            <w:pPr>
              <w:keepNext/>
              <w:jc w:val="center"/>
              <w:rPr>
                <w:rFonts w:cs="宋体"/>
                <w:color w:val="auto"/>
                <w:szCs w:val="21"/>
              </w:rPr>
            </w:pPr>
            <w:r>
              <w:rPr>
                <w:rFonts w:hint="eastAsia" w:cs="宋体"/>
                <w:color w:val="auto"/>
                <w:szCs w:val="21"/>
              </w:rPr>
              <w:t>文件名称</w:t>
            </w:r>
          </w:p>
        </w:tc>
        <w:tc>
          <w:tcPr>
            <w:tcW w:w="706" w:type="pct"/>
            <w:tcBorders>
              <w:top w:val="single" w:color="auto" w:sz="12" w:space="0"/>
              <w:bottom w:val="double" w:color="auto" w:sz="6" w:space="0"/>
            </w:tcBorders>
            <w:vAlign w:val="center"/>
          </w:tcPr>
          <w:p w14:paraId="782A3E40">
            <w:pPr>
              <w:keepNext/>
              <w:jc w:val="center"/>
              <w:rPr>
                <w:rFonts w:cs="宋体"/>
                <w:color w:val="auto"/>
                <w:szCs w:val="21"/>
              </w:rPr>
            </w:pPr>
            <w:r>
              <w:rPr>
                <w:rFonts w:hint="eastAsia" w:cs="宋体"/>
                <w:color w:val="auto"/>
                <w:szCs w:val="21"/>
              </w:rPr>
              <w:t>套数</w:t>
            </w:r>
          </w:p>
        </w:tc>
        <w:tc>
          <w:tcPr>
            <w:tcW w:w="802" w:type="pct"/>
            <w:tcBorders>
              <w:top w:val="single" w:color="auto" w:sz="12" w:space="0"/>
              <w:bottom w:val="double" w:color="auto" w:sz="6" w:space="0"/>
            </w:tcBorders>
            <w:vAlign w:val="center"/>
          </w:tcPr>
          <w:p w14:paraId="4F0484C1">
            <w:pPr>
              <w:keepNext/>
              <w:jc w:val="center"/>
              <w:rPr>
                <w:rFonts w:cs="宋体"/>
                <w:color w:val="auto"/>
                <w:szCs w:val="21"/>
              </w:rPr>
            </w:pPr>
            <w:r>
              <w:rPr>
                <w:rFonts w:hint="eastAsia" w:cs="宋体"/>
                <w:color w:val="auto"/>
                <w:szCs w:val="21"/>
              </w:rPr>
              <w:t>费用（元）</w:t>
            </w:r>
          </w:p>
        </w:tc>
        <w:tc>
          <w:tcPr>
            <w:tcW w:w="687" w:type="pct"/>
            <w:tcBorders>
              <w:top w:val="single" w:color="auto" w:sz="12" w:space="0"/>
              <w:bottom w:val="double" w:color="auto" w:sz="6" w:space="0"/>
            </w:tcBorders>
            <w:vAlign w:val="center"/>
          </w:tcPr>
          <w:p w14:paraId="5C703D33">
            <w:pPr>
              <w:keepNext/>
              <w:jc w:val="center"/>
              <w:rPr>
                <w:rFonts w:cs="宋体"/>
                <w:color w:val="auto"/>
                <w:szCs w:val="21"/>
              </w:rPr>
            </w:pPr>
            <w:r>
              <w:rPr>
                <w:rFonts w:hint="eastAsia" w:cs="宋体"/>
                <w:color w:val="auto"/>
                <w:szCs w:val="21"/>
              </w:rPr>
              <w:t>质量</w:t>
            </w:r>
          </w:p>
        </w:tc>
        <w:tc>
          <w:tcPr>
            <w:tcW w:w="802" w:type="pct"/>
            <w:tcBorders>
              <w:top w:val="single" w:color="auto" w:sz="12" w:space="0"/>
              <w:bottom w:val="double" w:color="auto" w:sz="6" w:space="0"/>
            </w:tcBorders>
            <w:vAlign w:val="center"/>
          </w:tcPr>
          <w:p w14:paraId="47C7BF03">
            <w:pPr>
              <w:jc w:val="center"/>
              <w:rPr>
                <w:rFonts w:cs="宋体"/>
                <w:color w:val="auto"/>
                <w:szCs w:val="21"/>
              </w:rPr>
            </w:pPr>
            <w:r>
              <w:rPr>
                <w:rFonts w:hint="eastAsia" w:cs="宋体"/>
                <w:color w:val="auto"/>
                <w:szCs w:val="21"/>
              </w:rPr>
              <w:t>移交时间</w:t>
            </w:r>
          </w:p>
        </w:tc>
        <w:tc>
          <w:tcPr>
            <w:tcW w:w="922" w:type="pct"/>
            <w:tcBorders>
              <w:top w:val="single" w:color="auto" w:sz="12" w:space="0"/>
              <w:bottom w:val="double" w:color="auto" w:sz="6" w:space="0"/>
            </w:tcBorders>
            <w:vAlign w:val="center"/>
          </w:tcPr>
          <w:p w14:paraId="2A4CA5DD">
            <w:pPr>
              <w:jc w:val="center"/>
              <w:rPr>
                <w:rFonts w:cs="宋体"/>
                <w:color w:val="auto"/>
                <w:szCs w:val="21"/>
              </w:rPr>
            </w:pPr>
            <w:r>
              <w:rPr>
                <w:rFonts w:hint="eastAsia" w:cs="宋体"/>
                <w:color w:val="auto"/>
                <w:szCs w:val="21"/>
              </w:rPr>
              <w:t>责任人</w:t>
            </w:r>
          </w:p>
        </w:tc>
      </w:tr>
      <w:tr w14:paraId="71D855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Borders>
              <w:top w:val="double" w:color="auto" w:sz="6" w:space="0"/>
            </w:tcBorders>
            <w:vAlign w:val="center"/>
          </w:tcPr>
          <w:p w14:paraId="5A7947AA">
            <w:pPr>
              <w:keepNext/>
              <w:jc w:val="center"/>
              <w:rPr>
                <w:rFonts w:cs="宋体"/>
                <w:color w:val="auto"/>
                <w:szCs w:val="21"/>
              </w:rPr>
            </w:pPr>
          </w:p>
        </w:tc>
        <w:tc>
          <w:tcPr>
            <w:tcW w:w="706" w:type="pct"/>
            <w:tcBorders>
              <w:top w:val="double" w:color="auto" w:sz="6" w:space="0"/>
            </w:tcBorders>
            <w:vAlign w:val="center"/>
          </w:tcPr>
          <w:p w14:paraId="7777536E">
            <w:pPr>
              <w:keepNext/>
              <w:jc w:val="center"/>
              <w:rPr>
                <w:rFonts w:cs="宋体"/>
                <w:color w:val="auto"/>
                <w:szCs w:val="21"/>
              </w:rPr>
            </w:pPr>
          </w:p>
        </w:tc>
        <w:tc>
          <w:tcPr>
            <w:tcW w:w="802" w:type="pct"/>
            <w:tcBorders>
              <w:top w:val="double" w:color="auto" w:sz="6" w:space="0"/>
            </w:tcBorders>
            <w:vAlign w:val="center"/>
          </w:tcPr>
          <w:p w14:paraId="093DCD90">
            <w:pPr>
              <w:keepNext/>
              <w:jc w:val="center"/>
              <w:rPr>
                <w:rFonts w:cs="宋体"/>
                <w:color w:val="auto"/>
                <w:szCs w:val="21"/>
              </w:rPr>
            </w:pPr>
          </w:p>
        </w:tc>
        <w:tc>
          <w:tcPr>
            <w:tcW w:w="687" w:type="pct"/>
            <w:tcBorders>
              <w:top w:val="double" w:color="auto" w:sz="6" w:space="0"/>
            </w:tcBorders>
            <w:vAlign w:val="center"/>
          </w:tcPr>
          <w:p w14:paraId="2AD59B75">
            <w:pPr>
              <w:keepNext/>
              <w:jc w:val="center"/>
              <w:rPr>
                <w:rFonts w:cs="宋体"/>
                <w:color w:val="auto"/>
                <w:szCs w:val="21"/>
              </w:rPr>
            </w:pPr>
          </w:p>
        </w:tc>
        <w:tc>
          <w:tcPr>
            <w:tcW w:w="802" w:type="pct"/>
            <w:tcBorders>
              <w:top w:val="double" w:color="auto" w:sz="6" w:space="0"/>
            </w:tcBorders>
            <w:vAlign w:val="center"/>
          </w:tcPr>
          <w:p w14:paraId="774032AB">
            <w:pPr>
              <w:keepNext/>
              <w:jc w:val="center"/>
              <w:rPr>
                <w:rFonts w:cs="宋体"/>
                <w:color w:val="auto"/>
                <w:szCs w:val="21"/>
              </w:rPr>
            </w:pPr>
          </w:p>
        </w:tc>
        <w:tc>
          <w:tcPr>
            <w:tcW w:w="922" w:type="pct"/>
            <w:tcBorders>
              <w:top w:val="double" w:color="auto" w:sz="6" w:space="0"/>
            </w:tcBorders>
            <w:vAlign w:val="center"/>
          </w:tcPr>
          <w:p w14:paraId="16934048">
            <w:pPr>
              <w:keepNext/>
              <w:jc w:val="center"/>
              <w:rPr>
                <w:rFonts w:cs="宋体"/>
                <w:color w:val="auto"/>
                <w:szCs w:val="21"/>
              </w:rPr>
            </w:pPr>
          </w:p>
        </w:tc>
      </w:tr>
      <w:tr w14:paraId="5E26D5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Borders>
              <w:top w:val="nil"/>
            </w:tcBorders>
            <w:vAlign w:val="center"/>
          </w:tcPr>
          <w:p w14:paraId="1BACF6B9">
            <w:pPr>
              <w:keepNext/>
              <w:jc w:val="center"/>
              <w:rPr>
                <w:rFonts w:cs="宋体"/>
                <w:color w:val="auto"/>
                <w:szCs w:val="21"/>
              </w:rPr>
            </w:pPr>
          </w:p>
        </w:tc>
        <w:tc>
          <w:tcPr>
            <w:tcW w:w="706" w:type="pct"/>
            <w:tcBorders>
              <w:top w:val="nil"/>
            </w:tcBorders>
            <w:vAlign w:val="center"/>
          </w:tcPr>
          <w:p w14:paraId="776C55FE">
            <w:pPr>
              <w:keepNext/>
              <w:jc w:val="center"/>
              <w:rPr>
                <w:rFonts w:cs="宋体"/>
                <w:color w:val="auto"/>
                <w:szCs w:val="21"/>
              </w:rPr>
            </w:pPr>
          </w:p>
        </w:tc>
        <w:tc>
          <w:tcPr>
            <w:tcW w:w="802" w:type="pct"/>
            <w:tcBorders>
              <w:top w:val="nil"/>
            </w:tcBorders>
            <w:vAlign w:val="center"/>
          </w:tcPr>
          <w:p w14:paraId="728DAD71">
            <w:pPr>
              <w:keepNext/>
              <w:jc w:val="center"/>
              <w:rPr>
                <w:rFonts w:cs="宋体"/>
                <w:color w:val="auto"/>
                <w:szCs w:val="21"/>
              </w:rPr>
            </w:pPr>
          </w:p>
        </w:tc>
        <w:tc>
          <w:tcPr>
            <w:tcW w:w="687" w:type="pct"/>
            <w:tcBorders>
              <w:top w:val="nil"/>
            </w:tcBorders>
            <w:vAlign w:val="center"/>
          </w:tcPr>
          <w:p w14:paraId="1329A288">
            <w:pPr>
              <w:keepNext/>
              <w:jc w:val="center"/>
              <w:rPr>
                <w:rFonts w:cs="宋体"/>
                <w:color w:val="auto"/>
                <w:szCs w:val="21"/>
              </w:rPr>
            </w:pPr>
          </w:p>
        </w:tc>
        <w:tc>
          <w:tcPr>
            <w:tcW w:w="802" w:type="pct"/>
            <w:tcBorders>
              <w:top w:val="nil"/>
            </w:tcBorders>
            <w:vAlign w:val="center"/>
          </w:tcPr>
          <w:p w14:paraId="188F8CCB">
            <w:pPr>
              <w:keepNext/>
              <w:jc w:val="center"/>
              <w:rPr>
                <w:rFonts w:cs="宋体"/>
                <w:color w:val="auto"/>
                <w:szCs w:val="21"/>
              </w:rPr>
            </w:pPr>
          </w:p>
        </w:tc>
        <w:tc>
          <w:tcPr>
            <w:tcW w:w="922" w:type="pct"/>
            <w:tcBorders>
              <w:top w:val="nil"/>
            </w:tcBorders>
            <w:vAlign w:val="center"/>
          </w:tcPr>
          <w:p w14:paraId="6CDEC5DC">
            <w:pPr>
              <w:keepNext/>
              <w:jc w:val="center"/>
              <w:rPr>
                <w:rFonts w:cs="宋体"/>
                <w:color w:val="auto"/>
                <w:szCs w:val="21"/>
              </w:rPr>
            </w:pPr>
          </w:p>
        </w:tc>
      </w:tr>
      <w:tr w14:paraId="3009AB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vAlign w:val="center"/>
          </w:tcPr>
          <w:p w14:paraId="6437FA09">
            <w:pPr>
              <w:jc w:val="center"/>
              <w:rPr>
                <w:rFonts w:cs="宋体"/>
                <w:color w:val="auto"/>
                <w:szCs w:val="21"/>
              </w:rPr>
            </w:pPr>
          </w:p>
        </w:tc>
        <w:tc>
          <w:tcPr>
            <w:tcW w:w="706" w:type="pct"/>
            <w:vAlign w:val="center"/>
          </w:tcPr>
          <w:p w14:paraId="259745C7">
            <w:pPr>
              <w:jc w:val="center"/>
              <w:rPr>
                <w:rFonts w:cs="宋体"/>
                <w:color w:val="auto"/>
                <w:szCs w:val="21"/>
              </w:rPr>
            </w:pPr>
          </w:p>
        </w:tc>
        <w:tc>
          <w:tcPr>
            <w:tcW w:w="802" w:type="pct"/>
            <w:vAlign w:val="center"/>
          </w:tcPr>
          <w:p w14:paraId="20543FC8">
            <w:pPr>
              <w:jc w:val="center"/>
              <w:rPr>
                <w:rFonts w:cs="宋体"/>
                <w:color w:val="auto"/>
                <w:szCs w:val="21"/>
              </w:rPr>
            </w:pPr>
          </w:p>
        </w:tc>
        <w:tc>
          <w:tcPr>
            <w:tcW w:w="687" w:type="pct"/>
            <w:vAlign w:val="center"/>
          </w:tcPr>
          <w:p w14:paraId="2629B5D7">
            <w:pPr>
              <w:jc w:val="center"/>
              <w:rPr>
                <w:rFonts w:cs="宋体"/>
                <w:color w:val="auto"/>
                <w:szCs w:val="21"/>
              </w:rPr>
            </w:pPr>
          </w:p>
        </w:tc>
        <w:tc>
          <w:tcPr>
            <w:tcW w:w="802" w:type="pct"/>
            <w:vAlign w:val="center"/>
          </w:tcPr>
          <w:p w14:paraId="042EFD5E">
            <w:pPr>
              <w:jc w:val="center"/>
              <w:rPr>
                <w:rFonts w:cs="宋体"/>
                <w:color w:val="auto"/>
                <w:szCs w:val="21"/>
              </w:rPr>
            </w:pPr>
          </w:p>
        </w:tc>
        <w:tc>
          <w:tcPr>
            <w:tcW w:w="922" w:type="pct"/>
            <w:vAlign w:val="center"/>
          </w:tcPr>
          <w:p w14:paraId="0DCED7B5">
            <w:pPr>
              <w:jc w:val="center"/>
              <w:rPr>
                <w:rFonts w:cs="宋体"/>
                <w:color w:val="auto"/>
                <w:szCs w:val="21"/>
              </w:rPr>
            </w:pPr>
          </w:p>
        </w:tc>
      </w:tr>
      <w:tr w14:paraId="0C6674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vAlign w:val="center"/>
          </w:tcPr>
          <w:p w14:paraId="5FC7BE6B">
            <w:pPr>
              <w:jc w:val="center"/>
              <w:rPr>
                <w:rFonts w:cs="宋体"/>
                <w:color w:val="auto"/>
                <w:szCs w:val="21"/>
              </w:rPr>
            </w:pPr>
          </w:p>
        </w:tc>
        <w:tc>
          <w:tcPr>
            <w:tcW w:w="706" w:type="pct"/>
            <w:vAlign w:val="center"/>
          </w:tcPr>
          <w:p w14:paraId="35CDF9A6">
            <w:pPr>
              <w:jc w:val="center"/>
              <w:rPr>
                <w:rFonts w:cs="宋体"/>
                <w:color w:val="auto"/>
                <w:szCs w:val="21"/>
              </w:rPr>
            </w:pPr>
          </w:p>
        </w:tc>
        <w:tc>
          <w:tcPr>
            <w:tcW w:w="802" w:type="pct"/>
            <w:vAlign w:val="center"/>
          </w:tcPr>
          <w:p w14:paraId="13A30D00">
            <w:pPr>
              <w:jc w:val="center"/>
              <w:rPr>
                <w:rFonts w:cs="宋体"/>
                <w:color w:val="auto"/>
                <w:szCs w:val="21"/>
              </w:rPr>
            </w:pPr>
          </w:p>
        </w:tc>
        <w:tc>
          <w:tcPr>
            <w:tcW w:w="687" w:type="pct"/>
            <w:vAlign w:val="center"/>
          </w:tcPr>
          <w:p w14:paraId="7AD15B83">
            <w:pPr>
              <w:jc w:val="center"/>
              <w:rPr>
                <w:rFonts w:cs="宋体"/>
                <w:color w:val="auto"/>
                <w:szCs w:val="21"/>
              </w:rPr>
            </w:pPr>
          </w:p>
        </w:tc>
        <w:tc>
          <w:tcPr>
            <w:tcW w:w="802" w:type="pct"/>
            <w:vAlign w:val="center"/>
          </w:tcPr>
          <w:p w14:paraId="30293016">
            <w:pPr>
              <w:jc w:val="center"/>
              <w:rPr>
                <w:rFonts w:cs="宋体"/>
                <w:color w:val="auto"/>
                <w:szCs w:val="21"/>
              </w:rPr>
            </w:pPr>
          </w:p>
        </w:tc>
        <w:tc>
          <w:tcPr>
            <w:tcW w:w="922" w:type="pct"/>
            <w:vAlign w:val="center"/>
          </w:tcPr>
          <w:p w14:paraId="4AF6B477">
            <w:pPr>
              <w:jc w:val="center"/>
              <w:rPr>
                <w:rFonts w:cs="宋体"/>
                <w:color w:val="auto"/>
                <w:szCs w:val="21"/>
              </w:rPr>
            </w:pPr>
          </w:p>
        </w:tc>
      </w:tr>
      <w:tr w14:paraId="2DC5CF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Borders>
              <w:bottom w:val="single" w:color="auto" w:sz="12" w:space="0"/>
            </w:tcBorders>
            <w:vAlign w:val="center"/>
          </w:tcPr>
          <w:p w14:paraId="38FA3475">
            <w:pPr>
              <w:jc w:val="center"/>
              <w:rPr>
                <w:rFonts w:cs="宋体"/>
                <w:color w:val="auto"/>
                <w:szCs w:val="21"/>
              </w:rPr>
            </w:pPr>
          </w:p>
        </w:tc>
        <w:tc>
          <w:tcPr>
            <w:tcW w:w="706" w:type="pct"/>
            <w:tcBorders>
              <w:bottom w:val="single" w:color="auto" w:sz="12" w:space="0"/>
            </w:tcBorders>
            <w:vAlign w:val="center"/>
          </w:tcPr>
          <w:p w14:paraId="72FC5B3F">
            <w:pPr>
              <w:jc w:val="center"/>
              <w:rPr>
                <w:rFonts w:cs="宋体"/>
                <w:color w:val="auto"/>
                <w:szCs w:val="21"/>
              </w:rPr>
            </w:pPr>
          </w:p>
        </w:tc>
        <w:tc>
          <w:tcPr>
            <w:tcW w:w="802" w:type="pct"/>
            <w:tcBorders>
              <w:bottom w:val="single" w:color="auto" w:sz="12" w:space="0"/>
            </w:tcBorders>
            <w:vAlign w:val="center"/>
          </w:tcPr>
          <w:p w14:paraId="1D16EEAF">
            <w:pPr>
              <w:jc w:val="center"/>
              <w:rPr>
                <w:rFonts w:cs="宋体"/>
                <w:color w:val="auto"/>
                <w:szCs w:val="21"/>
              </w:rPr>
            </w:pPr>
          </w:p>
        </w:tc>
        <w:tc>
          <w:tcPr>
            <w:tcW w:w="687" w:type="pct"/>
            <w:tcBorders>
              <w:bottom w:val="single" w:color="auto" w:sz="12" w:space="0"/>
            </w:tcBorders>
            <w:vAlign w:val="center"/>
          </w:tcPr>
          <w:p w14:paraId="490FFBE1">
            <w:pPr>
              <w:jc w:val="center"/>
              <w:rPr>
                <w:rFonts w:cs="宋体"/>
                <w:color w:val="auto"/>
                <w:szCs w:val="21"/>
              </w:rPr>
            </w:pPr>
          </w:p>
        </w:tc>
        <w:tc>
          <w:tcPr>
            <w:tcW w:w="802" w:type="pct"/>
            <w:tcBorders>
              <w:bottom w:val="single" w:color="auto" w:sz="12" w:space="0"/>
            </w:tcBorders>
            <w:vAlign w:val="center"/>
          </w:tcPr>
          <w:p w14:paraId="5A7A2E32">
            <w:pPr>
              <w:jc w:val="center"/>
              <w:rPr>
                <w:rFonts w:cs="宋体"/>
                <w:color w:val="auto"/>
                <w:szCs w:val="21"/>
              </w:rPr>
            </w:pPr>
          </w:p>
        </w:tc>
        <w:tc>
          <w:tcPr>
            <w:tcW w:w="922" w:type="pct"/>
            <w:tcBorders>
              <w:bottom w:val="single" w:color="auto" w:sz="12" w:space="0"/>
            </w:tcBorders>
            <w:vAlign w:val="center"/>
          </w:tcPr>
          <w:p w14:paraId="28240215">
            <w:pPr>
              <w:jc w:val="center"/>
              <w:rPr>
                <w:rFonts w:cs="宋体"/>
                <w:color w:val="auto"/>
                <w:szCs w:val="21"/>
              </w:rPr>
            </w:pPr>
          </w:p>
        </w:tc>
      </w:tr>
    </w:tbl>
    <w:p w14:paraId="5174E347">
      <w:pPr>
        <w:spacing w:before="312" w:beforeLines="100" w:after="312" w:afterLines="100"/>
        <w:outlineLvl w:val="2"/>
        <w:rPr>
          <w:rFonts w:ascii="Times New Roman" w:eastAsia="黑体"/>
          <w:color w:val="auto"/>
          <w:szCs w:val="24"/>
        </w:rPr>
      </w:pPr>
      <w:r>
        <w:rPr>
          <w:rFonts w:hint="eastAsia" w:ascii="Times New Roman" w:eastAsia="黑体"/>
          <w:bCs/>
          <w:color w:val="auto"/>
        </w:rPr>
        <w:br w:type="page"/>
      </w:r>
      <w:bookmarkStart w:id="643" w:name="_Toc128950240"/>
      <w:r>
        <w:rPr>
          <w:rFonts w:hint="eastAsia" w:ascii="Times New Roman" w:eastAsia="黑体"/>
          <w:color w:val="auto"/>
          <w:szCs w:val="24"/>
        </w:rPr>
        <w:t>附</w:t>
      </w:r>
      <w:bookmarkStart w:id="644" w:name="_Toc296891055"/>
      <w:bookmarkStart w:id="645" w:name="_Toc296503227"/>
      <w:bookmarkStart w:id="646" w:name="_Toc296347226"/>
      <w:bookmarkStart w:id="647" w:name="_Toc296891267"/>
      <w:bookmarkStart w:id="648" w:name="_Toc267261698"/>
      <w:bookmarkStart w:id="649" w:name="_Toc296944566"/>
      <w:bookmarkStart w:id="650" w:name="_Toc296346728"/>
      <w:r>
        <w:rPr>
          <w:rFonts w:hint="eastAsia" w:ascii="Times New Roman" w:eastAsia="黑体"/>
          <w:color w:val="auto"/>
          <w:szCs w:val="24"/>
        </w:rPr>
        <w:t>件</w:t>
      </w:r>
      <w:r>
        <w:rPr>
          <w:rFonts w:ascii="Times New Roman" w:eastAsia="黑体"/>
          <w:color w:val="auto"/>
          <w:szCs w:val="24"/>
        </w:rPr>
        <w:t>5</w:t>
      </w:r>
      <w:r>
        <w:rPr>
          <w:rFonts w:hint="eastAsia" w:ascii="Times New Roman" w:eastAsia="黑体"/>
          <w:color w:val="auto"/>
          <w:szCs w:val="24"/>
        </w:rPr>
        <w:t>：承包人用于本工程施工的机械设备表</w:t>
      </w:r>
      <w:bookmarkEnd w:id="643"/>
    </w:p>
    <w:bookmarkEnd w:id="644"/>
    <w:bookmarkEnd w:id="645"/>
    <w:bookmarkEnd w:id="646"/>
    <w:bookmarkEnd w:id="647"/>
    <w:bookmarkEnd w:id="648"/>
    <w:bookmarkEnd w:id="649"/>
    <w:bookmarkEnd w:id="650"/>
    <w:p w14:paraId="586CF36C">
      <w:pPr>
        <w:spacing w:before="156" w:beforeLines="50" w:after="156" w:afterLines="50"/>
        <w:jc w:val="center"/>
        <w:rPr>
          <w:rFonts w:cs="宋体"/>
          <w:color w:val="auto"/>
          <w:szCs w:val="21"/>
        </w:rPr>
      </w:pPr>
      <w:r>
        <w:rPr>
          <w:rFonts w:hint="eastAsia" w:cs="宋体"/>
          <w:color w:val="auto"/>
          <w:szCs w:val="21"/>
        </w:rPr>
        <w:t>承包人用于本工程施工的机械设备表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688"/>
        <w:gridCol w:w="1325"/>
        <w:gridCol w:w="793"/>
        <w:gridCol w:w="662"/>
        <w:gridCol w:w="793"/>
        <w:gridCol w:w="898"/>
        <w:gridCol w:w="1383"/>
        <w:gridCol w:w="952"/>
        <w:gridCol w:w="868"/>
      </w:tblGrid>
      <w:tr w14:paraId="5C0A5D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412" w:type="pct"/>
            <w:tcBorders>
              <w:top w:val="single" w:color="auto" w:sz="12" w:space="0"/>
              <w:bottom w:val="double" w:color="auto" w:sz="6" w:space="0"/>
            </w:tcBorders>
            <w:vAlign w:val="center"/>
          </w:tcPr>
          <w:p w14:paraId="61FFD2B2">
            <w:pPr>
              <w:keepNext/>
              <w:jc w:val="center"/>
              <w:rPr>
                <w:rFonts w:cs="宋体"/>
                <w:color w:val="auto"/>
                <w:szCs w:val="21"/>
              </w:rPr>
            </w:pPr>
            <w:r>
              <w:rPr>
                <w:rFonts w:hint="eastAsia" w:cs="宋体"/>
                <w:color w:val="auto"/>
                <w:szCs w:val="21"/>
              </w:rPr>
              <w:t>序号</w:t>
            </w:r>
          </w:p>
        </w:tc>
        <w:tc>
          <w:tcPr>
            <w:tcW w:w="792" w:type="pct"/>
            <w:tcBorders>
              <w:top w:val="single" w:color="auto" w:sz="12" w:space="0"/>
              <w:bottom w:val="double" w:color="auto" w:sz="6" w:space="0"/>
            </w:tcBorders>
            <w:vAlign w:val="center"/>
          </w:tcPr>
          <w:p w14:paraId="683524B6">
            <w:pPr>
              <w:keepNext/>
              <w:jc w:val="center"/>
              <w:rPr>
                <w:rFonts w:cs="宋体"/>
                <w:color w:val="auto"/>
                <w:szCs w:val="21"/>
              </w:rPr>
            </w:pPr>
            <w:r>
              <w:rPr>
                <w:rFonts w:hint="eastAsia" w:cs="宋体"/>
                <w:color w:val="auto"/>
                <w:szCs w:val="21"/>
              </w:rPr>
              <w:t>机械或设备名称</w:t>
            </w:r>
          </w:p>
        </w:tc>
        <w:tc>
          <w:tcPr>
            <w:tcW w:w="474" w:type="pct"/>
            <w:tcBorders>
              <w:top w:val="single" w:color="auto" w:sz="12" w:space="0"/>
              <w:bottom w:val="double" w:color="auto" w:sz="6" w:space="0"/>
            </w:tcBorders>
            <w:vAlign w:val="center"/>
          </w:tcPr>
          <w:p w14:paraId="0E00FE2E">
            <w:pPr>
              <w:keepNext/>
              <w:jc w:val="center"/>
              <w:rPr>
                <w:rFonts w:cs="宋体"/>
                <w:color w:val="auto"/>
                <w:szCs w:val="21"/>
              </w:rPr>
            </w:pPr>
            <w:r>
              <w:rPr>
                <w:rFonts w:hint="eastAsia" w:cs="宋体"/>
                <w:color w:val="auto"/>
                <w:szCs w:val="21"/>
              </w:rPr>
              <w:t>规格型号</w:t>
            </w:r>
          </w:p>
        </w:tc>
        <w:tc>
          <w:tcPr>
            <w:tcW w:w="396" w:type="pct"/>
            <w:tcBorders>
              <w:top w:val="single" w:color="auto" w:sz="12" w:space="0"/>
              <w:bottom w:val="double" w:color="auto" w:sz="6" w:space="0"/>
            </w:tcBorders>
            <w:vAlign w:val="center"/>
          </w:tcPr>
          <w:p w14:paraId="2FF9FDA0">
            <w:pPr>
              <w:keepNext/>
              <w:jc w:val="center"/>
              <w:rPr>
                <w:rFonts w:cs="宋体"/>
                <w:color w:val="auto"/>
                <w:szCs w:val="21"/>
              </w:rPr>
            </w:pPr>
            <w:r>
              <w:rPr>
                <w:rFonts w:hint="eastAsia" w:cs="宋体"/>
                <w:color w:val="auto"/>
                <w:szCs w:val="21"/>
              </w:rPr>
              <w:t>数量</w:t>
            </w:r>
          </w:p>
        </w:tc>
        <w:tc>
          <w:tcPr>
            <w:tcW w:w="474" w:type="pct"/>
            <w:tcBorders>
              <w:top w:val="single" w:color="auto" w:sz="12" w:space="0"/>
              <w:bottom w:val="double" w:color="auto" w:sz="6" w:space="0"/>
            </w:tcBorders>
            <w:vAlign w:val="center"/>
          </w:tcPr>
          <w:p w14:paraId="0E697804">
            <w:pPr>
              <w:keepNext/>
              <w:jc w:val="center"/>
              <w:rPr>
                <w:rFonts w:cs="宋体"/>
                <w:color w:val="auto"/>
                <w:szCs w:val="21"/>
              </w:rPr>
            </w:pPr>
            <w:r>
              <w:rPr>
                <w:rFonts w:hint="eastAsia" w:cs="宋体"/>
                <w:color w:val="auto"/>
                <w:szCs w:val="21"/>
              </w:rPr>
              <w:t>产地</w:t>
            </w:r>
          </w:p>
        </w:tc>
        <w:tc>
          <w:tcPr>
            <w:tcW w:w="537" w:type="pct"/>
            <w:tcBorders>
              <w:top w:val="single" w:color="auto" w:sz="12" w:space="0"/>
              <w:bottom w:val="double" w:color="auto" w:sz="6" w:space="0"/>
            </w:tcBorders>
            <w:vAlign w:val="center"/>
          </w:tcPr>
          <w:p w14:paraId="4F768629">
            <w:pPr>
              <w:keepNext/>
              <w:jc w:val="center"/>
              <w:rPr>
                <w:rFonts w:cs="宋体"/>
                <w:color w:val="auto"/>
                <w:szCs w:val="21"/>
              </w:rPr>
            </w:pPr>
            <w:r>
              <w:rPr>
                <w:rFonts w:hint="eastAsia" w:cs="宋体"/>
                <w:color w:val="auto"/>
                <w:szCs w:val="21"/>
              </w:rPr>
              <w:t>制造年份</w:t>
            </w:r>
          </w:p>
        </w:tc>
        <w:tc>
          <w:tcPr>
            <w:tcW w:w="827" w:type="pct"/>
            <w:tcBorders>
              <w:top w:val="single" w:color="auto" w:sz="12" w:space="0"/>
              <w:bottom w:val="double" w:color="auto" w:sz="6" w:space="0"/>
            </w:tcBorders>
            <w:vAlign w:val="center"/>
          </w:tcPr>
          <w:p w14:paraId="08A724D7">
            <w:pPr>
              <w:keepNext/>
              <w:jc w:val="center"/>
              <w:rPr>
                <w:rFonts w:cs="宋体"/>
                <w:color w:val="auto"/>
                <w:szCs w:val="21"/>
              </w:rPr>
            </w:pPr>
            <w:r>
              <w:rPr>
                <w:rFonts w:hint="eastAsia" w:cs="宋体"/>
                <w:color w:val="auto"/>
                <w:szCs w:val="21"/>
              </w:rPr>
              <w:t>额定功率（kW)</w:t>
            </w:r>
          </w:p>
        </w:tc>
        <w:tc>
          <w:tcPr>
            <w:tcW w:w="569" w:type="pct"/>
            <w:tcBorders>
              <w:top w:val="single" w:color="auto" w:sz="12" w:space="0"/>
              <w:bottom w:val="double" w:color="auto" w:sz="6" w:space="0"/>
            </w:tcBorders>
            <w:vAlign w:val="center"/>
          </w:tcPr>
          <w:p w14:paraId="718C13BC">
            <w:pPr>
              <w:keepNext/>
              <w:jc w:val="center"/>
              <w:rPr>
                <w:rFonts w:cs="宋体"/>
                <w:color w:val="auto"/>
                <w:szCs w:val="21"/>
              </w:rPr>
            </w:pPr>
            <w:r>
              <w:rPr>
                <w:rFonts w:hint="eastAsia" w:cs="宋体"/>
                <w:color w:val="auto"/>
                <w:szCs w:val="21"/>
              </w:rPr>
              <w:t>生产能力</w:t>
            </w:r>
          </w:p>
        </w:tc>
        <w:tc>
          <w:tcPr>
            <w:tcW w:w="519" w:type="pct"/>
            <w:tcBorders>
              <w:top w:val="single" w:color="auto" w:sz="12" w:space="0"/>
              <w:bottom w:val="double" w:color="auto" w:sz="6" w:space="0"/>
            </w:tcBorders>
            <w:vAlign w:val="center"/>
          </w:tcPr>
          <w:p w14:paraId="031E53EB">
            <w:pPr>
              <w:keepNext/>
              <w:jc w:val="center"/>
              <w:rPr>
                <w:rFonts w:cs="宋体"/>
                <w:color w:val="auto"/>
                <w:szCs w:val="21"/>
              </w:rPr>
            </w:pPr>
            <w:r>
              <w:rPr>
                <w:rFonts w:hint="eastAsia" w:cs="宋体"/>
                <w:color w:val="auto"/>
                <w:szCs w:val="21"/>
              </w:rPr>
              <w:t>备注</w:t>
            </w:r>
          </w:p>
        </w:tc>
      </w:tr>
      <w:tr w14:paraId="440EC0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tcBorders>
              <w:top w:val="double" w:color="auto" w:sz="6" w:space="0"/>
            </w:tcBorders>
            <w:vAlign w:val="center"/>
          </w:tcPr>
          <w:p w14:paraId="527C73DF">
            <w:pPr>
              <w:keepNext/>
              <w:jc w:val="center"/>
              <w:rPr>
                <w:rFonts w:cs="宋体"/>
                <w:color w:val="auto"/>
                <w:szCs w:val="21"/>
              </w:rPr>
            </w:pPr>
          </w:p>
        </w:tc>
        <w:tc>
          <w:tcPr>
            <w:tcW w:w="792" w:type="pct"/>
            <w:tcBorders>
              <w:top w:val="double" w:color="auto" w:sz="6" w:space="0"/>
            </w:tcBorders>
            <w:vAlign w:val="center"/>
          </w:tcPr>
          <w:p w14:paraId="113DF679">
            <w:pPr>
              <w:keepNext/>
              <w:jc w:val="center"/>
              <w:rPr>
                <w:rFonts w:cs="宋体"/>
                <w:color w:val="auto"/>
                <w:szCs w:val="21"/>
              </w:rPr>
            </w:pPr>
          </w:p>
        </w:tc>
        <w:tc>
          <w:tcPr>
            <w:tcW w:w="474" w:type="pct"/>
            <w:tcBorders>
              <w:top w:val="double" w:color="auto" w:sz="6" w:space="0"/>
            </w:tcBorders>
            <w:vAlign w:val="center"/>
          </w:tcPr>
          <w:p w14:paraId="798EDB6C">
            <w:pPr>
              <w:keepNext/>
              <w:jc w:val="center"/>
              <w:rPr>
                <w:rFonts w:cs="宋体"/>
                <w:color w:val="auto"/>
                <w:szCs w:val="21"/>
              </w:rPr>
            </w:pPr>
          </w:p>
        </w:tc>
        <w:tc>
          <w:tcPr>
            <w:tcW w:w="396" w:type="pct"/>
            <w:tcBorders>
              <w:top w:val="double" w:color="auto" w:sz="6" w:space="0"/>
            </w:tcBorders>
            <w:vAlign w:val="center"/>
          </w:tcPr>
          <w:p w14:paraId="57D37900">
            <w:pPr>
              <w:keepNext/>
              <w:jc w:val="center"/>
              <w:rPr>
                <w:rFonts w:cs="宋体"/>
                <w:color w:val="auto"/>
                <w:szCs w:val="21"/>
              </w:rPr>
            </w:pPr>
          </w:p>
        </w:tc>
        <w:tc>
          <w:tcPr>
            <w:tcW w:w="474" w:type="pct"/>
            <w:tcBorders>
              <w:top w:val="double" w:color="auto" w:sz="6" w:space="0"/>
            </w:tcBorders>
            <w:vAlign w:val="center"/>
          </w:tcPr>
          <w:p w14:paraId="2376F501">
            <w:pPr>
              <w:keepNext/>
              <w:jc w:val="center"/>
              <w:rPr>
                <w:rFonts w:cs="宋体"/>
                <w:color w:val="auto"/>
                <w:szCs w:val="21"/>
              </w:rPr>
            </w:pPr>
          </w:p>
        </w:tc>
        <w:tc>
          <w:tcPr>
            <w:tcW w:w="537" w:type="pct"/>
            <w:tcBorders>
              <w:top w:val="double" w:color="auto" w:sz="6" w:space="0"/>
            </w:tcBorders>
            <w:vAlign w:val="center"/>
          </w:tcPr>
          <w:p w14:paraId="19FA6F93">
            <w:pPr>
              <w:keepNext/>
              <w:jc w:val="center"/>
              <w:rPr>
                <w:rFonts w:cs="宋体"/>
                <w:color w:val="auto"/>
                <w:szCs w:val="21"/>
              </w:rPr>
            </w:pPr>
          </w:p>
        </w:tc>
        <w:tc>
          <w:tcPr>
            <w:tcW w:w="827" w:type="pct"/>
            <w:tcBorders>
              <w:top w:val="double" w:color="auto" w:sz="6" w:space="0"/>
            </w:tcBorders>
            <w:vAlign w:val="center"/>
          </w:tcPr>
          <w:p w14:paraId="166BB314">
            <w:pPr>
              <w:keepNext/>
              <w:jc w:val="center"/>
              <w:rPr>
                <w:rFonts w:cs="宋体"/>
                <w:color w:val="auto"/>
                <w:szCs w:val="21"/>
              </w:rPr>
            </w:pPr>
          </w:p>
        </w:tc>
        <w:tc>
          <w:tcPr>
            <w:tcW w:w="569" w:type="pct"/>
            <w:tcBorders>
              <w:top w:val="double" w:color="auto" w:sz="6" w:space="0"/>
            </w:tcBorders>
            <w:vAlign w:val="center"/>
          </w:tcPr>
          <w:p w14:paraId="794091BE">
            <w:pPr>
              <w:keepNext/>
              <w:jc w:val="center"/>
              <w:rPr>
                <w:rFonts w:cs="宋体"/>
                <w:color w:val="auto"/>
                <w:szCs w:val="21"/>
              </w:rPr>
            </w:pPr>
          </w:p>
        </w:tc>
        <w:tc>
          <w:tcPr>
            <w:tcW w:w="519" w:type="pct"/>
            <w:tcBorders>
              <w:top w:val="double" w:color="auto" w:sz="6" w:space="0"/>
            </w:tcBorders>
            <w:vAlign w:val="center"/>
          </w:tcPr>
          <w:p w14:paraId="5C5E8987">
            <w:pPr>
              <w:keepNext/>
              <w:jc w:val="center"/>
              <w:rPr>
                <w:rFonts w:cs="宋体"/>
                <w:color w:val="auto"/>
                <w:szCs w:val="21"/>
              </w:rPr>
            </w:pPr>
          </w:p>
        </w:tc>
      </w:tr>
      <w:tr w14:paraId="61FBBD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tcBorders>
              <w:top w:val="nil"/>
            </w:tcBorders>
            <w:vAlign w:val="center"/>
          </w:tcPr>
          <w:p w14:paraId="031F350A">
            <w:pPr>
              <w:keepNext/>
              <w:jc w:val="center"/>
              <w:rPr>
                <w:rFonts w:cs="宋体"/>
                <w:color w:val="auto"/>
                <w:szCs w:val="21"/>
              </w:rPr>
            </w:pPr>
          </w:p>
        </w:tc>
        <w:tc>
          <w:tcPr>
            <w:tcW w:w="792" w:type="pct"/>
            <w:tcBorders>
              <w:top w:val="nil"/>
            </w:tcBorders>
            <w:vAlign w:val="center"/>
          </w:tcPr>
          <w:p w14:paraId="5A9E6455">
            <w:pPr>
              <w:keepNext/>
              <w:jc w:val="center"/>
              <w:rPr>
                <w:rFonts w:cs="宋体"/>
                <w:color w:val="auto"/>
                <w:szCs w:val="21"/>
              </w:rPr>
            </w:pPr>
          </w:p>
        </w:tc>
        <w:tc>
          <w:tcPr>
            <w:tcW w:w="474" w:type="pct"/>
            <w:tcBorders>
              <w:top w:val="nil"/>
            </w:tcBorders>
            <w:vAlign w:val="center"/>
          </w:tcPr>
          <w:p w14:paraId="711BD394">
            <w:pPr>
              <w:keepNext/>
              <w:jc w:val="center"/>
              <w:rPr>
                <w:rFonts w:cs="宋体"/>
                <w:color w:val="auto"/>
                <w:szCs w:val="21"/>
              </w:rPr>
            </w:pPr>
          </w:p>
        </w:tc>
        <w:tc>
          <w:tcPr>
            <w:tcW w:w="396" w:type="pct"/>
            <w:tcBorders>
              <w:top w:val="nil"/>
            </w:tcBorders>
            <w:vAlign w:val="center"/>
          </w:tcPr>
          <w:p w14:paraId="1D9D232A">
            <w:pPr>
              <w:keepNext/>
              <w:jc w:val="center"/>
              <w:rPr>
                <w:rFonts w:cs="宋体"/>
                <w:color w:val="auto"/>
                <w:szCs w:val="21"/>
              </w:rPr>
            </w:pPr>
          </w:p>
        </w:tc>
        <w:tc>
          <w:tcPr>
            <w:tcW w:w="474" w:type="pct"/>
            <w:tcBorders>
              <w:top w:val="nil"/>
            </w:tcBorders>
            <w:vAlign w:val="center"/>
          </w:tcPr>
          <w:p w14:paraId="25FE0434">
            <w:pPr>
              <w:keepNext/>
              <w:jc w:val="center"/>
              <w:rPr>
                <w:rFonts w:cs="宋体"/>
                <w:color w:val="auto"/>
                <w:szCs w:val="21"/>
              </w:rPr>
            </w:pPr>
          </w:p>
        </w:tc>
        <w:tc>
          <w:tcPr>
            <w:tcW w:w="537" w:type="pct"/>
            <w:tcBorders>
              <w:top w:val="nil"/>
            </w:tcBorders>
            <w:vAlign w:val="center"/>
          </w:tcPr>
          <w:p w14:paraId="7CE6DB67">
            <w:pPr>
              <w:keepNext/>
              <w:jc w:val="center"/>
              <w:rPr>
                <w:rFonts w:cs="宋体"/>
                <w:color w:val="auto"/>
                <w:szCs w:val="21"/>
              </w:rPr>
            </w:pPr>
          </w:p>
        </w:tc>
        <w:tc>
          <w:tcPr>
            <w:tcW w:w="827" w:type="pct"/>
            <w:tcBorders>
              <w:top w:val="nil"/>
            </w:tcBorders>
            <w:vAlign w:val="center"/>
          </w:tcPr>
          <w:p w14:paraId="54D47D66">
            <w:pPr>
              <w:keepNext/>
              <w:jc w:val="center"/>
              <w:rPr>
                <w:rFonts w:cs="宋体"/>
                <w:color w:val="auto"/>
                <w:szCs w:val="21"/>
              </w:rPr>
            </w:pPr>
          </w:p>
        </w:tc>
        <w:tc>
          <w:tcPr>
            <w:tcW w:w="569" w:type="pct"/>
            <w:tcBorders>
              <w:top w:val="nil"/>
            </w:tcBorders>
            <w:vAlign w:val="center"/>
          </w:tcPr>
          <w:p w14:paraId="37EC7A32">
            <w:pPr>
              <w:keepNext/>
              <w:jc w:val="center"/>
              <w:rPr>
                <w:rFonts w:cs="宋体"/>
                <w:color w:val="auto"/>
                <w:szCs w:val="21"/>
              </w:rPr>
            </w:pPr>
          </w:p>
        </w:tc>
        <w:tc>
          <w:tcPr>
            <w:tcW w:w="519" w:type="pct"/>
            <w:tcBorders>
              <w:top w:val="nil"/>
            </w:tcBorders>
            <w:vAlign w:val="center"/>
          </w:tcPr>
          <w:p w14:paraId="78AD73E8">
            <w:pPr>
              <w:keepNext/>
              <w:jc w:val="center"/>
              <w:rPr>
                <w:rFonts w:cs="宋体"/>
                <w:color w:val="auto"/>
                <w:szCs w:val="21"/>
              </w:rPr>
            </w:pPr>
          </w:p>
        </w:tc>
      </w:tr>
      <w:tr w14:paraId="055D7B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vAlign w:val="center"/>
          </w:tcPr>
          <w:p w14:paraId="65FE1AFF">
            <w:pPr>
              <w:jc w:val="center"/>
              <w:rPr>
                <w:rFonts w:cs="宋体"/>
                <w:color w:val="auto"/>
                <w:szCs w:val="21"/>
              </w:rPr>
            </w:pPr>
          </w:p>
        </w:tc>
        <w:tc>
          <w:tcPr>
            <w:tcW w:w="792" w:type="pct"/>
            <w:vAlign w:val="center"/>
          </w:tcPr>
          <w:p w14:paraId="3E3FE280">
            <w:pPr>
              <w:jc w:val="center"/>
              <w:rPr>
                <w:rFonts w:cs="宋体"/>
                <w:color w:val="auto"/>
                <w:szCs w:val="21"/>
              </w:rPr>
            </w:pPr>
          </w:p>
        </w:tc>
        <w:tc>
          <w:tcPr>
            <w:tcW w:w="474" w:type="pct"/>
            <w:vAlign w:val="center"/>
          </w:tcPr>
          <w:p w14:paraId="635CB5D5">
            <w:pPr>
              <w:jc w:val="center"/>
              <w:rPr>
                <w:rFonts w:cs="宋体"/>
                <w:color w:val="auto"/>
                <w:szCs w:val="21"/>
              </w:rPr>
            </w:pPr>
          </w:p>
        </w:tc>
        <w:tc>
          <w:tcPr>
            <w:tcW w:w="396" w:type="pct"/>
            <w:vAlign w:val="center"/>
          </w:tcPr>
          <w:p w14:paraId="666F7D60">
            <w:pPr>
              <w:jc w:val="center"/>
              <w:rPr>
                <w:rFonts w:cs="宋体"/>
                <w:color w:val="auto"/>
                <w:szCs w:val="21"/>
              </w:rPr>
            </w:pPr>
          </w:p>
        </w:tc>
        <w:tc>
          <w:tcPr>
            <w:tcW w:w="474" w:type="pct"/>
            <w:vAlign w:val="center"/>
          </w:tcPr>
          <w:p w14:paraId="20983F20">
            <w:pPr>
              <w:jc w:val="center"/>
              <w:rPr>
                <w:rFonts w:cs="宋体"/>
                <w:color w:val="auto"/>
                <w:szCs w:val="21"/>
              </w:rPr>
            </w:pPr>
          </w:p>
        </w:tc>
        <w:tc>
          <w:tcPr>
            <w:tcW w:w="537" w:type="pct"/>
            <w:vAlign w:val="center"/>
          </w:tcPr>
          <w:p w14:paraId="6C2ED1B5">
            <w:pPr>
              <w:jc w:val="center"/>
              <w:rPr>
                <w:rFonts w:cs="宋体"/>
                <w:color w:val="auto"/>
                <w:szCs w:val="21"/>
              </w:rPr>
            </w:pPr>
          </w:p>
        </w:tc>
        <w:tc>
          <w:tcPr>
            <w:tcW w:w="827" w:type="pct"/>
            <w:vAlign w:val="center"/>
          </w:tcPr>
          <w:p w14:paraId="4866AB6C">
            <w:pPr>
              <w:jc w:val="center"/>
              <w:rPr>
                <w:rFonts w:cs="宋体"/>
                <w:color w:val="auto"/>
                <w:szCs w:val="21"/>
              </w:rPr>
            </w:pPr>
          </w:p>
        </w:tc>
        <w:tc>
          <w:tcPr>
            <w:tcW w:w="569" w:type="pct"/>
            <w:vAlign w:val="center"/>
          </w:tcPr>
          <w:p w14:paraId="668FC879">
            <w:pPr>
              <w:jc w:val="center"/>
              <w:rPr>
                <w:rFonts w:cs="宋体"/>
                <w:color w:val="auto"/>
                <w:szCs w:val="21"/>
              </w:rPr>
            </w:pPr>
          </w:p>
        </w:tc>
        <w:tc>
          <w:tcPr>
            <w:tcW w:w="519" w:type="pct"/>
            <w:vAlign w:val="center"/>
          </w:tcPr>
          <w:p w14:paraId="24AB3512">
            <w:pPr>
              <w:jc w:val="center"/>
              <w:rPr>
                <w:rFonts w:cs="宋体"/>
                <w:color w:val="auto"/>
                <w:szCs w:val="21"/>
              </w:rPr>
            </w:pPr>
          </w:p>
        </w:tc>
      </w:tr>
      <w:tr w14:paraId="19F846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vAlign w:val="center"/>
          </w:tcPr>
          <w:p w14:paraId="50803E10">
            <w:pPr>
              <w:jc w:val="center"/>
              <w:rPr>
                <w:rFonts w:cs="宋体"/>
                <w:color w:val="auto"/>
                <w:szCs w:val="21"/>
              </w:rPr>
            </w:pPr>
          </w:p>
        </w:tc>
        <w:tc>
          <w:tcPr>
            <w:tcW w:w="792" w:type="pct"/>
            <w:vAlign w:val="center"/>
          </w:tcPr>
          <w:p w14:paraId="0922CE3B">
            <w:pPr>
              <w:jc w:val="center"/>
              <w:rPr>
                <w:rFonts w:cs="宋体"/>
                <w:color w:val="auto"/>
                <w:szCs w:val="21"/>
              </w:rPr>
            </w:pPr>
          </w:p>
        </w:tc>
        <w:tc>
          <w:tcPr>
            <w:tcW w:w="474" w:type="pct"/>
            <w:vAlign w:val="center"/>
          </w:tcPr>
          <w:p w14:paraId="1CA45A83">
            <w:pPr>
              <w:jc w:val="center"/>
              <w:rPr>
                <w:rFonts w:cs="宋体"/>
                <w:color w:val="auto"/>
                <w:szCs w:val="21"/>
              </w:rPr>
            </w:pPr>
          </w:p>
        </w:tc>
        <w:tc>
          <w:tcPr>
            <w:tcW w:w="396" w:type="pct"/>
            <w:vAlign w:val="center"/>
          </w:tcPr>
          <w:p w14:paraId="22314120">
            <w:pPr>
              <w:jc w:val="center"/>
              <w:rPr>
                <w:rFonts w:cs="宋体"/>
                <w:color w:val="auto"/>
                <w:szCs w:val="21"/>
              </w:rPr>
            </w:pPr>
          </w:p>
        </w:tc>
        <w:tc>
          <w:tcPr>
            <w:tcW w:w="474" w:type="pct"/>
            <w:vAlign w:val="center"/>
          </w:tcPr>
          <w:p w14:paraId="2CE98282">
            <w:pPr>
              <w:jc w:val="center"/>
              <w:rPr>
                <w:rFonts w:cs="宋体"/>
                <w:color w:val="auto"/>
                <w:szCs w:val="21"/>
              </w:rPr>
            </w:pPr>
          </w:p>
        </w:tc>
        <w:tc>
          <w:tcPr>
            <w:tcW w:w="537" w:type="pct"/>
            <w:vAlign w:val="center"/>
          </w:tcPr>
          <w:p w14:paraId="40BEF559">
            <w:pPr>
              <w:jc w:val="center"/>
              <w:rPr>
                <w:rFonts w:cs="宋体"/>
                <w:color w:val="auto"/>
                <w:szCs w:val="21"/>
              </w:rPr>
            </w:pPr>
          </w:p>
        </w:tc>
        <w:tc>
          <w:tcPr>
            <w:tcW w:w="827" w:type="pct"/>
            <w:vAlign w:val="center"/>
          </w:tcPr>
          <w:p w14:paraId="237BBCB9">
            <w:pPr>
              <w:jc w:val="center"/>
              <w:rPr>
                <w:rFonts w:cs="宋体"/>
                <w:color w:val="auto"/>
                <w:szCs w:val="21"/>
              </w:rPr>
            </w:pPr>
          </w:p>
        </w:tc>
        <w:tc>
          <w:tcPr>
            <w:tcW w:w="569" w:type="pct"/>
            <w:vAlign w:val="center"/>
          </w:tcPr>
          <w:p w14:paraId="613F90F3">
            <w:pPr>
              <w:jc w:val="center"/>
              <w:rPr>
                <w:rFonts w:cs="宋体"/>
                <w:color w:val="auto"/>
                <w:szCs w:val="21"/>
              </w:rPr>
            </w:pPr>
          </w:p>
        </w:tc>
        <w:tc>
          <w:tcPr>
            <w:tcW w:w="519" w:type="pct"/>
            <w:vAlign w:val="center"/>
          </w:tcPr>
          <w:p w14:paraId="328EF256">
            <w:pPr>
              <w:jc w:val="center"/>
              <w:rPr>
                <w:rFonts w:cs="宋体"/>
                <w:color w:val="auto"/>
                <w:szCs w:val="21"/>
              </w:rPr>
            </w:pPr>
          </w:p>
        </w:tc>
      </w:tr>
      <w:tr w14:paraId="063A61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tcBorders>
              <w:bottom w:val="single" w:color="auto" w:sz="12" w:space="0"/>
            </w:tcBorders>
            <w:vAlign w:val="center"/>
          </w:tcPr>
          <w:p w14:paraId="5E54A76F">
            <w:pPr>
              <w:jc w:val="center"/>
              <w:rPr>
                <w:rFonts w:cs="宋体"/>
                <w:color w:val="auto"/>
                <w:szCs w:val="21"/>
              </w:rPr>
            </w:pPr>
          </w:p>
        </w:tc>
        <w:tc>
          <w:tcPr>
            <w:tcW w:w="792" w:type="pct"/>
            <w:tcBorders>
              <w:bottom w:val="single" w:color="auto" w:sz="12" w:space="0"/>
            </w:tcBorders>
            <w:vAlign w:val="center"/>
          </w:tcPr>
          <w:p w14:paraId="5D1A9C4E">
            <w:pPr>
              <w:jc w:val="center"/>
              <w:rPr>
                <w:rFonts w:cs="宋体"/>
                <w:color w:val="auto"/>
                <w:szCs w:val="21"/>
              </w:rPr>
            </w:pPr>
          </w:p>
        </w:tc>
        <w:tc>
          <w:tcPr>
            <w:tcW w:w="474" w:type="pct"/>
            <w:tcBorders>
              <w:bottom w:val="single" w:color="auto" w:sz="12" w:space="0"/>
            </w:tcBorders>
            <w:vAlign w:val="center"/>
          </w:tcPr>
          <w:p w14:paraId="598498E6">
            <w:pPr>
              <w:jc w:val="center"/>
              <w:rPr>
                <w:rFonts w:cs="宋体"/>
                <w:color w:val="auto"/>
                <w:szCs w:val="21"/>
              </w:rPr>
            </w:pPr>
          </w:p>
        </w:tc>
        <w:tc>
          <w:tcPr>
            <w:tcW w:w="396" w:type="pct"/>
            <w:tcBorders>
              <w:bottom w:val="single" w:color="auto" w:sz="12" w:space="0"/>
            </w:tcBorders>
            <w:vAlign w:val="center"/>
          </w:tcPr>
          <w:p w14:paraId="71F4C310">
            <w:pPr>
              <w:jc w:val="center"/>
              <w:rPr>
                <w:rFonts w:cs="宋体"/>
                <w:color w:val="auto"/>
                <w:szCs w:val="21"/>
              </w:rPr>
            </w:pPr>
          </w:p>
        </w:tc>
        <w:tc>
          <w:tcPr>
            <w:tcW w:w="474" w:type="pct"/>
            <w:tcBorders>
              <w:bottom w:val="single" w:color="auto" w:sz="12" w:space="0"/>
            </w:tcBorders>
            <w:vAlign w:val="center"/>
          </w:tcPr>
          <w:p w14:paraId="020E168F">
            <w:pPr>
              <w:jc w:val="center"/>
              <w:rPr>
                <w:rFonts w:cs="宋体"/>
                <w:color w:val="auto"/>
                <w:szCs w:val="21"/>
              </w:rPr>
            </w:pPr>
          </w:p>
        </w:tc>
        <w:tc>
          <w:tcPr>
            <w:tcW w:w="537" w:type="pct"/>
            <w:tcBorders>
              <w:bottom w:val="single" w:color="auto" w:sz="12" w:space="0"/>
            </w:tcBorders>
            <w:vAlign w:val="center"/>
          </w:tcPr>
          <w:p w14:paraId="577C4AE9">
            <w:pPr>
              <w:jc w:val="center"/>
              <w:rPr>
                <w:rFonts w:cs="宋体"/>
                <w:color w:val="auto"/>
                <w:szCs w:val="21"/>
              </w:rPr>
            </w:pPr>
          </w:p>
        </w:tc>
        <w:tc>
          <w:tcPr>
            <w:tcW w:w="827" w:type="pct"/>
            <w:tcBorders>
              <w:bottom w:val="single" w:color="auto" w:sz="12" w:space="0"/>
            </w:tcBorders>
            <w:vAlign w:val="center"/>
          </w:tcPr>
          <w:p w14:paraId="4D8B5F49">
            <w:pPr>
              <w:jc w:val="center"/>
              <w:rPr>
                <w:rFonts w:cs="宋体"/>
                <w:color w:val="auto"/>
                <w:szCs w:val="21"/>
              </w:rPr>
            </w:pPr>
          </w:p>
        </w:tc>
        <w:tc>
          <w:tcPr>
            <w:tcW w:w="569" w:type="pct"/>
            <w:tcBorders>
              <w:bottom w:val="single" w:color="auto" w:sz="12" w:space="0"/>
            </w:tcBorders>
            <w:vAlign w:val="center"/>
          </w:tcPr>
          <w:p w14:paraId="1C6D0875">
            <w:pPr>
              <w:jc w:val="center"/>
              <w:rPr>
                <w:rFonts w:cs="宋体"/>
                <w:color w:val="auto"/>
                <w:szCs w:val="21"/>
              </w:rPr>
            </w:pPr>
          </w:p>
        </w:tc>
        <w:tc>
          <w:tcPr>
            <w:tcW w:w="519" w:type="pct"/>
            <w:tcBorders>
              <w:bottom w:val="single" w:color="auto" w:sz="12" w:space="0"/>
            </w:tcBorders>
            <w:vAlign w:val="center"/>
          </w:tcPr>
          <w:p w14:paraId="5276B03B">
            <w:pPr>
              <w:jc w:val="center"/>
              <w:rPr>
                <w:rFonts w:cs="宋体"/>
                <w:color w:val="auto"/>
                <w:szCs w:val="21"/>
              </w:rPr>
            </w:pPr>
          </w:p>
        </w:tc>
      </w:tr>
    </w:tbl>
    <w:p w14:paraId="7D8AC95F">
      <w:pPr>
        <w:spacing w:before="312" w:beforeLines="100" w:after="312" w:afterLines="100"/>
        <w:outlineLvl w:val="2"/>
        <w:rPr>
          <w:rFonts w:ascii="Times New Roman" w:eastAsia="黑体"/>
          <w:color w:val="auto"/>
          <w:szCs w:val="24"/>
        </w:rPr>
      </w:pPr>
      <w:r>
        <w:rPr>
          <w:rFonts w:hint="eastAsia" w:cs="宋体"/>
          <w:bCs/>
          <w:color w:val="auto"/>
        </w:rPr>
        <w:br w:type="page"/>
      </w:r>
      <w:bookmarkStart w:id="651" w:name="_Toc128950241"/>
      <w:r>
        <w:rPr>
          <w:rFonts w:hint="eastAsia" w:ascii="Times New Roman" w:eastAsia="黑体"/>
          <w:color w:val="auto"/>
          <w:szCs w:val="24"/>
        </w:rPr>
        <w:t>附</w:t>
      </w:r>
      <w:bookmarkStart w:id="652" w:name="_Toc296503228"/>
      <w:bookmarkStart w:id="653" w:name="_Toc296891268"/>
      <w:bookmarkStart w:id="654" w:name="_Toc296944567"/>
      <w:bookmarkStart w:id="655" w:name="_Toc296347227"/>
      <w:bookmarkStart w:id="656" w:name="_Toc296891056"/>
      <w:bookmarkStart w:id="657" w:name="_Toc296346729"/>
      <w:bookmarkStart w:id="658" w:name="_Toc267261699"/>
      <w:r>
        <w:rPr>
          <w:rFonts w:hint="eastAsia" w:ascii="Times New Roman" w:eastAsia="黑体"/>
          <w:color w:val="auto"/>
          <w:szCs w:val="24"/>
        </w:rPr>
        <w:t>件</w:t>
      </w:r>
      <w:bookmarkEnd w:id="652"/>
      <w:bookmarkEnd w:id="653"/>
      <w:bookmarkEnd w:id="654"/>
      <w:bookmarkEnd w:id="655"/>
      <w:bookmarkEnd w:id="656"/>
      <w:bookmarkEnd w:id="657"/>
      <w:bookmarkEnd w:id="658"/>
      <w:r>
        <w:rPr>
          <w:rFonts w:ascii="Times New Roman" w:eastAsia="黑体"/>
          <w:color w:val="auto"/>
          <w:szCs w:val="24"/>
        </w:rPr>
        <w:t>6</w:t>
      </w:r>
      <w:r>
        <w:rPr>
          <w:rFonts w:hint="eastAsia" w:ascii="Times New Roman" w:eastAsia="黑体"/>
          <w:color w:val="auto"/>
          <w:szCs w:val="24"/>
        </w:rPr>
        <w:t>：承包人主要施工管理人员表</w:t>
      </w:r>
      <w:bookmarkEnd w:id="651"/>
    </w:p>
    <w:p w14:paraId="7AF69B8E">
      <w:pPr>
        <w:spacing w:line="360" w:lineRule="auto"/>
        <w:jc w:val="center"/>
        <w:rPr>
          <w:rFonts w:cs="宋体"/>
          <w:color w:val="auto"/>
        </w:rPr>
      </w:pPr>
      <w:r>
        <w:rPr>
          <w:rFonts w:hint="eastAsia" w:cs="宋体"/>
          <w:color w:val="auto"/>
        </w:rPr>
        <w:t>承包人主要施工管理人员表</w:t>
      </w:r>
    </w:p>
    <w:tbl>
      <w:tblPr>
        <w:tblStyle w:val="5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566"/>
        <w:gridCol w:w="1049"/>
        <w:gridCol w:w="840"/>
        <w:gridCol w:w="840"/>
        <w:gridCol w:w="2142"/>
        <w:gridCol w:w="1925"/>
      </w:tblGrid>
      <w:tr w14:paraId="222DBE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tcBorders>
              <w:top w:val="single" w:color="auto" w:sz="12" w:space="0"/>
              <w:bottom w:val="double" w:color="auto" w:sz="6" w:space="0"/>
            </w:tcBorders>
            <w:vAlign w:val="center"/>
          </w:tcPr>
          <w:p w14:paraId="01F2EA08">
            <w:pPr>
              <w:keepNext/>
              <w:spacing w:line="360" w:lineRule="auto"/>
              <w:jc w:val="center"/>
              <w:rPr>
                <w:rFonts w:cs="宋体"/>
                <w:color w:val="auto"/>
                <w:szCs w:val="21"/>
              </w:rPr>
            </w:pPr>
            <w:r>
              <w:rPr>
                <w:rFonts w:hint="eastAsia" w:cs="宋体"/>
                <w:color w:val="auto"/>
                <w:szCs w:val="21"/>
              </w:rPr>
              <w:t>名称</w:t>
            </w:r>
          </w:p>
        </w:tc>
        <w:tc>
          <w:tcPr>
            <w:tcW w:w="627" w:type="pct"/>
            <w:tcBorders>
              <w:top w:val="single" w:color="auto" w:sz="12" w:space="0"/>
              <w:bottom w:val="double" w:color="auto" w:sz="6" w:space="0"/>
            </w:tcBorders>
            <w:vAlign w:val="center"/>
          </w:tcPr>
          <w:p w14:paraId="5036CA4B">
            <w:pPr>
              <w:keepNext/>
              <w:spacing w:line="360" w:lineRule="auto"/>
              <w:jc w:val="center"/>
              <w:rPr>
                <w:rFonts w:cs="宋体"/>
                <w:color w:val="auto"/>
                <w:szCs w:val="21"/>
              </w:rPr>
            </w:pPr>
            <w:r>
              <w:rPr>
                <w:rFonts w:hint="eastAsia" w:cs="宋体"/>
                <w:color w:val="auto"/>
                <w:szCs w:val="21"/>
              </w:rPr>
              <w:t>姓名</w:t>
            </w:r>
          </w:p>
        </w:tc>
        <w:tc>
          <w:tcPr>
            <w:tcW w:w="502" w:type="pct"/>
            <w:tcBorders>
              <w:top w:val="single" w:color="auto" w:sz="12" w:space="0"/>
              <w:bottom w:val="double" w:color="auto" w:sz="6" w:space="0"/>
            </w:tcBorders>
            <w:vAlign w:val="center"/>
          </w:tcPr>
          <w:p w14:paraId="3B4E6B10">
            <w:pPr>
              <w:keepNext/>
              <w:spacing w:line="360" w:lineRule="auto"/>
              <w:jc w:val="center"/>
              <w:rPr>
                <w:rFonts w:cs="宋体"/>
                <w:color w:val="auto"/>
                <w:szCs w:val="21"/>
              </w:rPr>
            </w:pPr>
            <w:r>
              <w:rPr>
                <w:rFonts w:hint="eastAsia" w:cs="宋体"/>
                <w:color w:val="auto"/>
                <w:szCs w:val="21"/>
              </w:rPr>
              <w:t>职务</w:t>
            </w:r>
          </w:p>
        </w:tc>
        <w:tc>
          <w:tcPr>
            <w:tcW w:w="502" w:type="pct"/>
            <w:tcBorders>
              <w:top w:val="single" w:color="auto" w:sz="12" w:space="0"/>
              <w:bottom w:val="double" w:color="auto" w:sz="6" w:space="0"/>
            </w:tcBorders>
            <w:vAlign w:val="center"/>
          </w:tcPr>
          <w:p w14:paraId="06D959CC">
            <w:pPr>
              <w:keepNext/>
              <w:spacing w:line="360" w:lineRule="auto"/>
              <w:jc w:val="center"/>
              <w:rPr>
                <w:rFonts w:cs="宋体"/>
                <w:color w:val="auto"/>
                <w:szCs w:val="21"/>
              </w:rPr>
            </w:pPr>
            <w:r>
              <w:rPr>
                <w:rFonts w:hint="eastAsia" w:cs="宋体"/>
                <w:color w:val="auto"/>
                <w:szCs w:val="21"/>
              </w:rPr>
              <w:t>职称</w:t>
            </w:r>
          </w:p>
        </w:tc>
        <w:tc>
          <w:tcPr>
            <w:tcW w:w="1281" w:type="pct"/>
            <w:tcBorders>
              <w:top w:val="single" w:color="auto" w:sz="12" w:space="0"/>
              <w:bottom w:val="double" w:color="auto" w:sz="6" w:space="0"/>
            </w:tcBorders>
            <w:vAlign w:val="center"/>
          </w:tcPr>
          <w:p w14:paraId="49855118">
            <w:pPr>
              <w:keepNext/>
              <w:spacing w:line="360" w:lineRule="auto"/>
              <w:jc w:val="center"/>
              <w:rPr>
                <w:rFonts w:cs="宋体"/>
                <w:color w:val="auto"/>
                <w:szCs w:val="21"/>
              </w:rPr>
            </w:pPr>
            <w:r>
              <w:rPr>
                <w:rFonts w:hint="eastAsia" w:cs="宋体"/>
                <w:color w:val="auto"/>
                <w:szCs w:val="21"/>
              </w:rPr>
              <w:t>主要资历、经验及承担过的项目</w:t>
            </w:r>
          </w:p>
        </w:tc>
        <w:tc>
          <w:tcPr>
            <w:tcW w:w="1151" w:type="pct"/>
            <w:tcBorders>
              <w:top w:val="single" w:color="auto" w:sz="12" w:space="0"/>
              <w:bottom w:val="double" w:color="auto" w:sz="6" w:space="0"/>
            </w:tcBorders>
            <w:vAlign w:val="center"/>
          </w:tcPr>
          <w:p w14:paraId="3CD9D59B">
            <w:pPr>
              <w:keepNext/>
              <w:spacing w:line="360" w:lineRule="auto"/>
              <w:jc w:val="center"/>
              <w:rPr>
                <w:rFonts w:cs="宋体"/>
                <w:color w:val="auto"/>
                <w:szCs w:val="21"/>
              </w:rPr>
            </w:pPr>
            <w:r>
              <w:rPr>
                <w:rFonts w:hint="eastAsia" w:cs="宋体"/>
                <w:color w:val="auto"/>
                <w:szCs w:val="21"/>
              </w:rPr>
              <w:t>身份证号码</w:t>
            </w:r>
          </w:p>
        </w:tc>
      </w:tr>
      <w:tr w14:paraId="320496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3849" w:type="pct"/>
            <w:gridSpan w:val="5"/>
            <w:tcBorders>
              <w:top w:val="double" w:color="auto" w:sz="6" w:space="0"/>
            </w:tcBorders>
            <w:vAlign w:val="center"/>
          </w:tcPr>
          <w:p w14:paraId="542AE4E7">
            <w:pPr>
              <w:keepNext/>
              <w:spacing w:line="360" w:lineRule="auto"/>
              <w:jc w:val="center"/>
              <w:rPr>
                <w:rFonts w:cs="宋体"/>
                <w:color w:val="auto"/>
                <w:szCs w:val="21"/>
              </w:rPr>
            </w:pPr>
            <w:r>
              <w:rPr>
                <w:rFonts w:hint="eastAsia" w:cs="宋体"/>
                <w:color w:val="auto"/>
                <w:szCs w:val="21"/>
              </w:rPr>
              <w:t>一、总部人员</w:t>
            </w:r>
          </w:p>
        </w:tc>
        <w:tc>
          <w:tcPr>
            <w:tcW w:w="1151" w:type="pct"/>
            <w:tcBorders>
              <w:top w:val="double" w:color="auto" w:sz="6" w:space="0"/>
            </w:tcBorders>
            <w:vAlign w:val="center"/>
          </w:tcPr>
          <w:p w14:paraId="4B12FB43">
            <w:pPr>
              <w:keepNext/>
              <w:spacing w:line="360" w:lineRule="auto"/>
              <w:jc w:val="center"/>
              <w:rPr>
                <w:rFonts w:cs="宋体"/>
                <w:color w:val="auto"/>
                <w:szCs w:val="21"/>
              </w:rPr>
            </w:pPr>
          </w:p>
        </w:tc>
      </w:tr>
      <w:tr w14:paraId="762365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tcBorders>
              <w:top w:val="nil"/>
              <w:bottom w:val="nil"/>
            </w:tcBorders>
            <w:vAlign w:val="center"/>
          </w:tcPr>
          <w:p w14:paraId="306B6D67">
            <w:pPr>
              <w:spacing w:line="360" w:lineRule="auto"/>
              <w:jc w:val="center"/>
              <w:rPr>
                <w:rFonts w:cs="宋体"/>
                <w:color w:val="auto"/>
                <w:szCs w:val="21"/>
              </w:rPr>
            </w:pPr>
            <w:r>
              <w:rPr>
                <w:rFonts w:hint="eastAsia" w:cs="宋体"/>
                <w:color w:val="auto"/>
                <w:szCs w:val="21"/>
              </w:rPr>
              <w:t>项目主管</w:t>
            </w:r>
          </w:p>
        </w:tc>
        <w:tc>
          <w:tcPr>
            <w:tcW w:w="627" w:type="pct"/>
            <w:tcBorders>
              <w:top w:val="nil"/>
            </w:tcBorders>
            <w:vAlign w:val="center"/>
          </w:tcPr>
          <w:p w14:paraId="7B2614BB">
            <w:pPr>
              <w:keepNext/>
              <w:spacing w:line="360" w:lineRule="auto"/>
              <w:jc w:val="center"/>
              <w:rPr>
                <w:rFonts w:cs="宋体"/>
                <w:color w:val="auto"/>
                <w:szCs w:val="21"/>
              </w:rPr>
            </w:pPr>
          </w:p>
        </w:tc>
        <w:tc>
          <w:tcPr>
            <w:tcW w:w="502" w:type="pct"/>
            <w:tcBorders>
              <w:top w:val="nil"/>
            </w:tcBorders>
            <w:vAlign w:val="center"/>
          </w:tcPr>
          <w:p w14:paraId="3490902F">
            <w:pPr>
              <w:keepNext/>
              <w:spacing w:line="360" w:lineRule="auto"/>
              <w:jc w:val="center"/>
              <w:rPr>
                <w:rFonts w:cs="宋体"/>
                <w:color w:val="auto"/>
                <w:szCs w:val="21"/>
              </w:rPr>
            </w:pPr>
          </w:p>
        </w:tc>
        <w:tc>
          <w:tcPr>
            <w:tcW w:w="502" w:type="pct"/>
            <w:tcBorders>
              <w:top w:val="nil"/>
            </w:tcBorders>
            <w:vAlign w:val="center"/>
          </w:tcPr>
          <w:p w14:paraId="4AF34BF8">
            <w:pPr>
              <w:keepNext/>
              <w:spacing w:line="360" w:lineRule="auto"/>
              <w:jc w:val="center"/>
              <w:rPr>
                <w:rFonts w:cs="宋体"/>
                <w:color w:val="auto"/>
                <w:szCs w:val="21"/>
              </w:rPr>
            </w:pPr>
          </w:p>
        </w:tc>
        <w:tc>
          <w:tcPr>
            <w:tcW w:w="1281" w:type="pct"/>
            <w:tcBorders>
              <w:top w:val="nil"/>
            </w:tcBorders>
            <w:vAlign w:val="center"/>
          </w:tcPr>
          <w:p w14:paraId="6A80DAC4">
            <w:pPr>
              <w:keepNext/>
              <w:spacing w:line="360" w:lineRule="auto"/>
              <w:jc w:val="center"/>
              <w:rPr>
                <w:rFonts w:cs="宋体"/>
                <w:color w:val="auto"/>
                <w:szCs w:val="21"/>
              </w:rPr>
            </w:pPr>
          </w:p>
        </w:tc>
        <w:tc>
          <w:tcPr>
            <w:tcW w:w="1151" w:type="pct"/>
            <w:tcBorders>
              <w:top w:val="nil"/>
            </w:tcBorders>
            <w:vAlign w:val="center"/>
          </w:tcPr>
          <w:p w14:paraId="6F05FF55">
            <w:pPr>
              <w:keepNext/>
              <w:spacing w:line="360" w:lineRule="auto"/>
              <w:jc w:val="center"/>
              <w:rPr>
                <w:rFonts w:cs="宋体"/>
                <w:color w:val="auto"/>
                <w:szCs w:val="21"/>
              </w:rPr>
            </w:pPr>
          </w:p>
        </w:tc>
      </w:tr>
      <w:tr w14:paraId="70127C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restart"/>
            <w:vAlign w:val="center"/>
          </w:tcPr>
          <w:p w14:paraId="3456C60B">
            <w:pPr>
              <w:spacing w:line="360" w:lineRule="auto"/>
              <w:jc w:val="center"/>
              <w:rPr>
                <w:rFonts w:cs="宋体"/>
                <w:color w:val="auto"/>
                <w:szCs w:val="21"/>
              </w:rPr>
            </w:pPr>
            <w:r>
              <w:rPr>
                <w:rFonts w:hint="eastAsia" w:cs="宋体"/>
                <w:color w:val="auto"/>
                <w:szCs w:val="21"/>
              </w:rPr>
              <w:t>其他人员</w:t>
            </w:r>
          </w:p>
        </w:tc>
        <w:tc>
          <w:tcPr>
            <w:tcW w:w="627" w:type="pct"/>
            <w:vAlign w:val="center"/>
          </w:tcPr>
          <w:p w14:paraId="73A2F602">
            <w:pPr>
              <w:keepNext/>
              <w:spacing w:line="360" w:lineRule="auto"/>
              <w:jc w:val="center"/>
              <w:rPr>
                <w:rFonts w:cs="宋体"/>
                <w:color w:val="auto"/>
                <w:szCs w:val="21"/>
              </w:rPr>
            </w:pPr>
          </w:p>
        </w:tc>
        <w:tc>
          <w:tcPr>
            <w:tcW w:w="502" w:type="pct"/>
            <w:vAlign w:val="center"/>
          </w:tcPr>
          <w:p w14:paraId="26929C34">
            <w:pPr>
              <w:keepNext/>
              <w:spacing w:line="360" w:lineRule="auto"/>
              <w:jc w:val="center"/>
              <w:rPr>
                <w:rFonts w:cs="宋体"/>
                <w:color w:val="auto"/>
                <w:szCs w:val="21"/>
              </w:rPr>
            </w:pPr>
          </w:p>
        </w:tc>
        <w:tc>
          <w:tcPr>
            <w:tcW w:w="502" w:type="pct"/>
            <w:vAlign w:val="center"/>
          </w:tcPr>
          <w:p w14:paraId="475BA9A1">
            <w:pPr>
              <w:keepNext/>
              <w:spacing w:line="360" w:lineRule="auto"/>
              <w:jc w:val="center"/>
              <w:rPr>
                <w:rFonts w:cs="宋体"/>
                <w:color w:val="auto"/>
                <w:szCs w:val="21"/>
              </w:rPr>
            </w:pPr>
          </w:p>
        </w:tc>
        <w:tc>
          <w:tcPr>
            <w:tcW w:w="1281" w:type="pct"/>
            <w:vAlign w:val="center"/>
          </w:tcPr>
          <w:p w14:paraId="692F20A1">
            <w:pPr>
              <w:keepNext/>
              <w:spacing w:line="360" w:lineRule="auto"/>
              <w:jc w:val="center"/>
              <w:rPr>
                <w:rFonts w:cs="宋体"/>
                <w:color w:val="auto"/>
                <w:szCs w:val="21"/>
              </w:rPr>
            </w:pPr>
          </w:p>
        </w:tc>
        <w:tc>
          <w:tcPr>
            <w:tcW w:w="1151" w:type="pct"/>
            <w:vAlign w:val="center"/>
          </w:tcPr>
          <w:p w14:paraId="46FC986F">
            <w:pPr>
              <w:keepNext/>
              <w:spacing w:line="360" w:lineRule="auto"/>
              <w:jc w:val="center"/>
              <w:rPr>
                <w:rFonts w:cs="宋体"/>
                <w:color w:val="auto"/>
                <w:szCs w:val="21"/>
              </w:rPr>
            </w:pPr>
          </w:p>
        </w:tc>
      </w:tr>
      <w:tr w14:paraId="785EE0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4845EB11">
            <w:pPr>
              <w:spacing w:line="360" w:lineRule="auto"/>
              <w:jc w:val="center"/>
              <w:rPr>
                <w:rFonts w:cs="宋体"/>
                <w:color w:val="auto"/>
                <w:szCs w:val="21"/>
              </w:rPr>
            </w:pPr>
          </w:p>
        </w:tc>
        <w:tc>
          <w:tcPr>
            <w:tcW w:w="627" w:type="pct"/>
            <w:vAlign w:val="center"/>
          </w:tcPr>
          <w:p w14:paraId="02DBD71F">
            <w:pPr>
              <w:keepNext/>
              <w:spacing w:line="360" w:lineRule="auto"/>
              <w:jc w:val="center"/>
              <w:rPr>
                <w:rFonts w:cs="宋体"/>
                <w:color w:val="auto"/>
                <w:szCs w:val="21"/>
              </w:rPr>
            </w:pPr>
          </w:p>
        </w:tc>
        <w:tc>
          <w:tcPr>
            <w:tcW w:w="502" w:type="pct"/>
            <w:vAlign w:val="center"/>
          </w:tcPr>
          <w:p w14:paraId="64AA781C">
            <w:pPr>
              <w:keepNext/>
              <w:spacing w:line="360" w:lineRule="auto"/>
              <w:jc w:val="center"/>
              <w:rPr>
                <w:rFonts w:cs="宋体"/>
                <w:color w:val="auto"/>
                <w:szCs w:val="21"/>
              </w:rPr>
            </w:pPr>
          </w:p>
        </w:tc>
        <w:tc>
          <w:tcPr>
            <w:tcW w:w="502" w:type="pct"/>
            <w:vAlign w:val="center"/>
          </w:tcPr>
          <w:p w14:paraId="3579E91F">
            <w:pPr>
              <w:keepNext/>
              <w:spacing w:line="360" w:lineRule="auto"/>
              <w:jc w:val="center"/>
              <w:rPr>
                <w:rFonts w:cs="宋体"/>
                <w:color w:val="auto"/>
                <w:szCs w:val="21"/>
              </w:rPr>
            </w:pPr>
          </w:p>
        </w:tc>
        <w:tc>
          <w:tcPr>
            <w:tcW w:w="1281" w:type="pct"/>
            <w:vAlign w:val="center"/>
          </w:tcPr>
          <w:p w14:paraId="51C74994">
            <w:pPr>
              <w:keepNext/>
              <w:spacing w:line="360" w:lineRule="auto"/>
              <w:jc w:val="center"/>
              <w:rPr>
                <w:rFonts w:cs="宋体"/>
                <w:color w:val="auto"/>
                <w:szCs w:val="21"/>
              </w:rPr>
            </w:pPr>
          </w:p>
        </w:tc>
        <w:tc>
          <w:tcPr>
            <w:tcW w:w="1151" w:type="pct"/>
            <w:vAlign w:val="center"/>
          </w:tcPr>
          <w:p w14:paraId="6B68B8C6">
            <w:pPr>
              <w:keepNext/>
              <w:spacing w:line="360" w:lineRule="auto"/>
              <w:jc w:val="center"/>
              <w:rPr>
                <w:rFonts w:cs="宋体"/>
                <w:color w:val="auto"/>
                <w:szCs w:val="21"/>
              </w:rPr>
            </w:pPr>
          </w:p>
        </w:tc>
      </w:tr>
      <w:tr w14:paraId="7B9536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tcBorders>
              <w:bottom w:val="nil"/>
            </w:tcBorders>
            <w:vAlign w:val="center"/>
          </w:tcPr>
          <w:p w14:paraId="1E364437">
            <w:pPr>
              <w:spacing w:line="360" w:lineRule="auto"/>
              <w:jc w:val="center"/>
              <w:rPr>
                <w:rFonts w:cs="宋体"/>
                <w:color w:val="auto"/>
                <w:szCs w:val="21"/>
              </w:rPr>
            </w:pPr>
          </w:p>
        </w:tc>
        <w:tc>
          <w:tcPr>
            <w:tcW w:w="627" w:type="pct"/>
            <w:vAlign w:val="center"/>
          </w:tcPr>
          <w:p w14:paraId="129CED2C">
            <w:pPr>
              <w:keepNext/>
              <w:spacing w:line="360" w:lineRule="auto"/>
              <w:jc w:val="center"/>
              <w:rPr>
                <w:rFonts w:cs="宋体"/>
                <w:color w:val="auto"/>
                <w:szCs w:val="21"/>
              </w:rPr>
            </w:pPr>
          </w:p>
        </w:tc>
        <w:tc>
          <w:tcPr>
            <w:tcW w:w="502" w:type="pct"/>
            <w:vAlign w:val="center"/>
          </w:tcPr>
          <w:p w14:paraId="1472AD1E">
            <w:pPr>
              <w:keepNext/>
              <w:spacing w:line="360" w:lineRule="auto"/>
              <w:jc w:val="center"/>
              <w:rPr>
                <w:rFonts w:cs="宋体"/>
                <w:color w:val="auto"/>
                <w:szCs w:val="21"/>
              </w:rPr>
            </w:pPr>
          </w:p>
        </w:tc>
        <w:tc>
          <w:tcPr>
            <w:tcW w:w="502" w:type="pct"/>
            <w:vAlign w:val="center"/>
          </w:tcPr>
          <w:p w14:paraId="036A5FA0">
            <w:pPr>
              <w:keepNext/>
              <w:spacing w:line="360" w:lineRule="auto"/>
              <w:jc w:val="center"/>
              <w:rPr>
                <w:rFonts w:cs="宋体"/>
                <w:color w:val="auto"/>
                <w:szCs w:val="21"/>
              </w:rPr>
            </w:pPr>
          </w:p>
        </w:tc>
        <w:tc>
          <w:tcPr>
            <w:tcW w:w="1281" w:type="pct"/>
            <w:vAlign w:val="center"/>
          </w:tcPr>
          <w:p w14:paraId="2FA88EF7">
            <w:pPr>
              <w:keepNext/>
              <w:spacing w:line="360" w:lineRule="auto"/>
              <w:jc w:val="center"/>
              <w:rPr>
                <w:rFonts w:cs="宋体"/>
                <w:color w:val="auto"/>
                <w:szCs w:val="21"/>
              </w:rPr>
            </w:pPr>
          </w:p>
        </w:tc>
        <w:tc>
          <w:tcPr>
            <w:tcW w:w="1151" w:type="pct"/>
            <w:vAlign w:val="center"/>
          </w:tcPr>
          <w:p w14:paraId="44FF6F82">
            <w:pPr>
              <w:keepNext/>
              <w:spacing w:line="360" w:lineRule="auto"/>
              <w:jc w:val="center"/>
              <w:rPr>
                <w:rFonts w:cs="宋体"/>
                <w:color w:val="auto"/>
                <w:szCs w:val="21"/>
              </w:rPr>
            </w:pPr>
          </w:p>
        </w:tc>
      </w:tr>
      <w:tr w14:paraId="13B0BD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3849" w:type="pct"/>
            <w:gridSpan w:val="5"/>
            <w:vAlign w:val="center"/>
          </w:tcPr>
          <w:p w14:paraId="491AFE63">
            <w:pPr>
              <w:keepNext/>
              <w:spacing w:line="360" w:lineRule="auto"/>
              <w:jc w:val="center"/>
              <w:rPr>
                <w:rFonts w:cs="宋体"/>
                <w:color w:val="auto"/>
                <w:szCs w:val="21"/>
              </w:rPr>
            </w:pPr>
            <w:r>
              <w:rPr>
                <w:rFonts w:hint="eastAsia" w:cs="宋体"/>
                <w:color w:val="auto"/>
                <w:szCs w:val="21"/>
              </w:rPr>
              <w:t>二、现场人员</w:t>
            </w:r>
          </w:p>
        </w:tc>
        <w:tc>
          <w:tcPr>
            <w:tcW w:w="1151" w:type="pct"/>
            <w:vAlign w:val="center"/>
          </w:tcPr>
          <w:p w14:paraId="1FB05290">
            <w:pPr>
              <w:keepNext/>
              <w:spacing w:line="360" w:lineRule="auto"/>
              <w:jc w:val="center"/>
              <w:rPr>
                <w:rFonts w:cs="宋体"/>
                <w:color w:val="auto"/>
                <w:szCs w:val="21"/>
              </w:rPr>
            </w:pPr>
          </w:p>
        </w:tc>
      </w:tr>
      <w:tr w14:paraId="703CD1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49E64EAF">
            <w:pPr>
              <w:spacing w:line="360" w:lineRule="auto"/>
              <w:jc w:val="center"/>
              <w:rPr>
                <w:rFonts w:cs="宋体"/>
                <w:color w:val="auto"/>
                <w:szCs w:val="21"/>
              </w:rPr>
            </w:pPr>
            <w:r>
              <w:rPr>
                <w:rFonts w:hint="eastAsia" w:cs="宋体"/>
                <w:color w:val="auto"/>
                <w:szCs w:val="21"/>
              </w:rPr>
              <w:t>项目经理</w:t>
            </w:r>
          </w:p>
        </w:tc>
        <w:tc>
          <w:tcPr>
            <w:tcW w:w="627" w:type="pct"/>
            <w:vAlign w:val="center"/>
          </w:tcPr>
          <w:p w14:paraId="552E6C73">
            <w:pPr>
              <w:keepNext/>
              <w:spacing w:line="360" w:lineRule="auto"/>
              <w:jc w:val="center"/>
              <w:rPr>
                <w:rFonts w:cs="宋体"/>
                <w:color w:val="auto"/>
                <w:szCs w:val="21"/>
              </w:rPr>
            </w:pPr>
          </w:p>
        </w:tc>
        <w:tc>
          <w:tcPr>
            <w:tcW w:w="502" w:type="pct"/>
            <w:vAlign w:val="center"/>
          </w:tcPr>
          <w:p w14:paraId="625412CA">
            <w:pPr>
              <w:keepNext/>
              <w:spacing w:line="360" w:lineRule="auto"/>
              <w:jc w:val="center"/>
              <w:rPr>
                <w:rFonts w:cs="宋体"/>
                <w:color w:val="auto"/>
                <w:szCs w:val="21"/>
              </w:rPr>
            </w:pPr>
          </w:p>
        </w:tc>
        <w:tc>
          <w:tcPr>
            <w:tcW w:w="502" w:type="pct"/>
            <w:vAlign w:val="center"/>
          </w:tcPr>
          <w:p w14:paraId="2654A6BE">
            <w:pPr>
              <w:keepNext/>
              <w:spacing w:line="360" w:lineRule="auto"/>
              <w:jc w:val="center"/>
              <w:rPr>
                <w:rFonts w:cs="宋体"/>
                <w:color w:val="auto"/>
                <w:szCs w:val="21"/>
              </w:rPr>
            </w:pPr>
          </w:p>
        </w:tc>
        <w:tc>
          <w:tcPr>
            <w:tcW w:w="1281" w:type="pct"/>
            <w:vAlign w:val="center"/>
          </w:tcPr>
          <w:p w14:paraId="63E4495B">
            <w:pPr>
              <w:keepNext/>
              <w:spacing w:line="360" w:lineRule="auto"/>
              <w:jc w:val="center"/>
              <w:rPr>
                <w:rFonts w:cs="宋体"/>
                <w:color w:val="auto"/>
                <w:szCs w:val="21"/>
              </w:rPr>
            </w:pPr>
          </w:p>
        </w:tc>
        <w:tc>
          <w:tcPr>
            <w:tcW w:w="1151" w:type="pct"/>
            <w:vAlign w:val="center"/>
          </w:tcPr>
          <w:p w14:paraId="20EDAC32">
            <w:pPr>
              <w:keepNext/>
              <w:spacing w:line="360" w:lineRule="auto"/>
              <w:jc w:val="center"/>
              <w:rPr>
                <w:rFonts w:cs="宋体"/>
                <w:color w:val="auto"/>
                <w:szCs w:val="21"/>
              </w:rPr>
            </w:pPr>
          </w:p>
        </w:tc>
      </w:tr>
      <w:tr w14:paraId="3DB825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081B44A3">
            <w:pPr>
              <w:spacing w:line="360" w:lineRule="auto"/>
              <w:jc w:val="center"/>
              <w:rPr>
                <w:rFonts w:cs="宋体"/>
                <w:color w:val="auto"/>
                <w:szCs w:val="21"/>
              </w:rPr>
            </w:pPr>
            <w:r>
              <w:rPr>
                <w:rFonts w:hint="eastAsia" w:cs="宋体"/>
                <w:color w:val="auto"/>
                <w:szCs w:val="21"/>
              </w:rPr>
              <w:t>项目副经理</w:t>
            </w:r>
          </w:p>
        </w:tc>
        <w:tc>
          <w:tcPr>
            <w:tcW w:w="627" w:type="pct"/>
            <w:vAlign w:val="center"/>
          </w:tcPr>
          <w:p w14:paraId="3CB41818">
            <w:pPr>
              <w:keepNext/>
              <w:spacing w:line="360" w:lineRule="auto"/>
              <w:jc w:val="center"/>
              <w:rPr>
                <w:rFonts w:cs="宋体"/>
                <w:color w:val="auto"/>
                <w:szCs w:val="21"/>
              </w:rPr>
            </w:pPr>
          </w:p>
        </w:tc>
        <w:tc>
          <w:tcPr>
            <w:tcW w:w="502" w:type="pct"/>
            <w:vAlign w:val="center"/>
          </w:tcPr>
          <w:p w14:paraId="48AF14D9">
            <w:pPr>
              <w:keepNext/>
              <w:spacing w:line="360" w:lineRule="auto"/>
              <w:jc w:val="center"/>
              <w:rPr>
                <w:rFonts w:cs="宋体"/>
                <w:color w:val="auto"/>
                <w:szCs w:val="21"/>
              </w:rPr>
            </w:pPr>
          </w:p>
        </w:tc>
        <w:tc>
          <w:tcPr>
            <w:tcW w:w="502" w:type="pct"/>
            <w:vAlign w:val="center"/>
          </w:tcPr>
          <w:p w14:paraId="2E277D89">
            <w:pPr>
              <w:keepNext/>
              <w:spacing w:line="360" w:lineRule="auto"/>
              <w:jc w:val="center"/>
              <w:rPr>
                <w:rFonts w:cs="宋体"/>
                <w:color w:val="auto"/>
                <w:szCs w:val="21"/>
              </w:rPr>
            </w:pPr>
          </w:p>
        </w:tc>
        <w:tc>
          <w:tcPr>
            <w:tcW w:w="1281" w:type="pct"/>
            <w:vAlign w:val="center"/>
          </w:tcPr>
          <w:p w14:paraId="19EAE98B">
            <w:pPr>
              <w:keepNext/>
              <w:spacing w:line="360" w:lineRule="auto"/>
              <w:jc w:val="center"/>
              <w:rPr>
                <w:rFonts w:cs="宋体"/>
                <w:color w:val="auto"/>
                <w:szCs w:val="21"/>
              </w:rPr>
            </w:pPr>
          </w:p>
        </w:tc>
        <w:tc>
          <w:tcPr>
            <w:tcW w:w="1151" w:type="pct"/>
            <w:vAlign w:val="center"/>
          </w:tcPr>
          <w:p w14:paraId="438838E0">
            <w:pPr>
              <w:keepNext/>
              <w:spacing w:line="360" w:lineRule="auto"/>
              <w:jc w:val="center"/>
              <w:rPr>
                <w:rFonts w:cs="宋体"/>
                <w:color w:val="auto"/>
                <w:szCs w:val="21"/>
              </w:rPr>
            </w:pPr>
          </w:p>
        </w:tc>
      </w:tr>
      <w:tr w14:paraId="0284C4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22054E7F">
            <w:pPr>
              <w:spacing w:line="360" w:lineRule="auto"/>
              <w:jc w:val="center"/>
              <w:rPr>
                <w:rFonts w:cs="宋体"/>
                <w:color w:val="auto"/>
                <w:szCs w:val="21"/>
              </w:rPr>
            </w:pPr>
            <w:r>
              <w:rPr>
                <w:rFonts w:hint="eastAsia" w:cs="宋体"/>
                <w:color w:val="auto"/>
                <w:szCs w:val="21"/>
              </w:rPr>
              <w:t>项目技术负责人</w:t>
            </w:r>
          </w:p>
        </w:tc>
        <w:tc>
          <w:tcPr>
            <w:tcW w:w="627" w:type="pct"/>
            <w:vAlign w:val="center"/>
          </w:tcPr>
          <w:p w14:paraId="417F08F1">
            <w:pPr>
              <w:keepNext/>
              <w:spacing w:line="360" w:lineRule="auto"/>
              <w:jc w:val="center"/>
              <w:rPr>
                <w:rFonts w:cs="宋体"/>
                <w:color w:val="auto"/>
                <w:szCs w:val="21"/>
              </w:rPr>
            </w:pPr>
          </w:p>
        </w:tc>
        <w:tc>
          <w:tcPr>
            <w:tcW w:w="502" w:type="pct"/>
            <w:vAlign w:val="center"/>
          </w:tcPr>
          <w:p w14:paraId="23C02F35">
            <w:pPr>
              <w:keepNext/>
              <w:spacing w:line="360" w:lineRule="auto"/>
              <w:jc w:val="center"/>
              <w:rPr>
                <w:rFonts w:cs="宋体"/>
                <w:color w:val="auto"/>
                <w:szCs w:val="21"/>
              </w:rPr>
            </w:pPr>
          </w:p>
        </w:tc>
        <w:tc>
          <w:tcPr>
            <w:tcW w:w="502" w:type="pct"/>
            <w:vAlign w:val="center"/>
          </w:tcPr>
          <w:p w14:paraId="5FF6991E">
            <w:pPr>
              <w:keepNext/>
              <w:spacing w:line="360" w:lineRule="auto"/>
              <w:jc w:val="center"/>
              <w:rPr>
                <w:rFonts w:cs="宋体"/>
                <w:color w:val="auto"/>
                <w:szCs w:val="21"/>
              </w:rPr>
            </w:pPr>
          </w:p>
        </w:tc>
        <w:tc>
          <w:tcPr>
            <w:tcW w:w="1281" w:type="pct"/>
            <w:vAlign w:val="center"/>
          </w:tcPr>
          <w:p w14:paraId="03751343">
            <w:pPr>
              <w:keepNext/>
              <w:spacing w:line="360" w:lineRule="auto"/>
              <w:jc w:val="center"/>
              <w:rPr>
                <w:rFonts w:cs="宋体"/>
                <w:color w:val="auto"/>
                <w:szCs w:val="21"/>
              </w:rPr>
            </w:pPr>
          </w:p>
        </w:tc>
        <w:tc>
          <w:tcPr>
            <w:tcW w:w="1151" w:type="pct"/>
            <w:vAlign w:val="center"/>
          </w:tcPr>
          <w:p w14:paraId="3B562C5B">
            <w:pPr>
              <w:keepNext/>
              <w:spacing w:line="360" w:lineRule="auto"/>
              <w:jc w:val="center"/>
              <w:rPr>
                <w:rFonts w:cs="宋体"/>
                <w:color w:val="auto"/>
                <w:szCs w:val="21"/>
              </w:rPr>
            </w:pPr>
          </w:p>
        </w:tc>
      </w:tr>
      <w:tr w14:paraId="165230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374FEA0A">
            <w:pPr>
              <w:spacing w:line="360" w:lineRule="auto"/>
              <w:jc w:val="center"/>
              <w:rPr>
                <w:rFonts w:cs="宋体"/>
                <w:color w:val="auto"/>
                <w:szCs w:val="21"/>
              </w:rPr>
            </w:pPr>
            <w:r>
              <w:rPr>
                <w:rFonts w:hint="eastAsia" w:cs="宋体"/>
                <w:color w:val="auto"/>
                <w:szCs w:val="21"/>
              </w:rPr>
              <w:t>施工员</w:t>
            </w:r>
          </w:p>
        </w:tc>
        <w:tc>
          <w:tcPr>
            <w:tcW w:w="627" w:type="pct"/>
            <w:vAlign w:val="center"/>
          </w:tcPr>
          <w:p w14:paraId="31A39485">
            <w:pPr>
              <w:keepNext/>
              <w:spacing w:line="360" w:lineRule="auto"/>
              <w:jc w:val="center"/>
              <w:rPr>
                <w:rFonts w:cs="宋体"/>
                <w:color w:val="auto"/>
                <w:szCs w:val="21"/>
              </w:rPr>
            </w:pPr>
          </w:p>
        </w:tc>
        <w:tc>
          <w:tcPr>
            <w:tcW w:w="502" w:type="pct"/>
            <w:vAlign w:val="center"/>
          </w:tcPr>
          <w:p w14:paraId="28FF102D">
            <w:pPr>
              <w:keepNext/>
              <w:spacing w:line="360" w:lineRule="auto"/>
              <w:jc w:val="center"/>
              <w:rPr>
                <w:rFonts w:cs="宋体"/>
                <w:color w:val="auto"/>
                <w:szCs w:val="21"/>
              </w:rPr>
            </w:pPr>
          </w:p>
        </w:tc>
        <w:tc>
          <w:tcPr>
            <w:tcW w:w="502" w:type="pct"/>
            <w:vAlign w:val="center"/>
          </w:tcPr>
          <w:p w14:paraId="75E751C8">
            <w:pPr>
              <w:keepNext/>
              <w:spacing w:line="360" w:lineRule="auto"/>
              <w:jc w:val="center"/>
              <w:rPr>
                <w:rFonts w:cs="宋体"/>
                <w:color w:val="auto"/>
                <w:szCs w:val="21"/>
              </w:rPr>
            </w:pPr>
          </w:p>
        </w:tc>
        <w:tc>
          <w:tcPr>
            <w:tcW w:w="1281" w:type="pct"/>
            <w:vAlign w:val="center"/>
          </w:tcPr>
          <w:p w14:paraId="0F2C7871">
            <w:pPr>
              <w:keepNext/>
              <w:spacing w:line="360" w:lineRule="auto"/>
              <w:jc w:val="center"/>
              <w:rPr>
                <w:rFonts w:cs="宋体"/>
                <w:color w:val="auto"/>
                <w:szCs w:val="21"/>
              </w:rPr>
            </w:pPr>
          </w:p>
        </w:tc>
        <w:tc>
          <w:tcPr>
            <w:tcW w:w="1151" w:type="pct"/>
            <w:vAlign w:val="center"/>
          </w:tcPr>
          <w:p w14:paraId="6631B104">
            <w:pPr>
              <w:keepNext/>
              <w:spacing w:line="360" w:lineRule="auto"/>
              <w:jc w:val="center"/>
              <w:rPr>
                <w:rFonts w:cs="宋体"/>
                <w:color w:val="auto"/>
                <w:szCs w:val="21"/>
              </w:rPr>
            </w:pPr>
          </w:p>
        </w:tc>
      </w:tr>
      <w:tr w14:paraId="41CA08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40C21CB5">
            <w:pPr>
              <w:spacing w:line="360" w:lineRule="auto"/>
              <w:jc w:val="center"/>
              <w:rPr>
                <w:rFonts w:cs="宋体"/>
                <w:color w:val="auto"/>
                <w:szCs w:val="21"/>
              </w:rPr>
            </w:pPr>
            <w:r>
              <w:rPr>
                <w:rFonts w:hint="eastAsia" w:cs="宋体"/>
                <w:color w:val="auto"/>
                <w:szCs w:val="21"/>
              </w:rPr>
              <w:t>质检员（质量员）</w:t>
            </w:r>
          </w:p>
        </w:tc>
        <w:tc>
          <w:tcPr>
            <w:tcW w:w="627" w:type="pct"/>
            <w:vAlign w:val="center"/>
          </w:tcPr>
          <w:p w14:paraId="65F63589">
            <w:pPr>
              <w:keepNext/>
              <w:spacing w:line="360" w:lineRule="auto"/>
              <w:jc w:val="center"/>
              <w:rPr>
                <w:rFonts w:cs="宋体"/>
                <w:color w:val="auto"/>
                <w:szCs w:val="21"/>
              </w:rPr>
            </w:pPr>
          </w:p>
        </w:tc>
        <w:tc>
          <w:tcPr>
            <w:tcW w:w="502" w:type="pct"/>
            <w:vAlign w:val="center"/>
          </w:tcPr>
          <w:p w14:paraId="08EC0A0A">
            <w:pPr>
              <w:keepNext/>
              <w:spacing w:line="360" w:lineRule="auto"/>
              <w:jc w:val="center"/>
              <w:rPr>
                <w:rFonts w:cs="宋体"/>
                <w:color w:val="auto"/>
                <w:szCs w:val="21"/>
              </w:rPr>
            </w:pPr>
          </w:p>
        </w:tc>
        <w:tc>
          <w:tcPr>
            <w:tcW w:w="502" w:type="pct"/>
            <w:vAlign w:val="center"/>
          </w:tcPr>
          <w:p w14:paraId="251D8A8E">
            <w:pPr>
              <w:keepNext/>
              <w:spacing w:line="360" w:lineRule="auto"/>
              <w:jc w:val="center"/>
              <w:rPr>
                <w:rFonts w:cs="宋体"/>
                <w:color w:val="auto"/>
                <w:szCs w:val="21"/>
              </w:rPr>
            </w:pPr>
          </w:p>
        </w:tc>
        <w:tc>
          <w:tcPr>
            <w:tcW w:w="1281" w:type="pct"/>
            <w:vAlign w:val="center"/>
          </w:tcPr>
          <w:p w14:paraId="5CEB57C9">
            <w:pPr>
              <w:keepNext/>
              <w:spacing w:line="360" w:lineRule="auto"/>
              <w:jc w:val="center"/>
              <w:rPr>
                <w:rFonts w:cs="宋体"/>
                <w:color w:val="auto"/>
                <w:szCs w:val="21"/>
              </w:rPr>
            </w:pPr>
          </w:p>
        </w:tc>
        <w:tc>
          <w:tcPr>
            <w:tcW w:w="1151" w:type="pct"/>
            <w:vAlign w:val="center"/>
          </w:tcPr>
          <w:p w14:paraId="4A1B7FC7">
            <w:pPr>
              <w:keepNext/>
              <w:spacing w:line="360" w:lineRule="auto"/>
              <w:jc w:val="center"/>
              <w:rPr>
                <w:rFonts w:cs="宋体"/>
                <w:color w:val="auto"/>
                <w:szCs w:val="21"/>
              </w:rPr>
            </w:pPr>
          </w:p>
        </w:tc>
      </w:tr>
      <w:tr w14:paraId="2BCAAB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368A559A">
            <w:pPr>
              <w:spacing w:line="360" w:lineRule="auto"/>
              <w:jc w:val="center"/>
              <w:rPr>
                <w:rFonts w:cs="宋体"/>
                <w:color w:val="auto"/>
                <w:szCs w:val="21"/>
              </w:rPr>
            </w:pPr>
            <w:r>
              <w:rPr>
                <w:rFonts w:hint="eastAsia" w:cs="宋体"/>
                <w:color w:val="auto"/>
                <w:szCs w:val="21"/>
              </w:rPr>
              <w:t>安全员</w:t>
            </w:r>
          </w:p>
        </w:tc>
        <w:tc>
          <w:tcPr>
            <w:tcW w:w="627" w:type="pct"/>
            <w:vAlign w:val="center"/>
          </w:tcPr>
          <w:p w14:paraId="7315527F">
            <w:pPr>
              <w:keepNext/>
              <w:spacing w:line="360" w:lineRule="auto"/>
              <w:jc w:val="center"/>
              <w:rPr>
                <w:rFonts w:cs="宋体"/>
                <w:color w:val="auto"/>
                <w:szCs w:val="21"/>
              </w:rPr>
            </w:pPr>
          </w:p>
        </w:tc>
        <w:tc>
          <w:tcPr>
            <w:tcW w:w="502" w:type="pct"/>
            <w:vAlign w:val="center"/>
          </w:tcPr>
          <w:p w14:paraId="3BEF5A57">
            <w:pPr>
              <w:keepNext/>
              <w:spacing w:line="360" w:lineRule="auto"/>
              <w:jc w:val="center"/>
              <w:rPr>
                <w:rFonts w:cs="宋体"/>
                <w:color w:val="auto"/>
                <w:szCs w:val="21"/>
              </w:rPr>
            </w:pPr>
          </w:p>
        </w:tc>
        <w:tc>
          <w:tcPr>
            <w:tcW w:w="502" w:type="pct"/>
            <w:vAlign w:val="center"/>
          </w:tcPr>
          <w:p w14:paraId="4AE72E4C">
            <w:pPr>
              <w:keepNext/>
              <w:spacing w:line="360" w:lineRule="auto"/>
              <w:jc w:val="center"/>
              <w:rPr>
                <w:rFonts w:cs="宋体"/>
                <w:color w:val="auto"/>
                <w:szCs w:val="21"/>
              </w:rPr>
            </w:pPr>
          </w:p>
        </w:tc>
        <w:tc>
          <w:tcPr>
            <w:tcW w:w="1281" w:type="pct"/>
            <w:vAlign w:val="center"/>
          </w:tcPr>
          <w:p w14:paraId="428C0CB4">
            <w:pPr>
              <w:keepNext/>
              <w:spacing w:line="360" w:lineRule="auto"/>
              <w:jc w:val="center"/>
              <w:rPr>
                <w:rFonts w:cs="宋体"/>
                <w:color w:val="auto"/>
                <w:szCs w:val="21"/>
              </w:rPr>
            </w:pPr>
          </w:p>
        </w:tc>
        <w:tc>
          <w:tcPr>
            <w:tcW w:w="1151" w:type="pct"/>
            <w:vAlign w:val="center"/>
          </w:tcPr>
          <w:p w14:paraId="51CCE4F9">
            <w:pPr>
              <w:keepNext/>
              <w:spacing w:line="360" w:lineRule="auto"/>
              <w:jc w:val="center"/>
              <w:rPr>
                <w:rFonts w:cs="宋体"/>
                <w:color w:val="auto"/>
                <w:szCs w:val="21"/>
              </w:rPr>
            </w:pPr>
          </w:p>
        </w:tc>
      </w:tr>
      <w:tr w14:paraId="2E564D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66E28770">
            <w:pPr>
              <w:spacing w:line="360" w:lineRule="auto"/>
              <w:jc w:val="center"/>
              <w:rPr>
                <w:rFonts w:cs="宋体"/>
                <w:color w:val="auto"/>
                <w:szCs w:val="21"/>
              </w:rPr>
            </w:pPr>
            <w:r>
              <w:rPr>
                <w:rFonts w:hint="eastAsia" w:cs="宋体"/>
                <w:color w:val="auto"/>
                <w:szCs w:val="21"/>
              </w:rPr>
              <w:t>资料员</w:t>
            </w:r>
          </w:p>
        </w:tc>
        <w:tc>
          <w:tcPr>
            <w:tcW w:w="627" w:type="pct"/>
            <w:vAlign w:val="center"/>
          </w:tcPr>
          <w:p w14:paraId="2B498B7D">
            <w:pPr>
              <w:keepNext/>
              <w:spacing w:line="360" w:lineRule="auto"/>
              <w:jc w:val="center"/>
              <w:rPr>
                <w:rFonts w:cs="宋体"/>
                <w:color w:val="auto"/>
                <w:szCs w:val="21"/>
              </w:rPr>
            </w:pPr>
          </w:p>
        </w:tc>
        <w:tc>
          <w:tcPr>
            <w:tcW w:w="502" w:type="pct"/>
            <w:vAlign w:val="center"/>
          </w:tcPr>
          <w:p w14:paraId="432EE18A">
            <w:pPr>
              <w:keepNext/>
              <w:spacing w:line="360" w:lineRule="auto"/>
              <w:jc w:val="center"/>
              <w:rPr>
                <w:rFonts w:cs="宋体"/>
                <w:color w:val="auto"/>
                <w:szCs w:val="21"/>
              </w:rPr>
            </w:pPr>
          </w:p>
        </w:tc>
        <w:tc>
          <w:tcPr>
            <w:tcW w:w="502" w:type="pct"/>
            <w:vAlign w:val="center"/>
          </w:tcPr>
          <w:p w14:paraId="19370782">
            <w:pPr>
              <w:keepNext/>
              <w:spacing w:line="360" w:lineRule="auto"/>
              <w:jc w:val="center"/>
              <w:rPr>
                <w:rFonts w:cs="宋体"/>
                <w:color w:val="auto"/>
                <w:szCs w:val="21"/>
              </w:rPr>
            </w:pPr>
          </w:p>
        </w:tc>
        <w:tc>
          <w:tcPr>
            <w:tcW w:w="1281" w:type="pct"/>
            <w:vAlign w:val="center"/>
          </w:tcPr>
          <w:p w14:paraId="39057CC0">
            <w:pPr>
              <w:keepNext/>
              <w:spacing w:line="360" w:lineRule="auto"/>
              <w:jc w:val="center"/>
              <w:rPr>
                <w:rFonts w:cs="宋体"/>
                <w:color w:val="auto"/>
                <w:szCs w:val="21"/>
              </w:rPr>
            </w:pPr>
          </w:p>
        </w:tc>
        <w:tc>
          <w:tcPr>
            <w:tcW w:w="1151" w:type="pct"/>
            <w:vAlign w:val="center"/>
          </w:tcPr>
          <w:p w14:paraId="1BB9CB38">
            <w:pPr>
              <w:keepNext/>
              <w:spacing w:line="360" w:lineRule="auto"/>
              <w:jc w:val="center"/>
              <w:rPr>
                <w:rFonts w:cs="宋体"/>
                <w:color w:val="auto"/>
                <w:szCs w:val="21"/>
              </w:rPr>
            </w:pPr>
          </w:p>
        </w:tc>
      </w:tr>
      <w:tr w14:paraId="13BB6C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restart"/>
            <w:vAlign w:val="center"/>
          </w:tcPr>
          <w:p w14:paraId="01B23C95">
            <w:pPr>
              <w:spacing w:line="360" w:lineRule="auto"/>
              <w:jc w:val="center"/>
              <w:rPr>
                <w:rFonts w:cs="宋体"/>
                <w:color w:val="auto"/>
                <w:szCs w:val="21"/>
              </w:rPr>
            </w:pPr>
            <w:r>
              <w:rPr>
                <w:rFonts w:hint="eastAsia" w:cs="宋体"/>
                <w:color w:val="auto"/>
                <w:szCs w:val="21"/>
              </w:rPr>
              <w:t>其他人员</w:t>
            </w:r>
          </w:p>
        </w:tc>
        <w:tc>
          <w:tcPr>
            <w:tcW w:w="627" w:type="pct"/>
            <w:vAlign w:val="center"/>
          </w:tcPr>
          <w:p w14:paraId="2E146E97">
            <w:pPr>
              <w:keepNext/>
              <w:spacing w:line="360" w:lineRule="auto"/>
              <w:jc w:val="center"/>
              <w:rPr>
                <w:rFonts w:cs="宋体"/>
                <w:color w:val="auto"/>
                <w:szCs w:val="21"/>
              </w:rPr>
            </w:pPr>
          </w:p>
        </w:tc>
        <w:tc>
          <w:tcPr>
            <w:tcW w:w="502" w:type="pct"/>
            <w:vAlign w:val="center"/>
          </w:tcPr>
          <w:p w14:paraId="2FA6DA0B">
            <w:pPr>
              <w:keepNext/>
              <w:spacing w:line="360" w:lineRule="auto"/>
              <w:jc w:val="center"/>
              <w:rPr>
                <w:rFonts w:cs="宋体"/>
                <w:color w:val="auto"/>
                <w:szCs w:val="21"/>
              </w:rPr>
            </w:pPr>
          </w:p>
        </w:tc>
        <w:tc>
          <w:tcPr>
            <w:tcW w:w="502" w:type="pct"/>
            <w:vAlign w:val="center"/>
          </w:tcPr>
          <w:p w14:paraId="0244DF11">
            <w:pPr>
              <w:keepNext/>
              <w:spacing w:line="360" w:lineRule="auto"/>
              <w:jc w:val="center"/>
              <w:rPr>
                <w:rFonts w:cs="宋体"/>
                <w:color w:val="auto"/>
                <w:szCs w:val="21"/>
              </w:rPr>
            </w:pPr>
          </w:p>
        </w:tc>
        <w:tc>
          <w:tcPr>
            <w:tcW w:w="1281" w:type="pct"/>
            <w:vAlign w:val="center"/>
          </w:tcPr>
          <w:p w14:paraId="538CA05A">
            <w:pPr>
              <w:keepNext/>
              <w:spacing w:line="360" w:lineRule="auto"/>
              <w:jc w:val="center"/>
              <w:rPr>
                <w:rFonts w:cs="宋体"/>
                <w:color w:val="auto"/>
                <w:szCs w:val="21"/>
              </w:rPr>
            </w:pPr>
          </w:p>
        </w:tc>
        <w:tc>
          <w:tcPr>
            <w:tcW w:w="1151" w:type="pct"/>
            <w:vAlign w:val="center"/>
          </w:tcPr>
          <w:p w14:paraId="7B14F45D">
            <w:pPr>
              <w:keepNext/>
              <w:spacing w:line="360" w:lineRule="auto"/>
              <w:jc w:val="center"/>
              <w:rPr>
                <w:rFonts w:cs="宋体"/>
                <w:color w:val="auto"/>
                <w:szCs w:val="21"/>
              </w:rPr>
            </w:pPr>
          </w:p>
        </w:tc>
      </w:tr>
      <w:tr w14:paraId="5581CF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5DD7DDC2">
            <w:pPr>
              <w:keepNext/>
              <w:spacing w:line="360" w:lineRule="auto"/>
              <w:jc w:val="center"/>
              <w:rPr>
                <w:rFonts w:cs="宋体"/>
                <w:color w:val="auto"/>
                <w:szCs w:val="21"/>
              </w:rPr>
            </w:pPr>
          </w:p>
        </w:tc>
        <w:tc>
          <w:tcPr>
            <w:tcW w:w="627" w:type="pct"/>
            <w:tcBorders>
              <w:bottom w:val="nil"/>
            </w:tcBorders>
            <w:vAlign w:val="center"/>
          </w:tcPr>
          <w:p w14:paraId="4B33BCC0">
            <w:pPr>
              <w:keepNext/>
              <w:spacing w:line="360" w:lineRule="auto"/>
              <w:jc w:val="center"/>
              <w:rPr>
                <w:rFonts w:cs="宋体"/>
                <w:color w:val="auto"/>
                <w:szCs w:val="21"/>
              </w:rPr>
            </w:pPr>
          </w:p>
        </w:tc>
        <w:tc>
          <w:tcPr>
            <w:tcW w:w="502" w:type="pct"/>
            <w:tcBorders>
              <w:bottom w:val="nil"/>
            </w:tcBorders>
            <w:vAlign w:val="center"/>
          </w:tcPr>
          <w:p w14:paraId="6DDC4F2B">
            <w:pPr>
              <w:keepNext/>
              <w:spacing w:line="360" w:lineRule="auto"/>
              <w:jc w:val="center"/>
              <w:rPr>
                <w:rFonts w:cs="宋体"/>
                <w:color w:val="auto"/>
                <w:szCs w:val="21"/>
              </w:rPr>
            </w:pPr>
          </w:p>
        </w:tc>
        <w:tc>
          <w:tcPr>
            <w:tcW w:w="502" w:type="pct"/>
            <w:tcBorders>
              <w:bottom w:val="nil"/>
            </w:tcBorders>
            <w:vAlign w:val="center"/>
          </w:tcPr>
          <w:p w14:paraId="4AAE2B07">
            <w:pPr>
              <w:keepNext/>
              <w:spacing w:line="360" w:lineRule="auto"/>
              <w:jc w:val="center"/>
              <w:rPr>
                <w:rFonts w:cs="宋体"/>
                <w:color w:val="auto"/>
                <w:szCs w:val="21"/>
              </w:rPr>
            </w:pPr>
          </w:p>
        </w:tc>
        <w:tc>
          <w:tcPr>
            <w:tcW w:w="1281" w:type="pct"/>
            <w:tcBorders>
              <w:bottom w:val="nil"/>
            </w:tcBorders>
            <w:vAlign w:val="center"/>
          </w:tcPr>
          <w:p w14:paraId="4F4430C3">
            <w:pPr>
              <w:keepNext/>
              <w:spacing w:line="360" w:lineRule="auto"/>
              <w:jc w:val="center"/>
              <w:rPr>
                <w:rFonts w:cs="宋体"/>
                <w:color w:val="auto"/>
                <w:szCs w:val="21"/>
              </w:rPr>
            </w:pPr>
          </w:p>
        </w:tc>
        <w:tc>
          <w:tcPr>
            <w:tcW w:w="1151" w:type="pct"/>
            <w:tcBorders>
              <w:bottom w:val="nil"/>
            </w:tcBorders>
            <w:vAlign w:val="center"/>
          </w:tcPr>
          <w:p w14:paraId="37E3892D">
            <w:pPr>
              <w:keepNext/>
              <w:spacing w:line="360" w:lineRule="auto"/>
              <w:jc w:val="center"/>
              <w:rPr>
                <w:rFonts w:cs="宋体"/>
                <w:color w:val="auto"/>
                <w:szCs w:val="21"/>
              </w:rPr>
            </w:pPr>
          </w:p>
        </w:tc>
      </w:tr>
      <w:tr w14:paraId="2ED376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46730E07">
            <w:pPr>
              <w:keepNext/>
              <w:spacing w:line="360" w:lineRule="auto"/>
              <w:jc w:val="center"/>
              <w:rPr>
                <w:rFonts w:cs="宋体"/>
                <w:color w:val="auto"/>
                <w:szCs w:val="21"/>
              </w:rPr>
            </w:pPr>
          </w:p>
        </w:tc>
        <w:tc>
          <w:tcPr>
            <w:tcW w:w="627" w:type="pct"/>
            <w:vAlign w:val="center"/>
          </w:tcPr>
          <w:p w14:paraId="304E92A7">
            <w:pPr>
              <w:keepNext/>
              <w:spacing w:line="360" w:lineRule="auto"/>
              <w:jc w:val="center"/>
              <w:rPr>
                <w:rFonts w:cs="宋体"/>
                <w:color w:val="auto"/>
                <w:szCs w:val="21"/>
              </w:rPr>
            </w:pPr>
          </w:p>
        </w:tc>
        <w:tc>
          <w:tcPr>
            <w:tcW w:w="502" w:type="pct"/>
            <w:vAlign w:val="center"/>
          </w:tcPr>
          <w:p w14:paraId="6A057EF3">
            <w:pPr>
              <w:keepNext/>
              <w:spacing w:line="360" w:lineRule="auto"/>
              <w:jc w:val="center"/>
              <w:rPr>
                <w:rFonts w:cs="宋体"/>
                <w:color w:val="auto"/>
                <w:szCs w:val="21"/>
              </w:rPr>
            </w:pPr>
          </w:p>
        </w:tc>
        <w:tc>
          <w:tcPr>
            <w:tcW w:w="502" w:type="pct"/>
            <w:vAlign w:val="center"/>
          </w:tcPr>
          <w:p w14:paraId="2CDA215E">
            <w:pPr>
              <w:keepNext/>
              <w:spacing w:line="360" w:lineRule="auto"/>
              <w:jc w:val="center"/>
              <w:rPr>
                <w:rFonts w:cs="宋体"/>
                <w:color w:val="auto"/>
                <w:szCs w:val="21"/>
              </w:rPr>
            </w:pPr>
          </w:p>
        </w:tc>
        <w:tc>
          <w:tcPr>
            <w:tcW w:w="1281" w:type="pct"/>
            <w:vAlign w:val="center"/>
          </w:tcPr>
          <w:p w14:paraId="782CAB0A">
            <w:pPr>
              <w:keepNext/>
              <w:spacing w:line="360" w:lineRule="auto"/>
              <w:jc w:val="center"/>
              <w:rPr>
                <w:rFonts w:cs="宋体"/>
                <w:color w:val="auto"/>
                <w:szCs w:val="21"/>
              </w:rPr>
            </w:pPr>
          </w:p>
        </w:tc>
        <w:tc>
          <w:tcPr>
            <w:tcW w:w="1151" w:type="pct"/>
            <w:vAlign w:val="center"/>
          </w:tcPr>
          <w:p w14:paraId="302A94FF">
            <w:pPr>
              <w:keepNext/>
              <w:spacing w:line="360" w:lineRule="auto"/>
              <w:jc w:val="center"/>
              <w:rPr>
                <w:rFonts w:cs="宋体"/>
                <w:color w:val="auto"/>
                <w:szCs w:val="21"/>
              </w:rPr>
            </w:pPr>
          </w:p>
        </w:tc>
      </w:tr>
      <w:tr w14:paraId="778121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71874003">
            <w:pPr>
              <w:keepNext/>
              <w:spacing w:line="360" w:lineRule="auto"/>
              <w:jc w:val="center"/>
              <w:rPr>
                <w:rFonts w:cs="宋体"/>
                <w:color w:val="auto"/>
                <w:szCs w:val="21"/>
              </w:rPr>
            </w:pPr>
          </w:p>
        </w:tc>
        <w:tc>
          <w:tcPr>
            <w:tcW w:w="627" w:type="pct"/>
            <w:vAlign w:val="center"/>
          </w:tcPr>
          <w:p w14:paraId="14EE2DA4">
            <w:pPr>
              <w:keepNext/>
              <w:spacing w:line="360" w:lineRule="auto"/>
              <w:jc w:val="center"/>
              <w:rPr>
                <w:rFonts w:cs="宋体"/>
                <w:color w:val="auto"/>
                <w:szCs w:val="21"/>
              </w:rPr>
            </w:pPr>
          </w:p>
        </w:tc>
        <w:tc>
          <w:tcPr>
            <w:tcW w:w="502" w:type="pct"/>
            <w:vAlign w:val="center"/>
          </w:tcPr>
          <w:p w14:paraId="24665213">
            <w:pPr>
              <w:keepNext/>
              <w:spacing w:line="360" w:lineRule="auto"/>
              <w:jc w:val="center"/>
              <w:rPr>
                <w:rFonts w:cs="宋体"/>
                <w:color w:val="auto"/>
                <w:szCs w:val="21"/>
              </w:rPr>
            </w:pPr>
          </w:p>
        </w:tc>
        <w:tc>
          <w:tcPr>
            <w:tcW w:w="502" w:type="pct"/>
            <w:vAlign w:val="center"/>
          </w:tcPr>
          <w:p w14:paraId="172A6BAA">
            <w:pPr>
              <w:keepNext/>
              <w:spacing w:line="360" w:lineRule="auto"/>
              <w:jc w:val="center"/>
              <w:rPr>
                <w:rFonts w:cs="宋体"/>
                <w:color w:val="auto"/>
                <w:szCs w:val="21"/>
              </w:rPr>
            </w:pPr>
          </w:p>
        </w:tc>
        <w:tc>
          <w:tcPr>
            <w:tcW w:w="1281" w:type="pct"/>
            <w:vAlign w:val="center"/>
          </w:tcPr>
          <w:p w14:paraId="440CE06A">
            <w:pPr>
              <w:keepNext/>
              <w:spacing w:line="360" w:lineRule="auto"/>
              <w:jc w:val="center"/>
              <w:rPr>
                <w:rFonts w:cs="宋体"/>
                <w:color w:val="auto"/>
                <w:szCs w:val="21"/>
              </w:rPr>
            </w:pPr>
          </w:p>
        </w:tc>
        <w:tc>
          <w:tcPr>
            <w:tcW w:w="1151" w:type="pct"/>
            <w:vAlign w:val="center"/>
          </w:tcPr>
          <w:p w14:paraId="3AD90A19">
            <w:pPr>
              <w:keepNext/>
              <w:spacing w:line="360" w:lineRule="auto"/>
              <w:jc w:val="center"/>
              <w:rPr>
                <w:rFonts w:cs="宋体"/>
                <w:color w:val="auto"/>
                <w:szCs w:val="21"/>
              </w:rPr>
            </w:pPr>
          </w:p>
        </w:tc>
      </w:tr>
      <w:tr w14:paraId="463020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0C68C17D">
            <w:pPr>
              <w:keepNext/>
              <w:spacing w:line="360" w:lineRule="auto"/>
              <w:jc w:val="center"/>
              <w:rPr>
                <w:rFonts w:cs="宋体"/>
                <w:color w:val="auto"/>
                <w:szCs w:val="21"/>
              </w:rPr>
            </w:pPr>
          </w:p>
        </w:tc>
        <w:tc>
          <w:tcPr>
            <w:tcW w:w="627" w:type="pct"/>
            <w:vAlign w:val="center"/>
          </w:tcPr>
          <w:p w14:paraId="152349A2">
            <w:pPr>
              <w:keepNext/>
              <w:spacing w:line="360" w:lineRule="auto"/>
              <w:jc w:val="center"/>
              <w:rPr>
                <w:rFonts w:cs="宋体"/>
                <w:color w:val="auto"/>
                <w:szCs w:val="21"/>
              </w:rPr>
            </w:pPr>
          </w:p>
        </w:tc>
        <w:tc>
          <w:tcPr>
            <w:tcW w:w="502" w:type="pct"/>
            <w:vAlign w:val="center"/>
          </w:tcPr>
          <w:p w14:paraId="24EBF775">
            <w:pPr>
              <w:keepNext/>
              <w:spacing w:line="360" w:lineRule="auto"/>
              <w:jc w:val="center"/>
              <w:rPr>
                <w:rFonts w:cs="宋体"/>
                <w:color w:val="auto"/>
                <w:szCs w:val="21"/>
              </w:rPr>
            </w:pPr>
          </w:p>
        </w:tc>
        <w:tc>
          <w:tcPr>
            <w:tcW w:w="502" w:type="pct"/>
            <w:vAlign w:val="center"/>
          </w:tcPr>
          <w:p w14:paraId="5969D6CD">
            <w:pPr>
              <w:keepNext/>
              <w:spacing w:line="360" w:lineRule="auto"/>
              <w:jc w:val="center"/>
              <w:rPr>
                <w:rFonts w:cs="宋体"/>
                <w:color w:val="auto"/>
                <w:szCs w:val="21"/>
              </w:rPr>
            </w:pPr>
          </w:p>
        </w:tc>
        <w:tc>
          <w:tcPr>
            <w:tcW w:w="1281" w:type="pct"/>
            <w:vAlign w:val="center"/>
          </w:tcPr>
          <w:p w14:paraId="31B42C2E">
            <w:pPr>
              <w:keepNext/>
              <w:spacing w:line="360" w:lineRule="auto"/>
              <w:jc w:val="center"/>
              <w:rPr>
                <w:rFonts w:cs="宋体"/>
                <w:color w:val="auto"/>
                <w:szCs w:val="21"/>
              </w:rPr>
            </w:pPr>
          </w:p>
        </w:tc>
        <w:tc>
          <w:tcPr>
            <w:tcW w:w="1151" w:type="pct"/>
            <w:vAlign w:val="center"/>
          </w:tcPr>
          <w:p w14:paraId="62D89C5F">
            <w:pPr>
              <w:keepNext/>
              <w:spacing w:line="360" w:lineRule="auto"/>
              <w:jc w:val="center"/>
              <w:rPr>
                <w:rFonts w:cs="宋体"/>
                <w:color w:val="auto"/>
                <w:szCs w:val="21"/>
              </w:rPr>
            </w:pPr>
          </w:p>
        </w:tc>
      </w:tr>
      <w:tr w14:paraId="6227D7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tcBorders>
              <w:bottom w:val="single" w:color="auto" w:sz="12" w:space="0"/>
            </w:tcBorders>
            <w:vAlign w:val="center"/>
          </w:tcPr>
          <w:p w14:paraId="59127EF2">
            <w:pPr>
              <w:keepNext/>
              <w:spacing w:line="360" w:lineRule="auto"/>
              <w:jc w:val="center"/>
              <w:rPr>
                <w:rFonts w:cs="宋体"/>
                <w:color w:val="auto"/>
                <w:szCs w:val="21"/>
              </w:rPr>
            </w:pPr>
          </w:p>
        </w:tc>
        <w:tc>
          <w:tcPr>
            <w:tcW w:w="627" w:type="pct"/>
            <w:tcBorders>
              <w:bottom w:val="single" w:color="auto" w:sz="12" w:space="0"/>
            </w:tcBorders>
            <w:vAlign w:val="center"/>
          </w:tcPr>
          <w:p w14:paraId="4E572434">
            <w:pPr>
              <w:keepNext/>
              <w:spacing w:line="360" w:lineRule="auto"/>
              <w:jc w:val="center"/>
              <w:rPr>
                <w:rFonts w:cs="宋体"/>
                <w:color w:val="auto"/>
                <w:szCs w:val="21"/>
              </w:rPr>
            </w:pPr>
          </w:p>
        </w:tc>
        <w:tc>
          <w:tcPr>
            <w:tcW w:w="502" w:type="pct"/>
            <w:tcBorders>
              <w:bottom w:val="single" w:color="auto" w:sz="12" w:space="0"/>
            </w:tcBorders>
            <w:vAlign w:val="center"/>
          </w:tcPr>
          <w:p w14:paraId="7E729D5F">
            <w:pPr>
              <w:keepNext/>
              <w:spacing w:line="360" w:lineRule="auto"/>
              <w:jc w:val="center"/>
              <w:rPr>
                <w:rFonts w:cs="宋体"/>
                <w:color w:val="auto"/>
                <w:szCs w:val="21"/>
              </w:rPr>
            </w:pPr>
          </w:p>
        </w:tc>
        <w:tc>
          <w:tcPr>
            <w:tcW w:w="502" w:type="pct"/>
            <w:tcBorders>
              <w:bottom w:val="single" w:color="auto" w:sz="12" w:space="0"/>
            </w:tcBorders>
            <w:vAlign w:val="center"/>
          </w:tcPr>
          <w:p w14:paraId="60998968">
            <w:pPr>
              <w:keepNext/>
              <w:spacing w:line="360" w:lineRule="auto"/>
              <w:jc w:val="center"/>
              <w:rPr>
                <w:rFonts w:cs="宋体"/>
                <w:color w:val="auto"/>
                <w:szCs w:val="21"/>
              </w:rPr>
            </w:pPr>
          </w:p>
        </w:tc>
        <w:tc>
          <w:tcPr>
            <w:tcW w:w="1281" w:type="pct"/>
            <w:tcBorders>
              <w:bottom w:val="single" w:color="auto" w:sz="12" w:space="0"/>
            </w:tcBorders>
            <w:vAlign w:val="center"/>
          </w:tcPr>
          <w:p w14:paraId="224F1FA7">
            <w:pPr>
              <w:keepNext/>
              <w:spacing w:line="360" w:lineRule="auto"/>
              <w:jc w:val="center"/>
              <w:rPr>
                <w:rFonts w:cs="宋体"/>
                <w:color w:val="auto"/>
                <w:szCs w:val="21"/>
              </w:rPr>
            </w:pPr>
          </w:p>
        </w:tc>
        <w:tc>
          <w:tcPr>
            <w:tcW w:w="1151" w:type="pct"/>
            <w:tcBorders>
              <w:bottom w:val="single" w:color="auto" w:sz="12" w:space="0"/>
            </w:tcBorders>
            <w:vAlign w:val="center"/>
          </w:tcPr>
          <w:p w14:paraId="75398B4A">
            <w:pPr>
              <w:keepNext/>
              <w:spacing w:line="360" w:lineRule="auto"/>
              <w:jc w:val="center"/>
              <w:rPr>
                <w:rFonts w:cs="宋体"/>
                <w:color w:val="auto"/>
                <w:szCs w:val="21"/>
              </w:rPr>
            </w:pPr>
          </w:p>
        </w:tc>
      </w:tr>
    </w:tbl>
    <w:p w14:paraId="0726B04A">
      <w:pPr>
        <w:spacing w:before="312" w:beforeLines="100" w:after="312" w:afterLines="100"/>
        <w:outlineLvl w:val="2"/>
        <w:rPr>
          <w:rFonts w:ascii="Times New Roman" w:eastAsia="黑体"/>
          <w:color w:val="auto"/>
          <w:szCs w:val="24"/>
        </w:rPr>
      </w:pPr>
      <w:r>
        <w:rPr>
          <w:rFonts w:hint="eastAsia" w:cs="宋体"/>
          <w:bCs/>
          <w:color w:val="auto"/>
        </w:rPr>
        <w:br w:type="page"/>
      </w:r>
      <w:bookmarkStart w:id="659" w:name="_Toc128950242"/>
      <w:r>
        <w:rPr>
          <w:rFonts w:hint="eastAsia" w:ascii="Times New Roman" w:eastAsia="黑体"/>
          <w:color w:val="auto"/>
          <w:szCs w:val="24"/>
        </w:rPr>
        <w:t>附</w:t>
      </w:r>
      <w:bookmarkStart w:id="660" w:name="_Toc296944568"/>
      <w:bookmarkStart w:id="661" w:name="_Toc296347228"/>
      <w:bookmarkStart w:id="662" w:name="_Toc296503229"/>
      <w:bookmarkStart w:id="663" w:name="_Toc296891057"/>
      <w:bookmarkStart w:id="664" w:name="_Toc296891269"/>
      <w:bookmarkStart w:id="665" w:name="_Toc296346730"/>
      <w:r>
        <w:rPr>
          <w:rFonts w:hint="eastAsia" w:ascii="Times New Roman" w:eastAsia="黑体"/>
          <w:color w:val="auto"/>
          <w:szCs w:val="24"/>
        </w:rPr>
        <w:t>件</w:t>
      </w:r>
      <w:r>
        <w:rPr>
          <w:rFonts w:ascii="Times New Roman" w:eastAsia="黑体"/>
          <w:color w:val="auto"/>
          <w:szCs w:val="24"/>
        </w:rPr>
        <w:t>7</w:t>
      </w:r>
      <w:r>
        <w:rPr>
          <w:rFonts w:hint="eastAsia" w:ascii="Times New Roman" w:eastAsia="黑体"/>
          <w:color w:val="auto"/>
          <w:szCs w:val="24"/>
        </w:rPr>
        <w:t>：分包人主要施工管理人员表</w:t>
      </w:r>
      <w:bookmarkEnd w:id="659"/>
    </w:p>
    <w:bookmarkEnd w:id="660"/>
    <w:bookmarkEnd w:id="661"/>
    <w:bookmarkEnd w:id="662"/>
    <w:bookmarkEnd w:id="663"/>
    <w:bookmarkEnd w:id="664"/>
    <w:bookmarkEnd w:id="665"/>
    <w:p w14:paraId="68EF3C80">
      <w:pPr>
        <w:spacing w:before="156" w:beforeLines="50" w:after="156" w:afterLines="50" w:line="360" w:lineRule="auto"/>
        <w:jc w:val="center"/>
        <w:rPr>
          <w:rFonts w:cs="宋体"/>
          <w:b/>
          <w:color w:val="auto"/>
          <w:szCs w:val="21"/>
        </w:rPr>
      </w:pPr>
      <w:r>
        <w:rPr>
          <w:rFonts w:hint="eastAsia" w:cs="宋体"/>
          <w:b/>
          <w:color w:val="auto"/>
          <w:szCs w:val="21"/>
        </w:rPr>
        <w:t>分包人主要施工管理人员表</w:t>
      </w:r>
    </w:p>
    <w:tbl>
      <w:tblPr>
        <w:tblStyle w:val="5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413"/>
        <w:gridCol w:w="1072"/>
        <w:gridCol w:w="858"/>
        <w:gridCol w:w="624"/>
        <w:gridCol w:w="3159"/>
        <w:gridCol w:w="1236"/>
      </w:tblGrid>
      <w:tr w14:paraId="06DBA8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tcBorders>
              <w:top w:val="single" w:color="auto" w:sz="12" w:space="0"/>
              <w:bottom w:val="double" w:color="auto" w:sz="6" w:space="0"/>
            </w:tcBorders>
            <w:vAlign w:val="center"/>
          </w:tcPr>
          <w:p w14:paraId="612B3B09">
            <w:pPr>
              <w:keepNext/>
              <w:spacing w:line="360" w:lineRule="auto"/>
              <w:jc w:val="center"/>
              <w:rPr>
                <w:rFonts w:cs="宋体"/>
                <w:color w:val="auto"/>
                <w:szCs w:val="21"/>
              </w:rPr>
            </w:pPr>
            <w:r>
              <w:rPr>
                <w:rFonts w:hint="eastAsia" w:cs="宋体"/>
                <w:color w:val="auto"/>
                <w:szCs w:val="21"/>
              </w:rPr>
              <w:t>名称</w:t>
            </w:r>
          </w:p>
        </w:tc>
        <w:tc>
          <w:tcPr>
            <w:tcW w:w="641" w:type="pct"/>
            <w:tcBorders>
              <w:top w:val="single" w:color="auto" w:sz="12" w:space="0"/>
              <w:bottom w:val="double" w:color="auto" w:sz="6" w:space="0"/>
            </w:tcBorders>
            <w:vAlign w:val="center"/>
          </w:tcPr>
          <w:p w14:paraId="4BA4D6E5">
            <w:pPr>
              <w:keepNext/>
              <w:spacing w:line="360" w:lineRule="auto"/>
              <w:jc w:val="center"/>
              <w:rPr>
                <w:rFonts w:cs="宋体"/>
                <w:color w:val="auto"/>
                <w:szCs w:val="21"/>
              </w:rPr>
            </w:pPr>
            <w:r>
              <w:rPr>
                <w:rFonts w:hint="eastAsia" w:cs="宋体"/>
                <w:color w:val="auto"/>
                <w:szCs w:val="21"/>
              </w:rPr>
              <w:t>姓名</w:t>
            </w:r>
          </w:p>
        </w:tc>
        <w:tc>
          <w:tcPr>
            <w:tcW w:w="513" w:type="pct"/>
            <w:tcBorders>
              <w:top w:val="single" w:color="auto" w:sz="12" w:space="0"/>
              <w:bottom w:val="double" w:color="auto" w:sz="6" w:space="0"/>
            </w:tcBorders>
            <w:vAlign w:val="center"/>
          </w:tcPr>
          <w:p w14:paraId="4B9B6FE2">
            <w:pPr>
              <w:keepNext/>
              <w:spacing w:line="360" w:lineRule="auto"/>
              <w:jc w:val="center"/>
              <w:rPr>
                <w:rFonts w:cs="宋体"/>
                <w:color w:val="auto"/>
                <w:szCs w:val="21"/>
              </w:rPr>
            </w:pPr>
            <w:r>
              <w:rPr>
                <w:rFonts w:hint="eastAsia" w:cs="宋体"/>
                <w:color w:val="auto"/>
                <w:szCs w:val="21"/>
              </w:rPr>
              <w:t>职务</w:t>
            </w:r>
          </w:p>
        </w:tc>
        <w:tc>
          <w:tcPr>
            <w:tcW w:w="373" w:type="pct"/>
            <w:tcBorders>
              <w:top w:val="single" w:color="auto" w:sz="12" w:space="0"/>
              <w:bottom w:val="double" w:color="auto" w:sz="6" w:space="0"/>
            </w:tcBorders>
            <w:vAlign w:val="center"/>
          </w:tcPr>
          <w:p w14:paraId="11C52FC1">
            <w:pPr>
              <w:keepNext/>
              <w:spacing w:line="360" w:lineRule="auto"/>
              <w:jc w:val="center"/>
              <w:rPr>
                <w:rFonts w:cs="宋体"/>
                <w:color w:val="auto"/>
                <w:szCs w:val="21"/>
              </w:rPr>
            </w:pPr>
            <w:r>
              <w:rPr>
                <w:rFonts w:hint="eastAsia" w:cs="宋体"/>
                <w:color w:val="auto"/>
                <w:szCs w:val="21"/>
              </w:rPr>
              <w:t>职称</w:t>
            </w:r>
          </w:p>
        </w:tc>
        <w:tc>
          <w:tcPr>
            <w:tcW w:w="1889" w:type="pct"/>
            <w:tcBorders>
              <w:top w:val="single" w:color="auto" w:sz="12" w:space="0"/>
              <w:bottom w:val="double" w:color="auto" w:sz="6" w:space="0"/>
            </w:tcBorders>
            <w:vAlign w:val="center"/>
          </w:tcPr>
          <w:p w14:paraId="14A70EAA">
            <w:pPr>
              <w:keepNext/>
              <w:spacing w:line="360" w:lineRule="auto"/>
              <w:jc w:val="center"/>
              <w:rPr>
                <w:rFonts w:cs="宋体"/>
                <w:color w:val="auto"/>
                <w:szCs w:val="21"/>
              </w:rPr>
            </w:pPr>
            <w:r>
              <w:rPr>
                <w:rFonts w:hint="eastAsia" w:cs="宋体"/>
                <w:color w:val="auto"/>
                <w:szCs w:val="21"/>
              </w:rPr>
              <w:t>主要资历、经验及承担过的项目</w:t>
            </w:r>
          </w:p>
        </w:tc>
        <w:tc>
          <w:tcPr>
            <w:tcW w:w="739" w:type="pct"/>
            <w:tcBorders>
              <w:top w:val="single" w:color="auto" w:sz="12" w:space="0"/>
              <w:bottom w:val="double" w:color="auto" w:sz="6" w:space="0"/>
            </w:tcBorders>
            <w:vAlign w:val="center"/>
          </w:tcPr>
          <w:p w14:paraId="0CDFF2FC">
            <w:pPr>
              <w:keepNext/>
              <w:spacing w:line="360" w:lineRule="auto"/>
              <w:jc w:val="center"/>
              <w:rPr>
                <w:rFonts w:cs="宋体"/>
                <w:color w:val="auto"/>
                <w:szCs w:val="21"/>
              </w:rPr>
            </w:pPr>
            <w:r>
              <w:rPr>
                <w:rFonts w:hint="eastAsia" w:cs="宋体"/>
                <w:color w:val="auto"/>
                <w:szCs w:val="21"/>
              </w:rPr>
              <w:t>身份证号码</w:t>
            </w:r>
          </w:p>
        </w:tc>
      </w:tr>
      <w:tr w14:paraId="448D3C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4261" w:type="pct"/>
            <w:gridSpan w:val="5"/>
            <w:tcBorders>
              <w:top w:val="double" w:color="auto" w:sz="6" w:space="0"/>
            </w:tcBorders>
            <w:vAlign w:val="center"/>
          </w:tcPr>
          <w:p w14:paraId="5C710CCD">
            <w:pPr>
              <w:keepNext/>
              <w:spacing w:line="360" w:lineRule="auto"/>
              <w:jc w:val="center"/>
              <w:rPr>
                <w:rFonts w:cs="宋体"/>
                <w:color w:val="auto"/>
                <w:szCs w:val="21"/>
              </w:rPr>
            </w:pPr>
            <w:r>
              <w:rPr>
                <w:rFonts w:hint="eastAsia" w:cs="宋体"/>
                <w:color w:val="auto"/>
                <w:szCs w:val="21"/>
              </w:rPr>
              <w:t>一、总部人员</w:t>
            </w:r>
          </w:p>
        </w:tc>
        <w:tc>
          <w:tcPr>
            <w:tcW w:w="739" w:type="pct"/>
            <w:tcBorders>
              <w:top w:val="double" w:color="auto" w:sz="6" w:space="0"/>
            </w:tcBorders>
            <w:vAlign w:val="center"/>
          </w:tcPr>
          <w:p w14:paraId="1C58697D">
            <w:pPr>
              <w:keepNext/>
              <w:spacing w:line="360" w:lineRule="auto"/>
              <w:jc w:val="center"/>
              <w:rPr>
                <w:rFonts w:cs="宋体"/>
                <w:color w:val="auto"/>
                <w:szCs w:val="21"/>
              </w:rPr>
            </w:pPr>
          </w:p>
        </w:tc>
      </w:tr>
      <w:tr w14:paraId="3041FB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tcBorders>
              <w:top w:val="nil"/>
              <w:bottom w:val="nil"/>
            </w:tcBorders>
            <w:vAlign w:val="center"/>
          </w:tcPr>
          <w:p w14:paraId="1712A08F">
            <w:pPr>
              <w:keepNext/>
              <w:spacing w:line="360" w:lineRule="auto"/>
              <w:jc w:val="center"/>
              <w:rPr>
                <w:rFonts w:cs="宋体"/>
                <w:color w:val="auto"/>
                <w:szCs w:val="21"/>
              </w:rPr>
            </w:pPr>
            <w:r>
              <w:rPr>
                <w:rFonts w:hint="eastAsia" w:cs="宋体"/>
                <w:color w:val="auto"/>
                <w:szCs w:val="21"/>
              </w:rPr>
              <w:t>项目主管</w:t>
            </w:r>
          </w:p>
        </w:tc>
        <w:tc>
          <w:tcPr>
            <w:tcW w:w="641" w:type="pct"/>
            <w:tcBorders>
              <w:top w:val="nil"/>
            </w:tcBorders>
            <w:vAlign w:val="center"/>
          </w:tcPr>
          <w:p w14:paraId="0E596EAA">
            <w:pPr>
              <w:keepNext/>
              <w:spacing w:line="360" w:lineRule="auto"/>
              <w:jc w:val="center"/>
              <w:rPr>
                <w:rFonts w:cs="宋体"/>
                <w:color w:val="auto"/>
                <w:szCs w:val="21"/>
              </w:rPr>
            </w:pPr>
          </w:p>
        </w:tc>
        <w:tc>
          <w:tcPr>
            <w:tcW w:w="513" w:type="pct"/>
            <w:tcBorders>
              <w:top w:val="nil"/>
            </w:tcBorders>
            <w:vAlign w:val="center"/>
          </w:tcPr>
          <w:p w14:paraId="6A6B201A">
            <w:pPr>
              <w:keepNext/>
              <w:spacing w:line="360" w:lineRule="auto"/>
              <w:jc w:val="center"/>
              <w:rPr>
                <w:rFonts w:cs="宋体"/>
                <w:color w:val="auto"/>
                <w:szCs w:val="21"/>
              </w:rPr>
            </w:pPr>
          </w:p>
        </w:tc>
        <w:tc>
          <w:tcPr>
            <w:tcW w:w="373" w:type="pct"/>
            <w:tcBorders>
              <w:top w:val="nil"/>
            </w:tcBorders>
            <w:vAlign w:val="center"/>
          </w:tcPr>
          <w:p w14:paraId="312C2B82">
            <w:pPr>
              <w:keepNext/>
              <w:spacing w:line="360" w:lineRule="auto"/>
              <w:jc w:val="center"/>
              <w:rPr>
                <w:rFonts w:cs="宋体"/>
                <w:color w:val="auto"/>
                <w:szCs w:val="21"/>
              </w:rPr>
            </w:pPr>
          </w:p>
        </w:tc>
        <w:tc>
          <w:tcPr>
            <w:tcW w:w="1889" w:type="pct"/>
            <w:tcBorders>
              <w:top w:val="nil"/>
            </w:tcBorders>
            <w:vAlign w:val="center"/>
          </w:tcPr>
          <w:p w14:paraId="37F10C7E">
            <w:pPr>
              <w:keepNext/>
              <w:spacing w:line="360" w:lineRule="auto"/>
              <w:jc w:val="center"/>
              <w:rPr>
                <w:rFonts w:cs="宋体"/>
                <w:color w:val="auto"/>
                <w:szCs w:val="21"/>
              </w:rPr>
            </w:pPr>
          </w:p>
        </w:tc>
        <w:tc>
          <w:tcPr>
            <w:tcW w:w="739" w:type="pct"/>
            <w:tcBorders>
              <w:top w:val="nil"/>
            </w:tcBorders>
            <w:vAlign w:val="center"/>
          </w:tcPr>
          <w:p w14:paraId="59A6808C">
            <w:pPr>
              <w:keepNext/>
              <w:spacing w:line="360" w:lineRule="auto"/>
              <w:jc w:val="center"/>
              <w:rPr>
                <w:rFonts w:cs="宋体"/>
                <w:color w:val="auto"/>
                <w:szCs w:val="21"/>
              </w:rPr>
            </w:pPr>
          </w:p>
        </w:tc>
      </w:tr>
      <w:tr w14:paraId="0F6221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restart"/>
            <w:vAlign w:val="center"/>
          </w:tcPr>
          <w:p w14:paraId="22D905F4">
            <w:pPr>
              <w:keepNext/>
              <w:spacing w:line="360" w:lineRule="auto"/>
              <w:jc w:val="center"/>
              <w:rPr>
                <w:rFonts w:cs="宋体"/>
                <w:color w:val="auto"/>
                <w:szCs w:val="21"/>
              </w:rPr>
            </w:pPr>
            <w:r>
              <w:rPr>
                <w:rFonts w:hint="eastAsia" w:cs="宋体"/>
                <w:color w:val="auto"/>
                <w:szCs w:val="21"/>
              </w:rPr>
              <w:t>其他人员</w:t>
            </w:r>
          </w:p>
        </w:tc>
        <w:tc>
          <w:tcPr>
            <w:tcW w:w="641" w:type="pct"/>
            <w:vAlign w:val="center"/>
          </w:tcPr>
          <w:p w14:paraId="2BF846B3">
            <w:pPr>
              <w:keepNext/>
              <w:spacing w:line="360" w:lineRule="auto"/>
              <w:jc w:val="center"/>
              <w:rPr>
                <w:rFonts w:cs="宋体"/>
                <w:color w:val="auto"/>
                <w:szCs w:val="21"/>
              </w:rPr>
            </w:pPr>
          </w:p>
        </w:tc>
        <w:tc>
          <w:tcPr>
            <w:tcW w:w="513" w:type="pct"/>
            <w:vAlign w:val="center"/>
          </w:tcPr>
          <w:p w14:paraId="6C07F4C3">
            <w:pPr>
              <w:keepNext/>
              <w:spacing w:line="360" w:lineRule="auto"/>
              <w:jc w:val="center"/>
              <w:rPr>
                <w:rFonts w:cs="宋体"/>
                <w:color w:val="auto"/>
                <w:szCs w:val="21"/>
              </w:rPr>
            </w:pPr>
          </w:p>
        </w:tc>
        <w:tc>
          <w:tcPr>
            <w:tcW w:w="373" w:type="pct"/>
            <w:vAlign w:val="center"/>
          </w:tcPr>
          <w:p w14:paraId="0A44E8A2">
            <w:pPr>
              <w:keepNext/>
              <w:spacing w:line="360" w:lineRule="auto"/>
              <w:jc w:val="center"/>
              <w:rPr>
                <w:rFonts w:cs="宋体"/>
                <w:color w:val="auto"/>
                <w:szCs w:val="21"/>
              </w:rPr>
            </w:pPr>
          </w:p>
        </w:tc>
        <w:tc>
          <w:tcPr>
            <w:tcW w:w="1889" w:type="pct"/>
            <w:vAlign w:val="center"/>
          </w:tcPr>
          <w:p w14:paraId="61B323DF">
            <w:pPr>
              <w:keepNext/>
              <w:spacing w:line="360" w:lineRule="auto"/>
              <w:jc w:val="center"/>
              <w:rPr>
                <w:rFonts w:cs="宋体"/>
                <w:color w:val="auto"/>
                <w:szCs w:val="21"/>
              </w:rPr>
            </w:pPr>
          </w:p>
        </w:tc>
        <w:tc>
          <w:tcPr>
            <w:tcW w:w="739" w:type="pct"/>
            <w:vAlign w:val="center"/>
          </w:tcPr>
          <w:p w14:paraId="52A037E4">
            <w:pPr>
              <w:keepNext/>
              <w:spacing w:line="360" w:lineRule="auto"/>
              <w:jc w:val="center"/>
              <w:rPr>
                <w:rFonts w:cs="宋体"/>
                <w:color w:val="auto"/>
                <w:szCs w:val="21"/>
              </w:rPr>
            </w:pPr>
          </w:p>
        </w:tc>
      </w:tr>
      <w:tr w14:paraId="27A1BF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14:paraId="498B573D">
            <w:pPr>
              <w:keepNext/>
              <w:spacing w:line="360" w:lineRule="auto"/>
              <w:jc w:val="center"/>
              <w:rPr>
                <w:rFonts w:cs="宋体"/>
                <w:color w:val="auto"/>
                <w:szCs w:val="21"/>
              </w:rPr>
            </w:pPr>
          </w:p>
        </w:tc>
        <w:tc>
          <w:tcPr>
            <w:tcW w:w="641" w:type="pct"/>
            <w:vAlign w:val="center"/>
          </w:tcPr>
          <w:p w14:paraId="4173FC8F">
            <w:pPr>
              <w:keepNext/>
              <w:spacing w:line="360" w:lineRule="auto"/>
              <w:jc w:val="center"/>
              <w:rPr>
                <w:rFonts w:cs="宋体"/>
                <w:color w:val="auto"/>
                <w:szCs w:val="21"/>
              </w:rPr>
            </w:pPr>
          </w:p>
        </w:tc>
        <w:tc>
          <w:tcPr>
            <w:tcW w:w="513" w:type="pct"/>
            <w:vAlign w:val="center"/>
          </w:tcPr>
          <w:p w14:paraId="5832E66F">
            <w:pPr>
              <w:keepNext/>
              <w:spacing w:line="360" w:lineRule="auto"/>
              <w:jc w:val="center"/>
              <w:rPr>
                <w:rFonts w:cs="宋体"/>
                <w:color w:val="auto"/>
                <w:szCs w:val="21"/>
              </w:rPr>
            </w:pPr>
          </w:p>
        </w:tc>
        <w:tc>
          <w:tcPr>
            <w:tcW w:w="373" w:type="pct"/>
            <w:vAlign w:val="center"/>
          </w:tcPr>
          <w:p w14:paraId="0073C86A">
            <w:pPr>
              <w:keepNext/>
              <w:spacing w:line="360" w:lineRule="auto"/>
              <w:jc w:val="center"/>
              <w:rPr>
                <w:rFonts w:cs="宋体"/>
                <w:color w:val="auto"/>
                <w:szCs w:val="21"/>
              </w:rPr>
            </w:pPr>
          </w:p>
        </w:tc>
        <w:tc>
          <w:tcPr>
            <w:tcW w:w="1889" w:type="pct"/>
            <w:vAlign w:val="center"/>
          </w:tcPr>
          <w:p w14:paraId="6A90669B">
            <w:pPr>
              <w:keepNext/>
              <w:spacing w:line="360" w:lineRule="auto"/>
              <w:jc w:val="center"/>
              <w:rPr>
                <w:rFonts w:cs="宋体"/>
                <w:color w:val="auto"/>
                <w:szCs w:val="21"/>
              </w:rPr>
            </w:pPr>
          </w:p>
        </w:tc>
        <w:tc>
          <w:tcPr>
            <w:tcW w:w="739" w:type="pct"/>
            <w:vAlign w:val="center"/>
          </w:tcPr>
          <w:p w14:paraId="3606726D">
            <w:pPr>
              <w:keepNext/>
              <w:spacing w:line="360" w:lineRule="auto"/>
              <w:jc w:val="center"/>
              <w:rPr>
                <w:rFonts w:cs="宋体"/>
                <w:color w:val="auto"/>
                <w:szCs w:val="21"/>
              </w:rPr>
            </w:pPr>
          </w:p>
        </w:tc>
      </w:tr>
      <w:tr w14:paraId="2B3213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tcBorders>
              <w:bottom w:val="nil"/>
            </w:tcBorders>
            <w:vAlign w:val="center"/>
          </w:tcPr>
          <w:p w14:paraId="5E272E89">
            <w:pPr>
              <w:keepNext/>
              <w:spacing w:line="360" w:lineRule="auto"/>
              <w:jc w:val="center"/>
              <w:rPr>
                <w:rFonts w:cs="宋体"/>
                <w:color w:val="auto"/>
                <w:szCs w:val="21"/>
              </w:rPr>
            </w:pPr>
          </w:p>
        </w:tc>
        <w:tc>
          <w:tcPr>
            <w:tcW w:w="641" w:type="pct"/>
            <w:vAlign w:val="center"/>
          </w:tcPr>
          <w:p w14:paraId="220BBA2F">
            <w:pPr>
              <w:keepNext/>
              <w:spacing w:line="360" w:lineRule="auto"/>
              <w:jc w:val="center"/>
              <w:rPr>
                <w:rFonts w:cs="宋体"/>
                <w:color w:val="auto"/>
                <w:szCs w:val="21"/>
              </w:rPr>
            </w:pPr>
          </w:p>
        </w:tc>
        <w:tc>
          <w:tcPr>
            <w:tcW w:w="513" w:type="pct"/>
            <w:vAlign w:val="center"/>
          </w:tcPr>
          <w:p w14:paraId="35BD80E2">
            <w:pPr>
              <w:keepNext/>
              <w:spacing w:line="360" w:lineRule="auto"/>
              <w:jc w:val="center"/>
              <w:rPr>
                <w:rFonts w:cs="宋体"/>
                <w:color w:val="auto"/>
                <w:szCs w:val="21"/>
              </w:rPr>
            </w:pPr>
          </w:p>
        </w:tc>
        <w:tc>
          <w:tcPr>
            <w:tcW w:w="373" w:type="pct"/>
            <w:vAlign w:val="center"/>
          </w:tcPr>
          <w:p w14:paraId="6FF2A944">
            <w:pPr>
              <w:keepNext/>
              <w:spacing w:line="360" w:lineRule="auto"/>
              <w:jc w:val="center"/>
              <w:rPr>
                <w:rFonts w:cs="宋体"/>
                <w:color w:val="auto"/>
                <w:szCs w:val="21"/>
              </w:rPr>
            </w:pPr>
          </w:p>
        </w:tc>
        <w:tc>
          <w:tcPr>
            <w:tcW w:w="1889" w:type="pct"/>
            <w:vAlign w:val="center"/>
          </w:tcPr>
          <w:p w14:paraId="40B9C371">
            <w:pPr>
              <w:keepNext/>
              <w:spacing w:line="360" w:lineRule="auto"/>
              <w:jc w:val="center"/>
              <w:rPr>
                <w:rFonts w:cs="宋体"/>
                <w:color w:val="auto"/>
                <w:szCs w:val="21"/>
              </w:rPr>
            </w:pPr>
          </w:p>
        </w:tc>
        <w:tc>
          <w:tcPr>
            <w:tcW w:w="739" w:type="pct"/>
            <w:vAlign w:val="center"/>
          </w:tcPr>
          <w:p w14:paraId="0A99DD1F">
            <w:pPr>
              <w:keepNext/>
              <w:spacing w:line="360" w:lineRule="auto"/>
              <w:jc w:val="center"/>
              <w:rPr>
                <w:rFonts w:cs="宋体"/>
                <w:color w:val="auto"/>
                <w:szCs w:val="21"/>
              </w:rPr>
            </w:pPr>
          </w:p>
        </w:tc>
      </w:tr>
      <w:tr w14:paraId="6C3FC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4261" w:type="pct"/>
            <w:gridSpan w:val="5"/>
            <w:vAlign w:val="center"/>
          </w:tcPr>
          <w:p w14:paraId="72DB1E85">
            <w:pPr>
              <w:keepNext/>
              <w:spacing w:line="360" w:lineRule="auto"/>
              <w:jc w:val="center"/>
              <w:rPr>
                <w:rFonts w:cs="宋体"/>
                <w:color w:val="auto"/>
                <w:szCs w:val="21"/>
              </w:rPr>
            </w:pPr>
            <w:r>
              <w:rPr>
                <w:rFonts w:hint="eastAsia" w:cs="宋体"/>
                <w:color w:val="auto"/>
                <w:szCs w:val="21"/>
              </w:rPr>
              <w:t>二、现场人员</w:t>
            </w:r>
          </w:p>
        </w:tc>
        <w:tc>
          <w:tcPr>
            <w:tcW w:w="739" w:type="pct"/>
            <w:vAlign w:val="center"/>
          </w:tcPr>
          <w:p w14:paraId="5E80092F">
            <w:pPr>
              <w:keepNext/>
              <w:spacing w:line="360" w:lineRule="auto"/>
              <w:jc w:val="center"/>
              <w:rPr>
                <w:rFonts w:cs="宋体"/>
                <w:color w:val="auto"/>
                <w:szCs w:val="21"/>
              </w:rPr>
            </w:pPr>
          </w:p>
        </w:tc>
      </w:tr>
      <w:tr w14:paraId="5C5780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079CBBD0">
            <w:pPr>
              <w:spacing w:line="360" w:lineRule="auto"/>
              <w:jc w:val="center"/>
              <w:rPr>
                <w:rFonts w:cs="宋体"/>
                <w:color w:val="auto"/>
                <w:szCs w:val="22"/>
              </w:rPr>
            </w:pPr>
            <w:r>
              <w:rPr>
                <w:rFonts w:hint="eastAsia" w:cs="宋体"/>
                <w:color w:val="auto"/>
                <w:szCs w:val="22"/>
              </w:rPr>
              <w:t>项目经理</w:t>
            </w:r>
          </w:p>
        </w:tc>
        <w:tc>
          <w:tcPr>
            <w:tcW w:w="641" w:type="pct"/>
            <w:vAlign w:val="center"/>
          </w:tcPr>
          <w:p w14:paraId="0B046C2C">
            <w:pPr>
              <w:keepNext/>
              <w:spacing w:line="360" w:lineRule="auto"/>
              <w:jc w:val="center"/>
              <w:rPr>
                <w:rFonts w:cs="宋体"/>
                <w:color w:val="auto"/>
                <w:szCs w:val="21"/>
              </w:rPr>
            </w:pPr>
          </w:p>
        </w:tc>
        <w:tc>
          <w:tcPr>
            <w:tcW w:w="513" w:type="pct"/>
            <w:vAlign w:val="center"/>
          </w:tcPr>
          <w:p w14:paraId="78CF7838">
            <w:pPr>
              <w:keepNext/>
              <w:spacing w:line="360" w:lineRule="auto"/>
              <w:jc w:val="center"/>
              <w:rPr>
                <w:rFonts w:cs="宋体"/>
                <w:color w:val="auto"/>
                <w:szCs w:val="21"/>
              </w:rPr>
            </w:pPr>
          </w:p>
        </w:tc>
        <w:tc>
          <w:tcPr>
            <w:tcW w:w="373" w:type="pct"/>
            <w:vAlign w:val="center"/>
          </w:tcPr>
          <w:p w14:paraId="24F5E2F6">
            <w:pPr>
              <w:keepNext/>
              <w:spacing w:line="360" w:lineRule="auto"/>
              <w:jc w:val="center"/>
              <w:rPr>
                <w:rFonts w:cs="宋体"/>
                <w:color w:val="auto"/>
                <w:szCs w:val="21"/>
              </w:rPr>
            </w:pPr>
          </w:p>
        </w:tc>
        <w:tc>
          <w:tcPr>
            <w:tcW w:w="1889" w:type="pct"/>
            <w:vAlign w:val="center"/>
          </w:tcPr>
          <w:p w14:paraId="6AC27BD7">
            <w:pPr>
              <w:keepNext/>
              <w:spacing w:line="360" w:lineRule="auto"/>
              <w:jc w:val="center"/>
              <w:rPr>
                <w:rFonts w:cs="宋体"/>
                <w:color w:val="auto"/>
                <w:szCs w:val="21"/>
              </w:rPr>
            </w:pPr>
          </w:p>
        </w:tc>
        <w:tc>
          <w:tcPr>
            <w:tcW w:w="739" w:type="pct"/>
            <w:vAlign w:val="center"/>
          </w:tcPr>
          <w:p w14:paraId="00B17503">
            <w:pPr>
              <w:keepNext/>
              <w:spacing w:line="360" w:lineRule="auto"/>
              <w:jc w:val="center"/>
              <w:rPr>
                <w:rFonts w:cs="宋体"/>
                <w:color w:val="auto"/>
                <w:szCs w:val="21"/>
              </w:rPr>
            </w:pPr>
          </w:p>
        </w:tc>
      </w:tr>
      <w:tr w14:paraId="464DBF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845" w:type="pct"/>
            <w:vAlign w:val="center"/>
          </w:tcPr>
          <w:p w14:paraId="09F14345">
            <w:pPr>
              <w:spacing w:line="360" w:lineRule="auto"/>
              <w:jc w:val="center"/>
              <w:rPr>
                <w:rFonts w:cs="宋体"/>
                <w:color w:val="auto"/>
                <w:szCs w:val="22"/>
              </w:rPr>
            </w:pPr>
            <w:r>
              <w:rPr>
                <w:rFonts w:hint="eastAsia" w:cs="宋体"/>
                <w:color w:val="auto"/>
                <w:szCs w:val="22"/>
              </w:rPr>
              <w:t>项目副经理</w:t>
            </w:r>
          </w:p>
        </w:tc>
        <w:tc>
          <w:tcPr>
            <w:tcW w:w="641" w:type="pct"/>
            <w:vAlign w:val="center"/>
          </w:tcPr>
          <w:p w14:paraId="5C71071C">
            <w:pPr>
              <w:keepNext/>
              <w:spacing w:line="360" w:lineRule="auto"/>
              <w:jc w:val="center"/>
              <w:rPr>
                <w:rFonts w:cs="宋体"/>
                <w:color w:val="auto"/>
                <w:szCs w:val="21"/>
              </w:rPr>
            </w:pPr>
          </w:p>
        </w:tc>
        <w:tc>
          <w:tcPr>
            <w:tcW w:w="513" w:type="pct"/>
            <w:vAlign w:val="center"/>
          </w:tcPr>
          <w:p w14:paraId="47406B2E">
            <w:pPr>
              <w:keepNext/>
              <w:spacing w:line="360" w:lineRule="auto"/>
              <w:jc w:val="center"/>
              <w:rPr>
                <w:rFonts w:cs="宋体"/>
                <w:color w:val="auto"/>
                <w:szCs w:val="21"/>
              </w:rPr>
            </w:pPr>
          </w:p>
        </w:tc>
        <w:tc>
          <w:tcPr>
            <w:tcW w:w="373" w:type="pct"/>
            <w:vAlign w:val="center"/>
          </w:tcPr>
          <w:p w14:paraId="59BE7A0F">
            <w:pPr>
              <w:keepNext/>
              <w:spacing w:line="360" w:lineRule="auto"/>
              <w:jc w:val="center"/>
              <w:rPr>
                <w:rFonts w:cs="宋体"/>
                <w:color w:val="auto"/>
                <w:szCs w:val="21"/>
              </w:rPr>
            </w:pPr>
          </w:p>
        </w:tc>
        <w:tc>
          <w:tcPr>
            <w:tcW w:w="1889" w:type="pct"/>
            <w:vAlign w:val="center"/>
          </w:tcPr>
          <w:p w14:paraId="381A33DE">
            <w:pPr>
              <w:keepNext/>
              <w:spacing w:line="360" w:lineRule="auto"/>
              <w:jc w:val="center"/>
              <w:rPr>
                <w:rFonts w:cs="宋体"/>
                <w:color w:val="auto"/>
                <w:szCs w:val="21"/>
              </w:rPr>
            </w:pPr>
          </w:p>
        </w:tc>
        <w:tc>
          <w:tcPr>
            <w:tcW w:w="739" w:type="pct"/>
            <w:vAlign w:val="center"/>
          </w:tcPr>
          <w:p w14:paraId="69E5D244">
            <w:pPr>
              <w:keepNext/>
              <w:spacing w:line="360" w:lineRule="auto"/>
              <w:jc w:val="center"/>
              <w:rPr>
                <w:rFonts w:cs="宋体"/>
                <w:color w:val="auto"/>
                <w:szCs w:val="21"/>
              </w:rPr>
            </w:pPr>
          </w:p>
        </w:tc>
      </w:tr>
      <w:tr w14:paraId="2D5DBD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2A4C5F59">
            <w:pPr>
              <w:spacing w:line="360" w:lineRule="auto"/>
              <w:jc w:val="center"/>
              <w:rPr>
                <w:rFonts w:cs="宋体"/>
                <w:color w:val="auto"/>
                <w:szCs w:val="22"/>
              </w:rPr>
            </w:pPr>
            <w:r>
              <w:rPr>
                <w:rFonts w:hint="eastAsia" w:cs="宋体"/>
                <w:color w:val="auto"/>
                <w:szCs w:val="22"/>
              </w:rPr>
              <w:t>项目技术负责人</w:t>
            </w:r>
          </w:p>
        </w:tc>
        <w:tc>
          <w:tcPr>
            <w:tcW w:w="641" w:type="pct"/>
            <w:vAlign w:val="center"/>
          </w:tcPr>
          <w:p w14:paraId="15C06918">
            <w:pPr>
              <w:keepNext/>
              <w:spacing w:line="360" w:lineRule="auto"/>
              <w:jc w:val="center"/>
              <w:rPr>
                <w:rFonts w:cs="宋体"/>
                <w:color w:val="auto"/>
                <w:szCs w:val="21"/>
              </w:rPr>
            </w:pPr>
          </w:p>
        </w:tc>
        <w:tc>
          <w:tcPr>
            <w:tcW w:w="513" w:type="pct"/>
            <w:vAlign w:val="center"/>
          </w:tcPr>
          <w:p w14:paraId="552C41A4">
            <w:pPr>
              <w:keepNext/>
              <w:spacing w:line="360" w:lineRule="auto"/>
              <w:jc w:val="center"/>
              <w:rPr>
                <w:rFonts w:cs="宋体"/>
                <w:color w:val="auto"/>
                <w:szCs w:val="21"/>
              </w:rPr>
            </w:pPr>
          </w:p>
        </w:tc>
        <w:tc>
          <w:tcPr>
            <w:tcW w:w="373" w:type="pct"/>
            <w:vAlign w:val="center"/>
          </w:tcPr>
          <w:p w14:paraId="098139F3">
            <w:pPr>
              <w:keepNext/>
              <w:spacing w:line="360" w:lineRule="auto"/>
              <w:jc w:val="center"/>
              <w:rPr>
                <w:rFonts w:cs="宋体"/>
                <w:color w:val="auto"/>
                <w:szCs w:val="21"/>
              </w:rPr>
            </w:pPr>
          </w:p>
        </w:tc>
        <w:tc>
          <w:tcPr>
            <w:tcW w:w="1889" w:type="pct"/>
            <w:vAlign w:val="center"/>
          </w:tcPr>
          <w:p w14:paraId="5600F165">
            <w:pPr>
              <w:keepNext/>
              <w:spacing w:line="360" w:lineRule="auto"/>
              <w:jc w:val="center"/>
              <w:rPr>
                <w:rFonts w:cs="宋体"/>
                <w:color w:val="auto"/>
                <w:szCs w:val="21"/>
              </w:rPr>
            </w:pPr>
          </w:p>
        </w:tc>
        <w:tc>
          <w:tcPr>
            <w:tcW w:w="739" w:type="pct"/>
            <w:vAlign w:val="center"/>
          </w:tcPr>
          <w:p w14:paraId="7A6BDCFA">
            <w:pPr>
              <w:keepNext/>
              <w:spacing w:line="360" w:lineRule="auto"/>
              <w:jc w:val="center"/>
              <w:rPr>
                <w:rFonts w:cs="宋体"/>
                <w:color w:val="auto"/>
                <w:szCs w:val="21"/>
              </w:rPr>
            </w:pPr>
          </w:p>
        </w:tc>
      </w:tr>
      <w:tr w14:paraId="320E4A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3AE2D9B8">
            <w:pPr>
              <w:spacing w:line="360" w:lineRule="auto"/>
              <w:jc w:val="center"/>
              <w:rPr>
                <w:rFonts w:cs="宋体"/>
                <w:color w:val="auto"/>
                <w:szCs w:val="22"/>
              </w:rPr>
            </w:pPr>
            <w:r>
              <w:rPr>
                <w:rFonts w:hint="eastAsia" w:cs="宋体"/>
                <w:color w:val="auto"/>
                <w:szCs w:val="22"/>
              </w:rPr>
              <w:t>施工员</w:t>
            </w:r>
          </w:p>
        </w:tc>
        <w:tc>
          <w:tcPr>
            <w:tcW w:w="641" w:type="pct"/>
            <w:vAlign w:val="center"/>
          </w:tcPr>
          <w:p w14:paraId="6A608913">
            <w:pPr>
              <w:keepNext/>
              <w:spacing w:line="360" w:lineRule="auto"/>
              <w:jc w:val="center"/>
              <w:rPr>
                <w:rFonts w:cs="宋体"/>
                <w:color w:val="auto"/>
                <w:szCs w:val="21"/>
              </w:rPr>
            </w:pPr>
          </w:p>
        </w:tc>
        <w:tc>
          <w:tcPr>
            <w:tcW w:w="513" w:type="pct"/>
            <w:vAlign w:val="center"/>
          </w:tcPr>
          <w:p w14:paraId="0290DE4F">
            <w:pPr>
              <w:keepNext/>
              <w:spacing w:line="360" w:lineRule="auto"/>
              <w:jc w:val="center"/>
              <w:rPr>
                <w:rFonts w:cs="宋体"/>
                <w:color w:val="auto"/>
                <w:szCs w:val="21"/>
              </w:rPr>
            </w:pPr>
          </w:p>
        </w:tc>
        <w:tc>
          <w:tcPr>
            <w:tcW w:w="373" w:type="pct"/>
            <w:vAlign w:val="center"/>
          </w:tcPr>
          <w:p w14:paraId="4985CC94">
            <w:pPr>
              <w:keepNext/>
              <w:spacing w:line="360" w:lineRule="auto"/>
              <w:jc w:val="center"/>
              <w:rPr>
                <w:rFonts w:cs="宋体"/>
                <w:color w:val="auto"/>
                <w:szCs w:val="21"/>
              </w:rPr>
            </w:pPr>
          </w:p>
        </w:tc>
        <w:tc>
          <w:tcPr>
            <w:tcW w:w="1889" w:type="pct"/>
            <w:vAlign w:val="center"/>
          </w:tcPr>
          <w:p w14:paraId="3EDAACDD">
            <w:pPr>
              <w:keepNext/>
              <w:spacing w:line="360" w:lineRule="auto"/>
              <w:jc w:val="center"/>
              <w:rPr>
                <w:rFonts w:cs="宋体"/>
                <w:color w:val="auto"/>
                <w:szCs w:val="21"/>
              </w:rPr>
            </w:pPr>
          </w:p>
        </w:tc>
        <w:tc>
          <w:tcPr>
            <w:tcW w:w="739" w:type="pct"/>
            <w:vAlign w:val="center"/>
          </w:tcPr>
          <w:p w14:paraId="1F22F58D">
            <w:pPr>
              <w:keepNext/>
              <w:spacing w:line="360" w:lineRule="auto"/>
              <w:jc w:val="center"/>
              <w:rPr>
                <w:rFonts w:cs="宋体"/>
                <w:color w:val="auto"/>
                <w:szCs w:val="21"/>
              </w:rPr>
            </w:pPr>
          </w:p>
        </w:tc>
      </w:tr>
      <w:tr w14:paraId="115AEE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230F730B">
            <w:pPr>
              <w:spacing w:line="360" w:lineRule="auto"/>
              <w:jc w:val="center"/>
              <w:rPr>
                <w:rFonts w:cs="宋体"/>
                <w:color w:val="auto"/>
                <w:szCs w:val="22"/>
              </w:rPr>
            </w:pPr>
            <w:r>
              <w:rPr>
                <w:rFonts w:hint="eastAsia" w:cs="宋体"/>
                <w:color w:val="auto"/>
                <w:szCs w:val="22"/>
              </w:rPr>
              <w:t>质检员（质量员）</w:t>
            </w:r>
          </w:p>
        </w:tc>
        <w:tc>
          <w:tcPr>
            <w:tcW w:w="641" w:type="pct"/>
            <w:vAlign w:val="center"/>
          </w:tcPr>
          <w:p w14:paraId="35599D7B">
            <w:pPr>
              <w:keepNext/>
              <w:spacing w:line="360" w:lineRule="auto"/>
              <w:jc w:val="center"/>
              <w:rPr>
                <w:rFonts w:cs="宋体"/>
                <w:color w:val="auto"/>
                <w:szCs w:val="21"/>
              </w:rPr>
            </w:pPr>
          </w:p>
        </w:tc>
        <w:tc>
          <w:tcPr>
            <w:tcW w:w="513" w:type="pct"/>
            <w:vAlign w:val="center"/>
          </w:tcPr>
          <w:p w14:paraId="1A35F88D">
            <w:pPr>
              <w:keepNext/>
              <w:spacing w:line="360" w:lineRule="auto"/>
              <w:jc w:val="center"/>
              <w:rPr>
                <w:rFonts w:cs="宋体"/>
                <w:color w:val="auto"/>
                <w:szCs w:val="21"/>
              </w:rPr>
            </w:pPr>
          </w:p>
        </w:tc>
        <w:tc>
          <w:tcPr>
            <w:tcW w:w="373" w:type="pct"/>
            <w:vAlign w:val="center"/>
          </w:tcPr>
          <w:p w14:paraId="017ADA99">
            <w:pPr>
              <w:keepNext/>
              <w:spacing w:line="360" w:lineRule="auto"/>
              <w:jc w:val="center"/>
              <w:rPr>
                <w:rFonts w:cs="宋体"/>
                <w:color w:val="auto"/>
                <w:szCs w:val="21"/>
              </w:rPr>
            </w:pPr>
          </w:p>
        </w:tc>
        <w:tc>
          <w:tcPr>
            <w:tcW w:w="1889" w:type="pct"/>
            <w:vAlign w:val="center"/>
          </w:tcPr>
          <w:p w14:paraId="33085826">
            <w:pPr>
              <w:keepNext/>
              <w:spacing w:line="360" w:lineRule="auto"/>
              <w:jc w:val="center"/>
              <w:rPr>
                <w:rFonts w:cs="宋体"/>
                <w:color w:val="auto"/>
                <w:szCs w:val="21"/>
              </w:rPr>
            </w:pPr>
          </w:p>
        </w:tc>
        <w:tc>
          <w:tcPr>
            <w:tcW w:w="739" w:type="pct"/>
            <w:vAlign w:val="center"/>
          </w:tcPr>
          <w:p w14:paraId="38891E37">
            <w:pPr>
              <w:keepNext/>
              <w:spacing w:line="360" w:lineRule="auto"/>
              <w:jc w:val="center"/>
              <w:rPr>
                <w:rFonts w:cs="宋体"/>
                <w:color w:val="auto"/>
                <w:szCs w:val="21"/>
              </w:rPr>
            </w:pPr>
          </w:p>
        </w:tc>
      </w:tr>
      <w:tr w14:paraId="5A7201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60DB6D62">
            <w:pPr>
              <w:spacing w:line="360" w:lineRule="auto"/>
              <w:jc w:val="center"/>
              <w:rPr>
                <w:rFonts w:cs="宋体"/>
                <w:color w:val="auto"/>
                <w:szCs w:val="22"/>
              </w:rPr>
            </w:pPr>
            <w:r>
              <w:rPr>
                <w:rFonts w:hint="eastAsia" w:cs="宋体"/>
                <w:color w:val="auto"/>
                <w:szCs w:val="22"/>
              </w:rPr>
              <w:t>安全员</w:t>
            </w:r>
          </w:p>
        </w:tc>
        <w:tc>
          <w:tcPr>
            <w:tcW w:w="641" w:type="pct"/>
            <w:vAlign w:val="center"/>
          </w:tcPr>
          <w:p w14:paraId="6F54F159">
            <w:pPr>
              <w:keepNext/>
              <w:spacing w:line="360" w:lineRule="auto"/>
              <w:jc w:val="center"/>
              <w:rPr>
                <w:rFonts w:cs="宋体"/>
                <w:color w:val="auto"/>
                <w:szCs w:val="21"/>
              </w:rPr>
            </w:pPr>
          </w:p>
        </w:tc>
        <w:tc>
          <w:tcPr>
            <w:tcW w:w="513" w:type="pct"/>
            <w:vAlign w:val="center"/>
          </w:tcPr>
          <w:p w14:paraId="4D941D3F">
            <w:pPr>
              <w:keepNext/>
              <w:spacing w:line="360" w:lineRule="auto"/>
              <w:jc w:val="center"/>
              <w:rPr>
                <w:rFonts w:cs="宋体"/>
                <w:color w:val="auto"/>
                <w:szCs w:val="21"/>
              </w:rPr>
            </w:pPr>
          </w:p>
        </w:tc>
        <w:tc>
          <w:tcPr>
            <w:tcW w:w="373" w:type="pct"/>
            <w:vAlign w:val="center"/>
          </w:tcPr>
          <w:p w14:paraId="6BBF434E">
            <w:pPr>
              <w:keepNext/>
              <w:spacing w:line="360" w:lineRule="auto"/>
              <w:jc w:val="center"/>
              <w:rPr>
                <w:rFonts w:cs="宋体"/>
                <w:color w:val="auto"/>
                <w:szCs w:val="21"/>
              </w:rPr>
            </w:pPr>
          </w:p>
        </w:tc>
        <w:tc>
          <w:tcPr>
            <w:tcW w:w="1889" w:type="pct"/>
            <w:vAlign w:val="center"/>
          </w:tcPr>
          <w:p w14:paraId="783E5130">
            <w:pPr>
              <w:keepNext/>
              <w:spacing w:line="360" w:lineRule="auto"/>
              <w:jc w:val="center"/>
              <w:rPr>
                <w:rFonts w:cs="宋体"/>
                <w:color w:val="auto"/>
                <w:szCs w:val="21"/>
              </w:rPr>
            </w:pPr>
          </w:p>
        </w:tc>
        <w:tc>
          <w:tcPr>
            <w:tcW w:w="739" w:type="pct"/>
            <w:vAlign w:val="center"/>
          </w:tcPr>
          <w:p w14:paraId="158B5936">
            <w:pPr>
              <w:keepNext/>
              <w:spacing w:line="360" w:lineRule="auto"/>
              <w:jc w:val="center"/>
              <w:rPr>
                <w:rFonts w:cs="宋体"/>
                <w:color w:val="auto"/>
                <w:szCs w:val="21"/>
              </w:rPr>
            </w:pPr>
          </w:p>
        </w:tc>
      </w:tr>
      <w:tr w14:paraId="300E68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02A01D6A">
            <w:pPr>
              <w:spacing w:line="360" w:lineRule="auto"/>
              <w:jc w:val="center"/>
              <w:rPr>
                <w:rFonts w:cs="宋体"/>
                <w:color w:val="auto"/>
                <w:szCs w:val="22"/>
              </w:rPr>
            </w:pPr>
            <w:r>
              <w:rPr>
                <w:rFonts w:hint="eastAsia" w:cs="宋体"/>
                <w:color w:val="auto"/>
                <w:szCs w:val="22"/>
              </w:rPr>
              <w:t>资料员</w:t>
            </w:r>
          </w:p>
        </w:tc>
        <w:tc>
          <w:tcPr>
            <w:tcW w:w="641" w:type="pct"/>
            <w:vAlign w:val="center"/>
          </w:tcPr>
          <w:p w14:paraId="78212B64">
            <w:pPr>
              <w:keepNext/>
              <w:spacing w:line="360" w:lineRule="auto"/>
              <w:jc w:val="center"/>
              <w:rPr>
                <w:rFonts w:cs="宋体"/>
                <w:color w:val="auto"/>
                <w:szCs w:val="21"/>
              </w:rPr>
            </w:pPr>
          </w:p>
        </w:tc>
        <w:tc>
          <w:tcPr>
            <w:tcW w:w="513" w:type="pct"/>
            <w:vAlign w:val="center"/>
          </w:tcPr>
          <w:p w14:paraId="5B583902">
            <w:pPr>
              <w:keepNext/>
              <w:spacing w:line="360" w:lineRule="auto"/>
              <w:jc w:val="center"/>
              <w:rPr>
                <w:rFonts w:cs="宋体"/>
                <w:color w:val="auto"/>
                <w:szCs w:val="21"/>
              </w:rPr>
            </w:pPr>
          </w:p>
        </w:tc>
        <w:tc>
          <w:tcPr>
            <w:tcW w:w="373" w:type="pct"/>
            <w:vAlign w:val="center"/>
          </w:tcPr>
          <w:p w14:paraId="65943FFC">
            <w:pPr>
              <w:keepNext/>
              <w:spacing w:line="360" w:lineRule="auto"/>
              <w:jc w:val="center"/>
              <w:rPr>
                <w:rFonts w:cs="宋体"/>
                <w:color w:val="auto"/>
                <w:szCs w:val="21"/>
              </w:rPr>
            </w:pPr>
          </w:p>
        </w:tc>
        <w:tc>
          <w:tcPr>
            <w:tcW w:w="1889" w:type="pct"/>
            <w:vAlign w:val="center"/>
          </w:tcPr>
          <w:p w14:paraId="07237214">
            <w:pPr>
              <w:keepNext/>
              <w:spacing w:line="360" w:lineRule="auto"/>
              <w:jc w:val="center"/>
              <w:rPr>
                <w:rFonts w:cs="宋体"/>
                <w:color w:val="auto"/>
                <w:szCs w:val="21"/>
              </w:rPr>
            </w:pPr>
          </w:p>
        </w:tc>
        <w:tc>
          <w:tcPr>
            <w:tcW w:w="739" w:type="pct"/>
            <w:vAlign w:val="center"/>
          </w:tcPr>
          <w:p w14:paraId="098DF461">
            <w:pPr>
              <w:keepNext/>
              <w:spacing w:line="360" w:lineRule="auto"/>
              <w:jc w:val="center"/>
              <w:rPr>
                <w:rFonts w:cs="宋体"/>
                <w:color w:val="auto"/>
                <w:szCs w:val="21"/>
              </w:rPr>
            </w:pPr>
          </w:p>
        </w:tc>
      </w:tr>
      <w:tr w14:paraId="6D53C2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restart"/>
            <w:vAlign w:val="center"/>
          </w:tcPr>
          <w:p w14:paraId="5D69C94F">
            <w:pPr>
              <w:keepNext/>
              <w:spacing w:line="360" w:lineRule="auto"/>
              <w:jc w:val="center"/>
              <w:rPr>
                <w:rFonts w:cs="宋体"/>
                <w:color w:val="auto"/>
                <w:szCs w:val="21"/>
              </w:rPr>
            </w:pPr>
            <w:r>
              <w:rPr>
                <w:rFonts w:hint="eastAsia" w:cs="宋体"/>
                <w:color w:val="auto"/>
                <w:szCs w:val="21"/>
              </w:rPr>
              <w:t>其他人员</w:t>
            </w:r>
          </w:p>
        </w:tc>
        <w:tc>
          <w:tcPr>
            <w:tcW w:w="641" w:type="pct"/>
            <w:vAlign w:val="center"/>
          </w:tcPr>
          <w:p w14:paraId="48B8679B">
            <w:pPr>
              <w:keepNext/>
              <w:spacing w:line="360" w:lineRule="auto"/>
              <w:jc w:val="center"/>
              <w:rPr>
                <w:rFonts w:cs="宋体"/>
                <w:color w:val="auto"/>
                <w:szCs w:val="21"/>
              </w:rPr>
            </w:pPr>
          </w:p>
        </w:tc>
        <w:tc>
          <w:tcPr>
            <w:tcW w:w="513" w:type="pct"/>
            <w:vAlign w:val="center"/>
          </w:tcPr>
          <w:p w14:paraId="3BA0D8EE">
            <w:pPr>
              <w:keepNext/>
              <w:spacing w:line="360" w:lineRule="auto"/>
              <w:jc w:val="center"/>
              <w:rPr>
                <w:rFonts w:cs="宋体"/>
                <w:color w:val="auto"/>
                <w:szCs w:val="21"/>
              </w:rPr>
            </w:pPr>
          </w:p>
        </w:tc>
        <w:tc>
          <w:tcPr>
            <w:tcW w:w="373" w:type="pct"/>
            <w:vAlign w:val="center"/>
          </w:tcPr>
          <w:p w14:paraId="11C29650">
            <w:pPr>
              <w:keepNext/>
              <w:spacing w:line="360" w:lineRule="auto"/>
              <w:jc w:val="center"/>
              <w:rPr>
                <w:rFonts w:cs="宋体"/>
                <w:color w:val="auto"/>
                <w:szCs w:val="21"/>
              </w:rPr>
            </w:pPr>
          </w:p>
        </w:tc>
        <w:tc>
          <w:tcPr>
            <w:tcW w:w="1889" w:type="pct"/>
            <w:vAlign w:val="center"/>
          </w:tcPr>
          <w:p w14:paraId="7C338CB7">
            <w:pPr>
              <w:keepNext/>
              <w:spacing w:line="360" w:lineRule="auto"/>
              <w:jc w:val="center"/>
              <w:rPr>
                <w:rFonts w:cs="宋体"/>
                <w:color w:val="auto"/>
                <w:szCs w:val="21"/>
              </w:rPr>
            </w:pPr>
          </w:p>
        </w:tc>
        <w:tc>
          <w:tcPr>
            <w:tcW w:w="739" w:type="pct"/>
            <w:vAlign w:val="center"/>
          </w:tcPr>
          <w:p w14:paraId="75D30F3A">
            <w:pPr>
              <w:keepNext/>
              <w:spacing w:line="360" w:lineRule="auto"/>
              <w:jc w:val="center"/>
              <w:rPr>
                <w:rFonts w:cs="宋体"/>
                <w:color w:val="auto"/>
                <w:szCs w:val="21"/>
              </w:rPr>
            </w:pPr>
          </w:p>
        </w:tc>
      </w:tr>
      <w:tr w14:paraId="447396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14:paraId="34EC509C">
            <w:pPr>
              <w:keepNext/>
              <w:spacing w:line="360" w:lineRule="auto"/>
              <w:jc w:val="center"/>
              <w:rPr>
                <w:rFonts w:cs="宋体"/>
                <w:color w:val="auto"/>
                <w:szCs w:val="21"/>
              </w:rPr>
            </w:pPr>
          </w:p>
        </w:tc>
        <w:tc>
          <w:tcPr>
            <w:tcW w:w="641" w:type="pct"/>
            <w:tcBorders>
              <w:bottom w:val="nil"/>
            </w:tcBorders>
            <w:vAlign w:val="center"/>
          </w:tcPr>
          <w:p w14:paraId="31332A01">
            <w:pPr>
              <w:keepNext/>
              <w:spacing w:line="360" w:lineRule="auto"/>
              <w:jc w:val="center"/>
              <w:rPr>
                <w:rFonts w:cs="宋体"/>
                <w:color w:val="auto"/>
                <w:szCs w:val="21"/>
              </w:rPr>
            </w:pPr>
          </w:p>
        </w:tc>
        <w:tc>
          <w:tcPr>
            <w:tcW w:w="513" w:type="pct"/>
            <w:tcBorders>
              <w:bottom w:val="nil"/>
            </w:tcBorders>
            <w:vAlign w:val="center"/>
          </w:tcPr>
          <w:p w14:paraId="237A1995">
            <w:pPr>
              <w:keepNext/>
              <w:spacing w:line="360" w:lineRule="auto"/>
              <w:jc w:val="center"/>
              <w:rPr>
                <w:rFonts w:cs="宋体"/>
                <w:color w:val="auto"/>
                <w:szCs w:val="21"/>
              </w:rPr>
            </w:pPr>
          </w:p>
        </w:tc>
        <w:tc>
          <w:tcPr>
            <w:tcW w:w="373" w:type="pct"/>
            <w:tcBorders>
              <w:bottom w:val="nil"/>
            </w:tcBorders>
            <w:vAlign w:val="center"/>
          </w:tcPr>
          <w:p w14:paraId="79AF69FD">
            <w:pPr>
              <w:keepNext/>
              <w:spacing w:line="360" w:lineRule="auto"/>
              <w:jc w:val="center"/>
              <w:rPr>
                <w:rFonts w:cs="宋体"/>
                <w:color w:val="auto"/>
                <w:szCs w:val="21"/>
              </w:rPr>
            </w:pPr>
          </w:p>
        </w:tc>
        <w:tc>
          <w:tcPr>
            <w:tcW w:w="1889" w:type="pct"/>
            <w:tcBorders>
              <w:bottom w:val="nil"/>
            </w:tcBorders>
            <w:vAlign w:val="center"/>
          </w:tcPr>
          <w:p w14:paraId="1CD21A1F">
            <w:pPr>
              <w:keepNext/>
              <w:spacing w:line="360" w:lineRule="auto"/>
              <w:jc w:val="center"/>
              <w:rPr>
                <w:rFonts w:cs="宋体"/>
                <w:color w:val="auto"/>
                <w:szCs w:val="21"/>
              </w:rPr>
            </w:pPr>
          </w:p>
        </w:tc>
        <w:tc>
          <w:tcPr>
            <w:tcW w:w="739" w:type="pct"/>
            <w:tcBorders>
              <w:bottom w:val="nil"/>
            </w:tcBorders>
            <w:vAlign w:val="center"/>
          </w:tcPr>
          <w:p w14:paraId="49B94C39">
            <w:pPr>
              <w:keepNext/>
              <w:spacing w:line="360" w:lineRule="auto"/>
              <w:jc w:val="center"/>
              <w:rPr>
                <w:rFonts w:cs="宋体"/>
                <w:color w:val="auto"/>
                <w:szCs w:val="21"/>
              </w:rPr>
            </w:pPr>
          </w:p>
        </w:tc>
      </w:tr>
      <w:tr w14:paraId="5EAC23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14:paraId="66677A07">
            <w:pPr>
              <w:keepNext/>
              <w:spacing w:line="360" w:lineRule="auto"/>
              <w:jc w:val="center"/>
              <w:rPr>
                <w:rFonts w:cs="宋体"/>
                <w:color w:val="auto"/>
                <w:szCs w:val="21"/>
              </w:rPr>
            </w:pPr>
          </w:p>
        </w:tc>
        <w:tc>
          <w:tcPr>
            <w:tcW w:w="641" w:type="pct"/>
            <w:vAlign w:val="center"/>
          </w:tcPr>
          <w:p w14:paraId="142A1EB9">
            <w:pPr>
              <w:keepNext/>
              <w:spacing w:line="360" w:lineRule="auto"/>
              <w:jc w:val="center"/>
              <w:rPr>
                <w:rFonts w:cs="宋体"/>
                <w:color w:val="auto"/>
                <w:szCs w:val="21"/>
              </w:rPr>
            </w:pPr>
          </w:p>
        </w:tc>
        <w:tc>
          <w:tcPr>
            <w:tcW w:w="513" w:type="pct"/>
            <w:vAlign w:val="center"/>
          </w:tcPr>
          <w:p w14:paraId="15A1AF7C">
            <w:pPr>
              <w:keepNext/>
              <w:spacing w:line="360" w:lineRule="auto"/>
              <w:jc w:val="center"/>
              <w:rPr>
                <w:rFonts w:cs="宋体"/>
                <w:color w:val="auto"/>
                <w:szCs w:val="21"/>
              </w:rPr>
            </w:pPr>
          </w:p>
        </w:tc>
        <w:tc>
          <w:tcPr>
            <w:tcW w:w="373" w:type="pct"/>
            <w:vAlign w:val="center"/>
          </w:tcPr>
          <w:p w14:paraId="4E124DB3">
            <w:pPr>
              <w:keepNext/>
              <w:spacing w:line="360" w:lineRule="auto"/>
              <w:jc w:val="center"/>
              <w:rPr>
                <w:rFonts w:cs="宋体"/>
                <w:color w:val="auto"/>
                <w:szCs w:val="21"/>
              </w:rPr>
            </w:pPr>
          </w:p>
        </w:tc>
        <w:tc>
          <w:tcPr>
            <w:tcW w:w="1889" w:type="pct"/>
            <w:vAlign w:val="center"/>
          </w:tcPr>
          <w:p w14:paraId="5064E46D">
            <w:pPr>
              <w:keepNext/>
              <w:spacing w:line="360" w:lineRule="auto"/>
              <w:jc w:val="center"/>
              <w:rPr>
                <w:rFonts w:cs="宋体"/>
                <w:color w:val="auto"/>
                <w:szCs w:val="21"/>
              </w:rPr>
            </w:pPr>
          </w:p>
        </w:tc>
        <w:tc>
          <w:tcPr>
            <w:tcW w:w="739" w:type="pct"/>
            <w:vAlign w:val="center"/>
          </w:tcPr>
          <w:p w14:paraId="5BDA2A93">
            <w:pPr>
              <w:keepNext/>
              <w:spacing w:line="360" w:lineRule="auto"/>
              <w:jc w:val="center"/>
              <w:rPr>
                <w:rFonts w:cs="宋体"/>
                <w:color w:val="auto"/>
                <w:szCs w:val="21"/>
              </w:rPr>
            </w:pPr>
          </w:p>
        </w:tc>
      </w:tr>
      <w:tr w14:paraId="3646A7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14:paraId="6DA93C32">
            <w:pPr>
              <w:keepNext/>
              <w:spacing w:line="360" w:lineRule="auto"/>
              <w:jc w:val="center"/>
              <w:rPr>
                <w:rFonts w:cs="宋体"/>
                <w:color w:val="auto"/>
                <w:szCs w:val="21"/>
              </w:rPr>
            </w:pPr>
          </w:p>
        </w:tc>
        <w:tc>
          <w:tcPr>
            <w:tcW w:w="641" w:type="pct"/>
            <w:vAlign w:val="center"/>
          </w:tcPr>
          <w:p w14:paraId="6CE3561D">
            <w:pPr>
              <w:keepNext/>
              <w:spacing w:line="360" w:lineRule="auto"/>
              <w:jc w:val="center"/>
              <w:rPr>
                <w:rFonts w:cs="宋体"/>
                <w:color w:val="auto"/>
                <w:szCs w:val="21"/>
              </w:rPr>
            </w:pPr>
          </w:p>
        </w:tc>
        <w:tc>
          <w:tcPr>
            <w:tcW w:w="513" w:type="pct"/>
            <w:vAlign w:val="center"/>
          </w:tcPr>
          <w:p w14:paraId="5FD44413">
            <w:pPr>
              <w:keepNext/>
              <w:spacing w:line="360" w:lineRule="auto"/>
              <w:jc w:val="center"/>
              <w:rPr>
                <w:rFonts w:cs="宋体"/>
                <w:color w:val="auto"/>
                <w:szCs w:val="21"/>
              </w:rPr>
            </w:pPr>
          </w:p>
        </w:tc>
        <w:tc>
          <w:tcPr>
            <w:tcW w:w="373" w:type="pct"/>
            <w:vAlign w:val="center"/>
          </w:tcPr>
          <w:p w14:paraId="6676C6A4">
            <w:pPr>
              <w:keepNext/>
              <w:spacing w:line="360" w:lineRule="auto"/>
              <w:jc w:val="center"/>
              <w:rPr>
                <w:rFonts w:cs="宋体"/>
                <w:color w:val="auto"/>
                <w:szCs w:val="21"/>
              </w:rPr>
            </w:pPr>
          </w:p>
        </w:tc>
        <w:tc>
          <w:tcPr>
            <w:tcW w:w="1889" w:type="pct"/>
            <w:vAlign w:val="center"/>
          </w:tcPr>
          <w:p w14:paraId="1B063E2B">
            <w:pPr>
              <w:keepNext/>
              <w:spacing w:line="360" w:lineRule="auto"/>
              <w:jc w:val="center"/>
              <w:rPr>
                <w:rFonts w:cs="宋体"/>
                <w:color w:val="auto"/>
                <w:szCs w:val="21"/>
              </w:rPr>
            </w:pPr>
          </w:p>
        </w:tc>
        <w:tc>
          <w:tcPr>
            <w:tcW w:w="739" w:type="pct"/>
            <w:vAlign w:val="center"/>
          </w:tcPr>
          <w:p w14:paraId="31C63CC6">
            <w:pPr>
              <w:keepNext/>
              <w:spacing w:line="360" w:lineRule="auto"/>
              <w:jc w:val="center"/>
              <w:rPr>
                <w:rFonts w:cs="宋体"/>
                <w:color w:val="auto"/>
                <w:szCs w:val="21"/>
              </w:rPr>
            </w:pPr>
          </w:p>
        </w:tc>
      </w:tr>
      <w:tr w14:paraId="045E84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14:paraId="1AC62558">
            <w:pPr>
              <w:keepNext/>
              <w:spacing w:line="360" w:lineRule="auto"/>
              <w:jc w:val="center"/>
              <w:rPr>
                <w:rFonts w:cs="宋体"/>
                <w:color w:val="auto"/>
                <w:szCs w:val="21"/>
              </w:rPr>
            </w:pPr>
          </w:p>
        </w:tc>
        <w:tc>
          <w:tcPr>
            <w:tcW w:w="641" w:type="pct"/>
            <w:vAlign w:val="center"/>
          </w:tcPr>
          <w:p w14:paraId="77D20BE7">
            <w:pPr>
              <w:keepNext/>
              <w:spacing w:line="360" w:lineRule="auto"/>
              <w:jc w:val="center"/>
              <w:rPr>
                <w:rFonts w:cs="宋体"/>
                <w:color w:val="auto"/>
                <w:szCs w:val="21"/>
              </w:rPr>
            </w:pPr>
          </w:p>
        </w:tc>
        <w:tc>
          <w:tcPr>
            <w:tcW w:w="513" w:type="pct"/>
            <w:vAlign w:val="center"/>
          </w:tcPr>
          <w:p w14:paraId="7DC5BFE2">
            <w:pPr>
              <w:keepNext/>
              <w:spacing w:line="360" w:lineRule="auto"/>
              <w:jc w:val="center"/>
              <w:rPr>
                <w:rFonts w:cs="宋体"/>
                <w:color w:val="auto"/>
                <w:szCs w:val="21"/>
              </w:rPr>
            </w:pPr>
          </w:p>
        </w:tc>
        <w:tc>
          <w:tcPr>
            <w:tcW w:w="373" w:type="pct"/>
            <w:vAlign w:val="center"/>
          </w:tcPr>
          <w:p w14:paraId="4B09A67F">
            <w:pPr>
              <w:keepNext/>
              <w:spacing w:line="360" w:lineRule="auto"/>
              <w:jc w:val="center"/>
              <w:rPr>
                <w:rFonts w:cs="宋体"/>
                <w:color w:val="auto"/>
                <w:szCs w:val="21"/>
              </w:rPr>
            </w:pPr>
          </w:p>
        </w:tc>
        <w:tc>
          <w:tcPr>
            <w:tcW w:w="1889" w:type="pct"/>
            <w:vAlign w:val="center"/>
          </w:tcPr>
          <w:p w14:paraId="7A18AC81">
            <w:pPr>
              <w:keepNext/>
              <w:spacing w:line="360" w:lineRule="auto"/>
              <w:jc w:val="center"/>
              <w:rPr>
                <w:rFonts w:cs="宋体"/>
                <w:color w:val="auto"/>
                <w:szCs w:val="21"/>
              </w:rPr>
            </w:pPr>
          </w:p>
        </w:tc>
        <w:tc>
          <w:tcPr>
            <w:tcW w:w="739" w:type="pct"/>
            <w:vAlign w:val="center"/>
          </w:tcPr>
          <w:p w14:paraId="0765839E">
            <w:pPr>
              <w:keepNext/>
              <w:spacing w:line="360" w:lineRule="auto"/>
              <w:jc w:val="center"/>
              <w:rPr>
                <w:rFonts w:cs="宋体"/>
                <w:color w:val="auto"/>
                <w:szCs w:val="21"/>
              </w:rPr>
            </w:pPr>
          </w:p>
        </w:tc>
      </w:tr>
      <w:tr w14:paraId="69B9D5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tcBorders>
              <w:bottom w:val="single" w:color="auto" w:sz="12" w:space="0"/>
            </w:tcBorders>
            <w:vAlign w:val="center"/>
          </w:tcPr>
          <w:p w14:paraId="4F90CDC3">
            <w:pPr>
              <w:keepNext/>
              <w:spacing w:line="360" w:lineRule="auto"/>
              <w:jc w:val="center"/>
              <w:rPr>
                <w:rFonts w:cs="宋体"/>
                <w:color w:val="auto"/>
                <w:szCs w:val="21"/>
              </w:rPr>
            </w:pPr>
          </w:p>
        </w:tc>
        <w:tc>
          <w:tcPr>
            <w:tcW w:w="641" w:type="pct"/>
            <w:tcBorders>
              <w:bottom w:val="single" w:color="auto" w:sz="12" w:space="0"/>
            </w:tcBorders>
            <w:vAlign w:val="center"/>
          </w:tcPr>
          <w:p w14:paraId="3E26B9A2">
            <w:pPr>
              <w:keepNext/>
              <w:spacing w:line="360" w:lineRule="auto"/>
              <w:jc w:val="center"/>
              <w:rPr>
                <w:rFonts w:cs="宋体"/>
                <w:color w:val="auto"/>
                <w:szCs w:val="21"/>
              </w:rPr>
            </w:pPr>
          </w:p>
        </w:tc>
        <w:tc>
          <w:tcPr>
            <w:tcW w:w="513" w:type="pct"/>
            <w:tcBorders>
              <w:bottom w:val="single" w:color="auto" w:sz="12" w:space="0"/>
            </w:tcBorders>
            <w:vAlign w:val="center"/>
          </w:tcPr>
          <w:p w14:paraId="7D3613CA">
            <w:pPr>
              <w:keepNext/>
              <w:spacing w:line="360" w:lineRule="auto"/>
              <w:jc w:val="center"/>
              <w:rPr>
                <w:rFonts w:cs="宋体"/>
                <w:color w:val="auto"/>
                <w:szCs w:val="21"/>
              </w:rPr>
            </w:pPr>
          </w:p>
        </w:tc>
        <w:tc>
          <w:tcPr>
            <w:tcW w:w="373" w:type="pct"/>
            <w:tcBorders>
              <w:bottom w:val="single" w:color="auto" w:sz="12" w:space="0"/>
            </w:tcBorders>
            <w:vAlign w:val="center"/>
          </w:tcPr>
          <w:p w14:paraId="4EB6E1A6">
            <w:pPr>
              <w:keepNext/>
              <w:spacing w:line="360" w:lineRule="auto"/>
              <w:jc w:val="center"/>
              <w:rPr>
                <w:rFonts w:cs="宋体"/>
                <w:color w:val="auto"/>
                <w:szCs w:val="21"/>
              </w:rPr>
            </w:pPr>
          </w:p>
        </w:tc>
        <w:tc>
          <w:tcPr>
            <w:tcW w:w="1889" w:type="pct"/>
            <w:tcBorders>
              <w:bottom w:val="single" w:color="auto" w:sz="12" w:space="0"/>
            </w:tcBorders>
            <w:vAlign w:val="center"/>
          </w:tcPr>
          <w:p w14:paraId="3535218B">
            <w:pPr>
              <w:keepNext/>
              <w:spacing w:line="360" w:lineRule="auto"/>
              <w:jc w:val="center"/>
              <w:rPr>
                <w:rFonts w:cs="宋体"/>
                <w:color w:val="auto"/>
                <w:szCs w:val="21"/>
              </w:rPr>
            </w:pPr>
          </w:p>
        </w:tc>
        <w:tc>
          <w:tcPr>
            <w:tcW w:w="739" w:type="pct"/>
            <w:tcBorders>
              <w:bottom w:val="single" w:color="auto" w:sz="12" w:space="0"/>
            </w:tcBorders>
            <w:vAlign w:val="center"/>
          </w:tcPr>
          <w:p w14:paraId="1F3ECB69">
            <w:pPr>
              <w:keepNext/>
              <w:spacing w:line="360" w:lineRule="auto"/>
              <w:jc w:val="center"/>
              <w:rPr>
                <w:rFonts w:cs="宋体"/>
                <w:color w:val="auto"/>
                <w:szCs w:val="21"/>
              </w:rPr>
            </w:pPr>
          </w:p>
        </w:tc>
      </w:tr>
    </w:tbl>
    <w:p w14:paraId="29CD81E2">
      <w:pPr>
        <w:spacing w:before="312" w:beforeLines="100" w:after="312" w:afterLines="100"/>
        <w:outlineLvl w:val="2"/>
        <w:rPr>
          <w:rFonts w:ascii="Times New Roman" w:eastAsia="黑体"/>
          <w:color w:val="auto"/>
          <w:szCs w:val="24"/>
        </w:rPr>
      </w:pPr>
      <w:r>
        <w:rPr>
          <w:rFonts w:hint="eastAsia" w:cs="宋体"/>
          <w:bCs/>
          <w:color w:val="auto"/>
        </w:rPr>
        <w:br w:type="page"/>
      </w:r>
      <w:bookmarkStart w:id="666" w:name="_Toc128950243"/>
      <w:r>
        <w:rPr>
          <w:rFonts w:hint="eastAsia" w:ascii="Times New Roman" w:eastAsia="黑体"/>
          <w:color w:val="auto"/>
          <w:szCs w:val="24"/>
        </w:rPr>
        <w:t>附</w:t>
      </w:r>
      <w:bookmarkStart w:id="667" w:name="_Toc296891271"/>
      <w:bookmarkStart w:id="668" w:name="_Toc296944570"/>
      <w:bookmarkStart w:id="669" w:name="_Toc296347230"/>
      <w:bookmarkStart w:id="670" w:name="_Toc296503231"/>
      <w:bookmarkStart w:id="671" w:name="_Toc296891059"/>
      <w:bookmarkStart w:id="672" w:name="_Toc296346732"/>
      <w:r>
        <w:rPr>
          <w:rFonts w:hint="eastAsia" w:ascii="Times New Roman" w:eastAsia="黑体"/>
          <w:color w:val="auto"/>
          <w:szCs w:val="24"/>
        </w:rPr>
        <w:t>件</w:t>
      </w:r>
      <w:r>
        <w:rPr>
          <w:rFonts w:ascii="Times New Roman" w:eastAsia="黑体"/>
          <w:color w:val="auto"/>
          <w:szCs w:val="24"/>
        </w:rPr>
        <w:t>8</w:t>
      </w:r>
      <w:r>
        <w:rPr>
          <w:rFonts w:hint="eastAsia" w:ascii="Times New Roman" w:eastAsia="黑体"/>
          <w:color w:val="auto"/>
          <w:szCs w:val="24"/>
        </w:rPr>
        <w:t>：廉政协议</w:t>
      </w:r>
      <w:bookmarkEnd w:id="666"/>
    </w:p>
    <w:bookmarkEnd w:id="667"/>
    <w:bookmarkEnd w:id="668"/>
    <w:bookmarkEnd w:id="669"/>
    <w:bookmarkEnd w:id="670"/>
    <w:bookmarkEnd w:id="671"/>
    <w:bookmarkEnd w:id="672"/>
    <w:p w14:paraId="139DBA92">
      <w:pPr>
        <w:widowControl/>
        <w:spacing w:line="360" w:lineRule="auto"/>
        <w:ind w:firstLine="643"/>
        <w:jc w:val="center"/>
        <w:rPr>
          <w:rFonts w:cs="宋体"/>
          <w:b/>
          <w:bCs/>
          <w:color w:val="auto"/>
          <w:sz w:val="32"/>
          <w:szCs w:val="32"/>
        </w:rPr>
      </w:pPr>
      <w:r>
        <w:rPr>
          <w:rFonts w:hint="eastAsia" w:cs="宋体"/>
          <w:b/>
          <w:bCs/>
          <w:color w:val="auto"/>
          <w:sz w:val="32"/>
          <w:szCs w:val="32"/>
        </w:rPr>
        <w:t>廉政协议</w:t>
      </w:r>
    </w:p>
    <w:p w14:paraId="5266C2C7">
      <w:pPr>
        <w:widowControl/>
        <w:spacing w:line="360" w:lineRule="auto"/>
        <w:ind w:firstLine="420" w:firstLineChars="200"/>
        <w:jc w:val="left"/>
        <w:rPr>
          <w:rFonts w:cs="宋体"/>
          <w:color w:val="auto"/>
          <w:sz w:val="21"/>
          <w:szCs w:val="21"/>
        </w:rPr>
      </w:pPr>
      <w:r>
        <w:rPr>
          <w:rFonts w:hint="eastAsia" w:cs="宋体"/>
          <w:color w:val="auto"/>
          <w:sz w:val="21"/>
          <w:szCs w:val="21"/>
        </w:rPr>
        <w:t>为促进双方诚信经营、廉洁从业，防范商业贿赂，保护国家、集体和当事人的合法权益，根据国家有关法律法规和安徽省廉政建设的规定，</w:t>
      </w:r>
      <w:r>
        <w:rPr>
          <w:rFonts w:hint="eastAsia" w:cs="宋体"/>
          <w:color w:val="auto"/>
          <w:sz w:val="21"/>
          <w:szCs w:val="21"/>
          <w:u w:val="single"/>
        </w:rPr>
        <w:t xml:space="preserve">     </w:t>
      </w:r>
      <w:r>
        <w:rPr>
          <w:rFonts w:hint="eastAsia" w:cs="宋体"/>
          <w:color w:val="auto"/>
          <w:sz w:val="21"/>
          <w:szCs w:val="21"/>
        </w:rPr>
        <w:t>（以下称甲方）与</w:t>
      </w:r>
      <w:r>
        <w:rPr>
          <w:rFonts w:hint="eastAsia" w:cs="宋体"/>
          <w:color w:val="auto"/>
          <w:sz w:val="21"/>
          <w:szCs w:val="21"/>
          <w:u w:val="single"/>
        </w:rPr>
        <w:t xml:space="preserve">             （</w:t>
      </w:r>
      <w:r>
        <w:rPr>
          <w:rFonts w:hint="eastAsia" w:cs="宋体"/>
          <w:color w:val="auto"/>
          <w:sz w:val="21"/>
          <w:szCs w:val="21"/>
        </w:rPr>
        <w:t>以下称乙方），特此订立本协议共同遵照执行。</w:t>
      </w:r>
    </w:p>
    <w:p w14:paraId="554B7C5B">
      <w:pPr>
        <w:widowControl/>
        <w:spacing w:line="360" w:lineRule="auto"/>
        <w:ind w:firstLine="420" w:firstLineChars="200"/>
        <w:jc w:val="left"/>
        <w:rPr>
          <w:rFonts w:cs="宋体"/>
          <w:color w:val="auto"/>
          <w:sz w:val="21"/>
          <w:szCs w:val="21"/>
        </w:rPr>
      </w:pPr>
      <w:r>
        <w:rPr>
          <w:rFonts w:hint="eastAsia" w:cs="宋体"/>
          <w:color w:val="auto"/>
          <w:sz w:val="21"/>
          <w:szCs w:val="21"/>
        </w:rPr>
        <w:t>第一条 甲乙双方的权利和义务</w:t>
      </w:r>
    </w:p>
    <w:p w14:paraId="0A0E9E85">
      <w:pPr>
        <w:widowControl/>
        <w:spacing w:line="360" w:lineRule="auto"/>
        <w:ind w:firstLine="420" w:firstLineChars="200"/>
        <w:jc w:val="left"/>
        <w:rPr>
          <w:rFonts w:cs="宋体"/>
          <w:color w:val="auto"/>
          <w:sz w:val="21"/>
          <w:szCs w:val="21"/>
        </w:rPr>
      </w:pPr>
      <w:r>
        <w:rPr>
          <w:rFonts w:hint="eastAsia" w:cs="宋体"/>
          <w:color w:val="auto"/>
          <w:sz w:val="21"/>
          <w:szCs w:val="21"/>
        </w:rPr>
        <w:t>（一）甲乙双方自觉遵守《中华人民共和国反不正当竞争法》、国家工商行政管理局《关于禁止商业贿赂行为的暂行规定》、国家最高人民检察院、最高人民法院《关于办理受贿刑事案件适用法律若干问题的意见》及相关法律法规和廉政建设的规定。</w:t>
      </w:r>
    </w:p>
    <w:p w14:paraId="79F59439">
      <w:pPr>
        <w:widowControl/>
        <w:spacing w:line="360" w:lineRule="auto"/>
        <w:ind w:firstLine="420" w:firstLineChars="200"/>
        <w:jc w:val="left"/>
        <w:rPr>
          <w:rFonts w:cs="宋体"/>
          <w:color w:val="auto"/>
          <w:sz w:val="21"/>
          <w:szCs w:val="21"/>
        </w:rPr>
      </w:pPr>
      <w:r>
        <w:rPr>
          <w:rFonts w:hint="eastAsia" w:cs="宋体"/>
          <w:color w:val="auto"/>
          <w:sz w:val="21"/>
          <w:szCs w:val="21"/>
        </w:rPr>
        <w:t>（二）严格执行</w:t>
      </w:r>
      <w:r>
        <w:rPr>
          <w:rFonts w:hint="eastAsia" w:cs="宋体"/>
          <w:color w:val="auto"/>
          <w:sz w:val="21"/>
          <w:szCs w:val="21"/>
          <w:u w:val="single"/>
        </w:rPr>
        <w:t xml:space="preserve">                                </w:t>
      </w:r>
      <w:r>
        <w:rPr>
          <w:rFonts w:hint="eastAsia" w:cs="宋体"/>
          <w:color w:val="auto"/>
          <w:sz w:val="21"/>
          <w:szCs w:val="21"/>
        </w:rPr>
        <w:t>的合同要求，自觉履行合同约定的相关义务。</w:t>
      </w:r>
    </w:p>
    <w:p w14:paraId="2B7C71A5">
      <w:pPr>
        <w:widowControl/>
        <w:spacing w:line="360" w:lineRule="auto"/>
        <w:ind w:firstLine="420" w:firstLineChars="200"/>
        <w:jc w:val="left"/>
        <w:rPr>
          <w:rFonts w:cs="宋体"/>
          <w:color w:val="auto"/>
          <w:sz w:val="21"/>
          <w:szCs w:val="21"/>
        </w:rPr>
      </w:pPr>
      <w:r>
        <w:rPr>
          <w:rFonts w:hint="eastAsia" w:cs="宋体"/>
          <w:color w:val="auto"/>
          <w:sz w:val="21"/>
          <w:szCs w:val="21"/>
        </w:rPr>
        <w:t>（三）在业务活动中坚持公开、公正、诚信、透明的原则，不得损害国家、集体利益。</w:t>
      </w:r>
    </w:p>
    <w:p w14:paraId="4928C7B8">
      <w:pPr>
        <w:widowControl/>
        <w:spacing w:line="360" w:lineRule="auto"/>
        <w:ind w:firstLine="420" w:firstLineChars="200"/>
        <w:jc w:val="left"/>
        <w:rPr>
          <w:rFonts w:cs="宋体"/>
          <w:color w:val="auto"/>
          <w:sz w:val="21"/>
          <w:szCs w:val="21"/>
        </w:rPr>
      </w:pPr>
      <w:r>
        <w:rPr>
          <w:rFonts w:hint="eastAsia" w:cs="宋体"/>
          <w:color w:val="auto"/>
          <w:sz w:val="21"/>
          <w:szCs w:val="21"/>
        </w:rPr>
        <w:t>（四）建立健全廉政制度，开展廉政教育，公布举报电话，监督并认真查处违法违纪行为。</w:t>
      </w:r>
    </w:p>
    <w:p w14:paraId="4CA20CE8">
      <w:pPr>
        <w:widowControl/>
        <w:spacing w:line="360" w:lineRule="auto"/>
        <w:ind w:firstLine="420" w:firstLineChars="200"/>
        <w:jc w:val="left"/>
        <w:rPr>
          <w:rFonts w:cs="宋体"/>
          <w:color w:val="auto"/>
          <w:sz w:val="21"/>
          <w:szCs w:val="21"/>
        </w:rPr>
      </w:pPr>
      <w:r>
        <w:rPr>
          <w:rFonts w:hint="eastAsia" w:cs="宋体"/>
          <w:color w:val="auto"/>
          <w:sz w:val="21"/>
          <w:szCs w:val="21"/>
        </w:rPr>
        <w:t>（五）发现对方在业务活动中有违反廉政规定的行为，应及时提醒对方纠正。情节严重的，应向其上级有关部门举报、建议给予处理，并有权要求告知处理结果。</w:t>
      </w:r>
    </w:p>
    <w:p w14:paraId="3CA02316">
      <w:pPr>
        <w:widowControl/>
        <w:spacing w:line="360" w:lineRule="auto"/>
        <w:ind w:firstLine="420" w:firstLineChars="200"/>
        <w:jc w:val="left"/>
        <w:rPr>
          <w:rFonts w:cs="宋体"/>
          <w:color w:val="auto"/>
          <w:sz w:val="21"/>
          <w:szCs w:val="21"/>
        </w:rPr>
      </w:pPr>
      <w:r>
        <w:rPr>
          <w:rFonts w:hint="eastAsia" w:cs="宋体"/>
          <w:color w:val="auto"/>
          <w:sz w:val="21"/>
          <w:szCs w:val="21"/>
        </w:rPr>
        <w:t>第二条 甲方的义务</w:t>
      </w:r>
    </w:p>
    <w:p w14:paraId="1804352F">
      <w:pPr>
        <w:widowControl/>
        <w:spacing w:line="360" w:lineRule="auto"/>
        <w:ind w:firstLine="525" w:firstLineChars="250"/>
        <w:jc w:val="left"/>
        <w:rPr>
          <w:rFonts w:cs="宋体"/>
          <w:color w:val="auto"/>
          <w:sz w:val="21"/>
          <w:szCs w:val="21"/>
        </w:rPr>
      </w:pPr>
      <w:r>
        <w:rPr>
          <w:rFonts w:hint="eastAsia" w:cs="宋体"/>
          <w:color w:val="auto"/>
          <w:sz w:val="21"/>
          <w:szCs w:val="21"/>
        </w:rPr>
        <w:t>（一）甲方及其工作人员不得索要或接受乙方的礼金、有价证券和贵重物品，不得在乙方报销任何应由甲方单位或个人支付的费用等。</w:t>
      </w:r>
    </w:p>
    <w:p w14:paraId="54209723">
      <w:pPr>
        <w:widowControl/>
        <w:spacing w:line="360" w:lineRule="auto"/>
        <w:ind w:firstLine="420" w:firstLineChars="200"/>
        <w:jc w:val="left"/>
        <w:rPr>
          <w:rFonts w:cs="宋体"/>
          <w:color w:val="auto"/>
          <w:sz w:val="21"/>
          <w:szCs w:val="21"/>
        </w:rPr>
      </w:pPr>
      <w:r>
        <w:rPr>
          <w:rFonts w:hint="eastAsia" w:cs="宋体"/>
          <w:color w:val="auto"/>
          <w:sz w:val="21"/>
          <w:szCs w:val="21"/>
        </w:rPr>
        <w:t>（二）甲方工作人员不得参加乙方安排的可能影响相关业务公开、公正、公平性的宴请和娱乐活动；不得参与任何形式的赌博，严禁通过赌博方式取得乙方及其工作人员的财物；不得接受乙方提供的通讯工具和高档办公用品等。</w:t>
      </w:r>
    </w:p>
    <w:p w14:paraId="3DEDA92A">
      <w:pPr>
        <w:widowControl/>
        <w:spacing w:line="360" w:lineRule="auto"/>
        <w:ind w:firstLine="420" w:firstLineChars="200"/>
        <w:jc w:val="left"/>
        <w:rPr>
          <w:rFonts w:cs="宋体"/>
          <w:color w:val="auto"/>
          <w:sz w:val="21"/>
          <w:szCs w:val="21"/>
        </w:rPr>
      </w:pPr>
      <w:r>
        <w:rPr>
          <w:rFonts w:hint="eastAsia" w:cs="宋体"/>
          <w:color w:val="auto"/>
          <w:sz w:val="21"/>
          <w:szCs w:val="21"/>
        </w:rPr>
        <w:t>（三） 甲方及其工作人员不得要求或者接受乙方为其住房装修、婚丧嫁娶活动、配偶子女工作安排以及出国出境、旅游等提供方便等。</w:t>
      </w:r>
    </w:p>
    <w:p w14:paraId="2F634AD0">
      <w:pPr>
        <w:widowControl/>
        <w:spacing w:line="360" w:lineRule="auto"/>
        <w:ind w:firstLine="420" w:firstLineChars="200"/>
        <w:jc w:val="left"/>
        <w:rPr>
          <w:rFonts w:cs="宋体"/>
          <w:color w:val="auto"/>
          <w:sz w:val="21"/>
          <w:szCs w:val="21"/>
        </w:rPr>
      </w:pPr>
      <w:r>
        <w:rPr>
          <w:rFonts w:hint="eastAsia" w:cs="宋体"/>
          <w:color w:val="auto"/>
          <w:sz w:val="21"/>
          <w:szCs w:val="21"/>
        </w:rPr>
        <w:t>（四） 甲方工作人员不得在乙方有股权关联的企业兼职，不得向乙方介绍家属或者亲友从事与甲方业务有关的经济活动。</w:t>
      </w:r>
    </w:p>
    <w:p w14:paraId="243C9700">
      <w:pPr>
        <w:widowControl/>
        <w:spacing w:line="360" w:lineRule="auto"/>
        <w:ind w:firstLine="420" w:firstLineChars="200"/>
        <w:jc w:val="left"/>
        <w:rPr>
          <w:rFonts w:cs="宋体"/>
          <w:color w:val="auto"/>
          <w:sz w:val="21"/>
          <w:szCs w:val="21"/>
        </w:rPr>
      </w:pPr>
      <w:r>
        <w:rPr>
          <w:rFonts w:hint="eastAsia" w:cs="宋体"/>
          <w:color w:val="auto"/>
          <w:sz w:val="21"/>
          <w:szCs w:val="21"/>
        </w:rPr>
        <w:t>（五）甲方工作人员不得以明显低于市场的价格向乙方购买房屋、汽车等物品；不得以明显高于市场的价格向乙方出售房屋、汽车等物品；不得以其他交易形式非法收受请托人财物。</w:t>
      </w:r>
    </w:p>
    <w:p w14:paraId="3F7C0A89">
      <w:pPr>
        <w:widowControl/>
        <w:spacing w:line="360" w:lineRule="auto"/>
        <w:ind w:firstLine="420" w:firstLineChars="200"/>
        <w:jc w:val="left"/>
        <w:rPr>
          <w:rFonts w:cs="宋体"/>
          <w:color w:val="auto"/>
          <w:sz w:val="21"/>
          <w:szCs w:val="21"/>
        </w:rPr>
      </w:pPr>
      <w:r>
        <w:rPr>
          <w:rFonts w:hint="eastAsia" w:cs="宋体"/>
          <w:color w:val="auto"/>
          <w:sz w:val="21"/>
          <w:szCs w:val="21"/>
        </w:rPr>
        <w:t>（六）甲方工作人员不得利用职务之便收受乙方以回扣、手续费、加班费、咨询费、劳务费、协调费、辛苦费等各种名义给予或赠送的钱物。</w:t>
      </w:r>
    </w:p>
    <w:p w14:paraId="757FAE1B">
      <w:pPr>
        <w:widowControl/>
        <w:spacing w:line="360" w:lineRule="auto"/>
        <w:ind w:firstLine="420" w:firstLineChars="200"/>
        <w:jc w:val="left"/>
        <w:rPr>
          <w:rFonts w:cs="宋体"/>
          <w:color w:val="auto"/>
          <w:sz w:val="21"/>
          <w:szCs w:val="21"/>
        </w:rPr>
      </w:pPr>
      <w:r>
        <w:rPr>
          <w:rFonts w:hint="eastAsia" w:cs="宋体"/>
          <w:color w:val="auto"/>
          <w:sz w:val="21"/>
          <w:szCs w:val="21"/>
        </w:rPr>
        <w:t>（七）甲方工作人员不得接受乙方给予或赠送的干股或红利。</w:t>
      </w:r>
    </w:p>
    <w:p w14:paraId="660F579A">
      <w:pPr>
        <w:widowControl/>
        <w:spacing w:line="360" w:lineRule="auto"/>
        <w:ind w:firstLine="420" w:firstLineChars="200"/>
        <w:jc w:val="left"/>
        <w:rPr>
          <w:rFonts w:cs="宋体"/>
          <w:color w:val="auto"/>
          <w:sz w:val="21"/>
          <w:szCs w:val="21"/>
        </w:rPr>
      </w:pPr>
      <w:r>
        <w:rPr>
          <w:rFonts w:hint="eastAsia" w:cs="宋体"/>
          <w:color w:val="auto"/>
          <w:sz w:val="21"/>
          <w:szCs w:val="21"/>
        </w:rPr>
        <w:t>（八）甲方任何人不得以个人的名义向乙方推荐设备、部件等供货商以及其他合作单位。</w:t>
      </w:r>
    </w:p>
    <w:p w14:paraId="7501CEAE">
      <w:pPr>
        <w:widowControl/>
        <w:spacing w:line="360" w:lineRule="auto"/>
        <w:ind w:firstLine="420" w:firstLineChars="200"/>
        <w:jc w:val="left"/>
        <w:rPr>
          <w:rFonts w:cs="宋体"/>
          <w:color w:val="auto"/>
          <w:sz w:val="21"/>
          <w:szCs w:val="21"/>
        </w:rPr>
      </w:pPr>
      <w:r>
        <w:rPr>
          <w:rFonts w:hint="eastAsia" w:cs="宋体"/>
          <w:color w:val="auto"/>
          <w:sz w:val="21"/>
          <w:szCs w:val="21"/>
        </w:rPr>
        <w:t>第三条 乙方的义务</w:t>
      </w:r>
    </w:p>
    <w:p w14:paraId="0D5CBD2A">
      <w:pPr>
        <w:widowControl/>
        <w:spacing w:line="360" w:lineRule="auto"/>
        <w:ind w:firstLine="525" w:firstLineChars="250"/>
        <w:jc w:val="left"/>
        <w:rPr>
          <w:rFonts w:cs="宋体"/>
          <w:color w:val="auto"/>
          <w:sz w:val="21"/>
          <w:szCs w:val="21"/>
        </w:rPr>
      </w:pPr>
      <w:r>
        <w:rPr>
          <w:rFonts w:hint="eastAsia" w:cs="宋体"/>
          <w:color w:val="auto"/>
          <w:sz w:val="21"/>
          <w:szCs w:val="21"/>
        </w:rPr>
        <w:t>（一）乙方不得以任何理由向甲方及其工作人员行贿或馈赠礼金、有价证券、贵重礼品。</w:t>
      </w:r>
    </w:p>
    <w:p w14:paraId="317EAED8">
      <w:pPr>
        <w:widowControl/>
        <w:spacing w:line="360" w:lineRule="auto"/>
        <w:ind w:firstLine="420" w:firstLineChars="200"/>
        <w:jc w:val="left"/>
        <w:rPr>
          <w:rFonts w:cs="宋体"/>
          <w:color w:val="auto"/>
          <w:sz w:val="21"/>
          <w:szCs w:val="21"/>
        </w:rPr>
      </w:pPr>
      <w:r>
        <w:rPr>
          <w:rFonts w:hint="eastAsia" w:cs="宋体"/>
          <w:color w:val="auto"/>
          <w:sz w:val="21"/>
          <w:szCs w:val="21"/>
        </w:rPr>
        <w:t>（二）乙方不得以任何名义为甲方及其工作人员报销应由甲方单位或个人支付的任何费用。</w:t>
      </w:r>
    </w:p>
    <w:p w14:paraId="70C48244">
      <w:pPr>
        <w:widowControl/>
        <w:spacing w:line="360" w:lineRule="auto"/>
        <w:ind w:firstLine="420" w:firstLineChars="200"/>
        <w:jc w:val="left"/>
        <w:rPr>
          <w:rFonts w:cs="宋体"/>
          <w:color w:val="auto"/>
          <w:sz w:val="21"/>
          <w:szCs w:val="21"/>
        </w:rPr>
      </w:pPr>
      <w:r>
        <w:rPr>
          <w:rFonts w:hint="eastAsia" w:cs="宋体"/>
          <w:color w:val="auto"/>
          <w:sz w:val="21"/>
          <w:szCs w:val="21"/>
        </w:rPr>
        <w:t>（三）乙方不得以任何理由安排甲方工作人员参加可能影响相关业务公开、公正、公平性的宴请及娱乐活动。</w:t>
      </w:r>
    </w:p>
    <w:p w14:paraId="55A5FD76">
      <w:pPr>
        <w:widowControl/>
        <w:spacing w:line="360" w:lineRule="auto"/>
        <w:ind w:firstLine="420" w:firstLineChars="200"/>
        <w:jc w:val="left"/>
        <w:rPr>
          <w:rFonts w:cs="宋体"/>
          <w:color w:val="auto"/>
          <w:sz w:val="21"/>
          <w:szCs w:val="21"/>
        </w:rPr>
      </w:pPr>
      <w:r>
        <w:rPr>
          <w:rFonts w:hint="eastAsia" w:cs="宋体"/>
          <w:color w:val="auto"/>
          <w:sz w:val="21"/>
          <w:szCs w:val="21"/>
        </w:rPr>
        <w:t>（四）乙方不得为甲方单位和个人购置或提供通讯工具和高档办公用品等物品，也不得为甲方提供与工作无关的房屋、汽车等。</w:t>
      </w:r>
    </w:p>
    <w:p w14:paraId="415806DD">
      <w:pPr>
        <w:widowControl/>
        <w:spacing w:line="360" w:lineRule="auto"/>
        <w:ind w:firstLine="420" w:firstLineChars="200"/>
        <w:jc w:val="left"/>
        <w:rPr>
          <w:rFonts w:cs="宋体"/>
          <w:color w:val="auto"/>
          <w:sz w:val="21"/>
          <w:szCs w:val="21"/>
        </w:rPr>
      </w:pPr>
      <w:r>
        <w:rPr>
          <w:rFonts w:hint="eastAsia" w:cs="宋体"/>
          <w:color w:val="auto"/>
          <w:sz w:val="21"/>
          <w:szCs w:val="21"/>
        </w:rPr>
        <w:t>（五）乙方不得与甲方工作人员就合同中的质量、数量、价格、工程量、验收等条款进行私下商谈或者达成默契。</w:t>
      </w:r>
    </w:p>
    <w:p w14:paraId="6B5CD2D9">
      <w:pPr>
        <w:widowControl/>
        <w:spacing w:line="360" w:lineRule="auto"/>
        <w:ind w:firstLine="420" w:firstLineChars="200"/>
        <w:jc w:val="left"/>
        <w:rPr>
          <w:rFonts w:cs="宋体"/>
          <w:color w:val="auto"/>
          <w:sz w:val="21"/>
          <w:szCs w:val="21"/>
        </w:rPr>
      </w:pPr>
      <w:r>
        <w:rPr>
          <w:rFonts w:hint="eastAsia" w:cs="宋体"/>
          <w:color w:val="auto"/>
          <w:sz w:val="21"/>
          <w:szCs w:val="21"/>
        </w:rPr>
        <w:t>（六）乙方不得以回扣、手续费、加班费、咨询费、劳务费、协调费、辛苦费等各种名义向甲方工作人员给予或赠送钱物。</w:t>
      </w:r>
    </w:p>
    <w:p w14:paraId="0A7BF600">
      <w:pPr>
        <w:widowControl/>
        <w:spacing w:line="360" w:lineRule="auto"/>
        <w:ind w:firstLine="420" w:firstLineChars="200"/>
        <w:jc w:val="left"/>
        <w:rPr>
          <w:rFonts w:cs="宋体"/>
          <w:color w:val="auto"/>
          <w:sz w:val="21"/>
          <w:szCs w:val="21"/>
        </w:rPr>
      </w:pPr>
      <w:r>
        <w:rPr>
          <w:rFonts w:hint="eastAsia" w:cs="宋体"/>
          <w:color w:val="auto"/>
          <w:sz w:val="21"/>
          <w:szCs w:val="21"/>
        </w:rPr>
        <w:t>（七）乙方不得向甲方工作人员提供干股或红利。</w:t>
      </w:r>
    </w:p>
    <w:p w14:paraId="471DFF92">
      <w:pPr>
        <w:widowControl/>
        <w:spacing w:line="360" w:lineRule="auto"/>
        <w:ind w:firstLine="420" w:firstLineChars="200"/>
        <w:jc w:val="left"/>
        <w:rPr>
          <w:rFonts w:cs="宋体"/>
          <w:color w:val="auto"/>
          <w:sz w:val="21"/>
          <w:szCs w:val="21"/>
        </w:rPr>
      </w:pPr>
      <w:r>
        <w:rPr>
          <w:rFonts w:hint="eastAsia" w:cs="宋体"/>
          <w:color w:val="auto"/>
          <w:sz w:val="21"/>
          <w:szCs w:val="21"/>
        </w:rPr>
        <w:t>（八）乙方须按</w:t>
      </w:r>
      <w:r>
        <w:rPr>
          <w:rFonts w:hint="eastAsia" w:cs="宋体"/>
          <w:color w:val="auto"/>
          <w:sz w:val="21"/>
          <w:szCs w:val="21"/>
          <w:u w:val="single"/>
        </w:rPr>
        <w:t xml:space="preserve">         </w:t>
      </w:r>
      <w:r>
        <w:rPr>
          <w:rFonts w:hint="eastAsia" w:cs="宋体"/>
          <w:color w:val="auto"/>
          <w:sz w:val="21"/>
          <w:szCs w:val="21"/>
        </w:rPr>
        <w:t>专项纪检监察工作组（如有）要求开展相关工作。</w:t>
      </w:r>
    </w:p>
    <w:p w14:paraId="516AAC99">
      <w:pPr>
        <w:widowControl/>
        <w:spacing w:line="360" w:lineRule="auto"/>
        <w:ind w:firstLine="420" w:firstLineChars="200"/>
        <w:jc w:val="left"/>
        <w:rPr>
          <w:rFonts w:cs="宋体"/>
          <w:color w:val="auto"/>
          <w:sz w:val="21"/>
          <w:szCs w:val="21"/>
        </w:rPr>
      </w:pPr>
      <w:r>
        <w:rPr>
          <w:rFonts w:hint="eastAsia" w:cs="宋体"/>
          <w:color w:val="auto"/>
          <w:sz w:val="21"/>
          <w:szCs w:val="21"/>
        </w:rPr>
        <w:t>第四条 违约责任</w:t>
      </w:r>
    </w:p>
    <w:p w14:paraId="3559809D">
      <w:pPr>
        <w:widowControl/>
        <w:spacing w:line="360" w:lineRule="auto"/>
        <w:ind w:firstLine="420" w:firstLineChars="200"/>
        <w:jc w:val="left"/>
        <w:rPr>
          <w:rFonts w:cs="宋体"/>
          <w:color w:val="auto"/>
          <w:sz w:val="21"/>
          <w:szCs w:val="21"/>
        </w:rPr>
      </w:pPr>
      <w:r>
        <w:rPr>
          <w:rFonts w:hint="eastAsia" w:cs="宋体"/>
          <w:color w:val="auto"/>
          <w:sz w:val="21"/>
          <w:szCs w:val="21"/>
        </w:rPr>
        <w:t>（一）甲方及其工作人员违反本协议第一、二条规定。甲方按管理权限，对相关责任人依据有关规定给予党纪、政纪处分或组织处理；涉嫌犯罪的，移交司法机关追究刑事责任；给乙方单位造成经济损失的，应予以赔偿。</w:t>
      </w:r>
    </w:p>
    <w:p w14:paraId="61090E54">
      <w:pPr>
        <w:widowControl/>
        <w:spacing w:line="360" w:lineRule="auto"/>
        <w:ind w:firstLine="420" w:firstLineChars="200"/>
        <w:jc w:val="left"/>
        <w:rPr>
          <w:rFonts w:cs="宋体"/>
          <w:color w:val="auto"/>
          <w:sz w:val="21"/>
          <w:szCs w:val="21"/>
        </w:rPr>
      </w:pPr>
      <w:r>
        <w:rPr>
          <w:rFonts w:hint="eastAsia" w:cs="宋体"/>
          <w:color w:val="auto"/>
          <w:sz w:val="21"/>
          <w:szCs w:val="21"/>
        </w:rPr>
        <w:t>甲方投诉联系部门：</w:t>
      </w:r>
      <w:r>
        <w:rPr>
          <w:rFonts w:hint="eastAsia" w:cs="宋体"/>
          <w:color w:val="auto"/>
          <w:sz w:val="21"/>
          <w:szCs w:val="21"/>
          <w:u w:val="single"/>
        </w:rPr>
        <w:t xml:space="preserve">           </w:t>
      </w:r>
      <w:r>
        <w:rPr>
          <w:rFonts w:hint="eastAsia" w:cs="宋体"/>
          <w:color w:val="auto"/>
          <w:sz w:val="21"/>
          <w:szCs w:val="21"/>
        </w:rPr>
        <w:t>，联系电话：</w:t>
      </w:r>
      <w:r>
        <w:rPr>
          <w:rFonts w:hint="eastAsia" w:cs="宋体"/>
          <w:color w:val="auto"/>
          <w:sz w:val="21"/>
          <w:szCs w:val="21"/>
          <w:u w:val="single"/>
        </w:rPr>
        <w:t xml:space="preserve">           </w:t>
      </w:r>
      <w:r>
        <w:rPr>
          <w:rFonts w:hint="eastAsia" w:cs="宋体"/>
          <w:color w:val="auto"/>
          <w:sz w:val="21"/>
          <w:szCs w:val="21"/>
        </w:rPr>
        <w:t>。</w:t>
      </w:r>
    </w:p>
    <w:p w14:paraId="6C85EB4C">
      <w:pPr>
        <w:widowControl/>
        <w:spacing w:line="360" w:lineRule="auto"/>
        <w:ind w:firstLine="420" w:firstLineChars="200"/>
        <w:jc w:val="left"/>
        <w:rPr>
          <w:rFonts w:cs="宋体"/>
          <w:color w:val="auto"/>
          <w:sz w:val="21"/>
          <w:szCs w:val="21"/>
        </w:rPr>
      </w:pPr>
      <w:r>
        <w:rPr>
          <w:rFonts w:hint="eastAsia" w:cs="宋体"/>
          <w:color w:val="auto"/>
          <w:sz w:val="21"/>
          <w:szCs w:val="21"/>
        </w:rPr>
        <w:t>（二）乙方及其工作人员违反本协议第一、三条规定。根据具体情节和造成的后果，甲方有权对乙方采取以下一种或多种处理办法：</w:t>
      </w:r>
    </w:p>
    <w:p w14:paraId="323BB032">
      <w:pPr>
        <w:widowControl/>
        <w:spacing w:line="360" w:lineRule="auto"/>
        <w:ind w:firstLine="420" w:firstLineChars="200"/>
        <w:jc w:val="left"/>
        <w:rPr>
          <w:rFonts w:cs="宋体"/>
          <w:color w:val="auto"/>
          <w:sz w:val="21"/>
          <w:szCs w:val="21"/>
        </w:rPr>
      </w:pPr>
      <w:r>
        <w:rPr>
          <w:rFonts w:hint="eastAsia" w:cs="宋体"/>
          <w:color w:val="auto"/>
          <w:sz w:val="21"/>
          <w:szCs w:val="21"/>
        </w:rPr>
        <w:t xml:space="preserve">1. 全额收取乙方合同履约保证金不予退还； </w:t>
      </w:r>
    </w:p>
    <w:p w14:paraId="683D6224">
      <w:pPr>
        <w:widowControl/>
        <w:spacing w:line="360" w:lineRule="auto"/>
        <w:ind w:firstLine="420" w:firstLineChars="200"/>
        <w:jc w:val="left"/>
        <w:rPr>
          <w:rFonts w:cs="宋体"/>
          <w:color w:val="auto"/>
          <w:sz w:val="21"/>
          <w:szCs w:val="21"/>
        </w:rPr>
      </w:pPr>
      <w:r>
        <w:rPr>
          <w:rFonts w:hint="eastAsia" w:cs="宋体"/>
          <w:color w:val="auto"/>
          <w:sz w:val="21"/>
          <w:szCs w:val="21"/>
        </w:rPr>
        <w:t>2. 追究乙方其他违约责任；</w:t>
      </w:r>
    </w:p>
    <w:p w14:paraId="007071B3">
      <w:pPr>
        <w:widowControl/>
        <w:spacing w:line="360" w:lineRule="auto"/>
        <w:ind w:firstLine="420" w:firstLineChars="200"/>
        <w:jc w:val="left"/>
        <w:rPr>
          <w:rFonts w:cs="宋体"/>
          <w:color w:val="auto"/>
          <w:sz w:val="21"/>
          <w:szCs w:val="21"/>
        </w:rPr>
      </w:pPr>
      <w:r>
        <w:rPr>
          <w:rFonts w:hint="eastAsia" w:cs="宋体"/>
          <w:color w:val="auto"/>
          <w:sz w:val="21"/>
          <w:szCs w:val="21"/>
        </w:rPr>
        <w:t>3. 终止或解除双方已签订的包括本合同在内的所有合同；</w:t>
      </w:r>
    </w:p>
    <w:p w14:paraId="3707EF94">
      <w:pPr>
        <w:widowControl/>
        <w:spacing w:line="360" w:lineRule="auto"/>
        <w:ind w:firstLine="420" w:firstLineChars="200"/>
        <w:jc w:val="left"/>
        <w:rPr>
          <w:rFonts w:cs="宋体"/>
          <w:color w:val="auto"/>
          <w:sz w:val="21"/>
          <w:szCs w:val="21"/>
        </w:rPr>
      </w:pPr>
      <w:r>
        <w:rPr>
          <w:rFonts w:hint="eastAsia" w:cs="宋体"/>
          <w:color w:val="auto"/>
          <w:sz w:val="21"/>
          <w:szCs w:val="21"/>
        </w:rPr>
        <w:t>4. 乙方一定期限内（6个月至3年，具体由甲方根据情况而定）不得参与甲方作为发包人（业主）的工程项目投标。</w:t>
      </w:r>
    </w:p>
    <w:p w14:paraId="59488DC9">
      <w:pPr>
        <w:widowControl/>
        <w:spacing w:line="360" w:lineRule="auto"/>
        <w:ind w:firstLine="420" w:firstLineChars="200"/>
        <w:jc w:val="left"/>
        <w:rPr>
          <w:rFonts w:cs="宋体"/>
          <w:color w:val="auto"/>
          <w:sz w:val="21"/>
          <w:szCs w:val="21"/>
        </w:rPr>
      </w:pPr>
      <w:r>
        <w:rPr>
          <w:rFonts w:hint="eastAsia" w:cs="宋体"/>
          <w:color w:val="auto"/>
          <w:sz w:val="21"/>
          <w:szCs w:val="21"/>
        </w:rPr>
        <w:t>甲方作出的处理意见，乙方应无条件接受并承担给甲方造成的损失，全额返还通过不正当手段从甲方获取的非法所得，并承担相应的法律责任。</w:t>
      </w:r>
    </w:p>
    <w:p w14:paraId="7F12F153">
      <w:pPr>
        <w:widowControl/>
        <w:spacing w:line="360" w:lineRule="auto"/>
        <w:ind w:firstLine="420" w:firstLineChars="200"/>
        <w:jc w:val="left"/>
        <w:rPr>
          <w:rFonts w:cs="宋体"/>
          <w:color w:val="auto"/>
          <w:sz w:val="21"/>
          <w:szCs w:val="21"/>
        </w:rPr>
      </w:pPr>
      <w:r>
        <w:rPr>
          <w:rFonts w:hint="eastAsia" w:cs="宋体"/>
          <w:color w:val="auto"/>
          <w:sz w:val="21"/>
          <w:szCs w:val="21"/>
        </w:rPr>
        <w:t>第五条 双方约定</w:t>
      </w:r>
    </w:p>
    <w:p w14:paraId="513AB923">
      <w:pPr>
        <w:widowControl/>
        <w:spacing w:line="360" w:lineRule="auto"/>
        <w:ind w:firstLine="420" w:firstLineChars="200"/>
        <w:jc w:val="left"/>
        <w:rPr>
          <w:rFonts w:cs="宋体"/>
          <w:color w:val="auto"/>
          <w:sz w:val="21"/>
          <w:szCs w:val="21"/>
        </w:rPr>
      </w:pPr>
      <w:r>
        <w:rPr>
          <w:rFonts w:hint="eastAsia" w:cs="宋体"/>
          <w:color w:val="auto"/>
          <w:sz w:val="21"/>
          <w:szCs w:val="21"/>
        </w:rPr>
        <w:t>本协议由双方或双方上级单位负责监督。可由甲方或甲方上级单位的纪检监察部门约请乙方或乙方上级单位的纪检监察部门对本协议履行情况进行检查，提出在本协议规定范围内的裁定意见。</w:t>
      </w:r>
    </w:p>
    <w:p w14:paraId="1D8E1B84">
      <w:pPr>
        <w:widowControl/>
        <w:spacing w:line="360" w:lineRule="auto"/>
        <w:ind w:firstLine="420" w:firstLineChars="200"/>
        <w:jc w:val="left"/>
        <w:rPr>
          <w:rFonts w:cs="宋体"/>
          <w:color w:val="auto"/>
          <w:sz w:val="21"/>
          <w:szCs w:val="21"/>
        </w:rPr>
      </w:pPr>
      <w:r>
        <w:rPr>
          <w:rFonts w:hint="eastAsia" w:cs="宋体"/>
          <w:color w:val="auto"/>
          <w:sz w:val="21"/>
          <w:szCs w:val="21"/>
        </w:rPr>
        <w:t xml:space="preserve">第六条  本协议有效期为甲乙双方签署之日起至合同终止。  </w:t>
      </w:r>
    </w:p>
    <w:p w14:paraId="11EA3F3B">
      <w:pPr>
        <w:widowControl/>
        <w:spacing w:line="360" w:lineRule="auto"/>
        <w:ind w:firstLine="420" w:firstLineChars="200"/>
        <w:jc w:val="left"/>
        <w:rPr>
          <w:rFonts w:cs="宋体"/>
          <w:color w:val="auto"/>
          <w:sz w:val="21"/>
          <w:szCs w:val="21"/>
        </w:rPr>
      </w:pPr>
      <w:r>
        <w:rPr>
          <w:rFonts w:hint="eastAsia" w:cs="宋体"/>
          <w:color w:val="auto"/>
          <w:sz w:val="21"/>
          <w:szCs w:val="21"/>
        </w:rPr>
        <w:t>第七条  本协议作为合同的附件，与本合同具有同等法律效力。</w:t>
      </w:r>
    </w:p>
    <w:p w14:paraId="217516E4">
      <w:pPr>
        <w:widowControl/>
        <w:spacing w:line="360" w:lineRule="auto"/>
        <w:ind w:firstLine="420" w:firstLineChars="200"/>
        <w:jc w:val="left"/>
        <w:rPr>
          <w:rFonts w:cs="宋体"/>
          <w:color w:val="auto"/>
          <w:sz w:val="21"/>
          <w:szCs w:val="21"/>
        </w:rPr>
      </w:pPr>
      <w:r>
        <w:rPr>
          <w:rFonts w:hint="eastAsia" w:cs="宋体"/>
          <w:color w:val="auto"/>
          <w:sz w:val="21"/>
          <w:szCs w:val="21"/>
        </w:rPr>
        <w:t xml:space="preserve"> </w:t>
      </w:r>
    </w:p>
    <w:p w14:paraId="4090F9C2">
      <w:pPr>
        <w:widowControl/>
        <w:spacing w:line="360" w:lineRule="auto"/>
        <w:ind w:firstLine="420" w:firstLineChars="200"/>
        <w:jc w:val="left"/>
        <w:rPr>
          <w:rFonts w:cs="宋体"/>
          <w:color w:val="auto"/>
          <w:sz w:val="21"/>
          <w:szCs w:val="21"/>
        </w:rPr>
      </w:pPr>
      <w:r>
        <w:rPr>
          <w:rFonts w:hint="eastAsia" w:cs="宋体"/>
          <w:color w:val="auto"/>
          <w:sz w:val="21"/>
          <w:szCs w:val="21"/>
        </w:rPr>
        <w:t xml:space="preserve">甲方（盖章）： </w:t>
      </w:r>
      <w:r>
        <w:rPr>
          <w:rFonts w:hint="eastAsia" w:cs="宋体"/>
          <w:color w:val="auto"/>
          <w:sz w:val="21"/>
          <w:szCs w:val="21"/>
          <w:u w:val="single"/>
        </w:rPr>
        <w:t xml:space="preserve">                  </w:t>
      </w:r>
      <w:r>
        <w:rPr>
          <w:rFonts w:hint="eastAsia" w:cs="宋体"/>
          <w:color w:val="auto"/>
          <w:sz w:val="21"/>
          <w:szCs w:val="21"/>
        </w:rPr>
        <w:t xml:space="preserve">     乙方（盖章）：</w:t>
      </w:r>
      <w:r>
        <w:rPr>
          <w:rFonts w:hint="eastAsia" w:cs="宋体"/>
          <w:color w:val="auto"/>
          <w:sz w:val="21"/>
          <w:szCs w:val="21"/>
          <w:u w:val="single"/>
        </w:rPr>
        <w:t xml:space="preserve">             </w:t>
      </w:r>
    </w:p>
    <w:p w14:paraId="60686808">
      <w:pPr>
        <w:widowControl/>
        <w:spacing w:line="360" w:lineRule="auto"/>
        <w:ind w:firstLine="420" w:firstLineChars="200"/>
        <w:jc w:val="left"/>
        <w:rPr>
          <w:rFonts w:cs="宋体"/>
          <w:color w:val="auto"/>
          <w:sz w:val="21"/>
          <w:szCs w:val="21"/>
        </w:rPr>
      </w:pPr>
      <w:r>
        <w:rPr>
          <w:rFonts w:hint="eastAsia" w:cs="宋体"/>
          <w:color w:val="auto"/>
          <w:sz w:val="21"/>
          <w:szCs w:val="21"/>
        </w:rPr>
        <w:t>法定代表人或                          法定代表人或</w:t>
      </w:r>
    </w:p>
    <w:p w14:paraId="3241B4D9">
      <w:pPr>
        <w:widowControl/>
        <w:spacing w:line="360" w:lineRule="auto"/>
        <w:ind w:firstLine="420" w:firstLineChars="200"/>
        <w:jc w:val="left"/>
        <w:rPr>
          <w:rFonts w:cs="宋体"/>
          <w:color w:val="auto"/>
          <w:sz w:val="21"/>
          <w:szCs w:val="21"/>
        </w:rPr>
      </w:pPr>
      <w:r>
        <w:rPr>
          <w:rFonts w:hint="eastAsia" w:cs="宋体"/>
          <w:color w:val="auto"/>
          <w:sz w:val="21"/>
          <w:szCs w:val="21"/>
        </w:rPr>
        <w:t>授权代表：</w:t>
      </w:r>
      <w:r>
        <w:rPr>
          <w:rFonts w:hint="eastAsia" w:cs="宋体"/>
          <w:color w:val="auto"/>
          <w:sz w:val="21"/>
          <w:szCs w:val="21"/>
          <w:u w:val="single"/>
        </w:rPr>
        <w:t xml:space="preserve">              </w:t>
      </w:r>
      <w:r>
        <w:rPr>
          <w:rFonts w:hint="eastAsia" w:cs="宋体"/>
          <w:color w:val="auto"/>
          <w:sz w:val="21"/>
          <w:szCs w:val="21"/>
        </w:rPr>
        <w:t>(职务)         授权代表：</w:t>
      </w:r>
      <w:r>
        <w:rPr>
          <w:rFonts w:hint="eastAsia" w:cs="宋体"/>
          <w:color w:val="auto"/>
          <w:sz w:val="21"/>
          <w:szCs w:val="21"/>
          <w:u w:val="single"/>
        </w:rPr>
        <w:t xml:space="preserve">             </w:t>
      </w:r>
      <w:r>
        <w:rPr>
          <w:rFonts w:hint="eastAsia" w:cs="宋体"/>
          <w:color w:val="auto"/>
          <w:sz w:val="21"/>
          <w:szCs w:val="21"/>
        </w:rPr>
        <w:t>(职务)</w:t>
      </w:r>
    </w:p>
    <w:p w14:paraId="256B69C5">
      <w:pPr>
        <w:widowControl/>
        <w:spacing w:line="360" w:lineRule="auto"/>
        <w:ind w:firstLine="420" w:firstLineChars="200"/>
        <w:jc w:val="left"/>
        <w:rPr>
          <w:rFonts w:cs="宋体"/>
          <w:color w:val="auto"/>
          <w:sz w:val="21"/>
          <w:szCs w:val="21"/>
        </w:rPr>
      </w:pPr>
      <w:r>
        <w:rPr>
          <w:rFonts w:hint="eastAsia" w:cs="宋体"/>
          <w:color w:val="auto"/>
          <w:sz w:val="21"/>
          <w:szCs w:val="21"/>
        </w:rPr>
        <w:t>姓名：</w:t>
      </w:r>
      <w:r>
        <w:rPr>
          <w:rFonts w:hint="eastAsia" w:cs="宋体"/>
          <w:color w:val="auto"/>
          <w:sz w:val="21"/>
          <w:szCs w:val="21"/>
          <w:u w:val="single"/>
        </w:rPr>
        <w:t xml:space="preserve">             </w:t>
      </w:r>
      <w:r>
        <w:rPr>
          <w:rFonts w:hint="eastAsia" w:cs="宋体"/>
          <w:color w:val="auto"/>
          <w:sz w:val="21"/>
          <w:szCs w:val="21"/>
        </w:rPr>
        <w:t xml:space="preserve">                   姓名：</w:t>
      </w:r>
      <w:r>
        <w:rPr>
          <w:rFonts w:hint="eastAsia" w:cs="宋体"/>
          <w:color w:val="auto"/>
          <w:sz w:val="21"/>
          <w:szCs w:val="21"/>
          <w:u w:val="single"/>
        </w:rPr>
        <w:t xml:space="preserve">             </w:t>
      </w:r>
    </w:p>
    <w:p w14:paraId="682CC3E0">
      <w:pPr>
        <w:widowControl/>
        <w:spacing w:line="360" w:lineRule="auto"/>
        <w:ind w:firstLine="420" w:firstLineChars="200"/>
        <w:jc w:val="left"/>
        <w:rPr>
          <w:rFonts w:cs="宋体"/>
          <w:color w:val="auto"/>
          <w:sz w:val="21"/>
          <w:szCs w:val="21"/>
        </w:rPr>
      </w:pPr>
      <w:r>
        <w:rPr>
          <w:rFonts w:hint="eastAsia" w:cs="宋体"/>
          <w:color w:val="auto"/>
          <w:sz w:val="21"/>
          <w:szCs w:val="21"/>
        </w:rPr>
        <w:t>签字：</w:t>
      </w:r>
      <w:r>
        <w:rPr>
          <w:rFonts w:hint="eastAsia" w:cs="宋体"/>
          <w:color w:val="auto"/>
          <w:sz w:val="21"/>
          <w:szCs w:val="21"/>
          <w:u w:val="single"/>
        </w:rPr>
        <w:t xml:space="preserve">             </w:t>
      </w:r>
      <w:r>
        <w:rPr>
          <w:rFonts w:hint="eastAsia" w:cs="宋体"/>
          <w:color w:val="auto"/>
          <w:sz w:val="21"/>
          <w:szCs w:val="21"/>
        </w:rPr>
        <w:t xml:space="preserve">                   签字：</w:t>
      </w:r>
      <w:r>
        <w:rPr>
          <w:rFonts w:hint="eastAsia" w:cs="宋体"/>
          <w:color w:val="auto"/>
          <w:sz w:val="21"/>
          <w:szCs w:val="21"/>
          <w:u w:val="single"/>
        </w:rPr>
        <w:t xml:space="preserve">             </w:t>
      </w:r>
    </w:p>
    <w:p w14:paraId="588991CD">
      <w:pPr>
        <w:widowControl/>
        <w:spacing w:line="360" w:lineRule="auto"/>
        <w:ind w:firstLine="420" w:firstLineChars="200"/>
        <w:jc w:val="left"/>
        <w:rPr>
          <w:rFonts w:cs="宋体"/>
          <w:color w:val="auto"/>
          <w:sz w:val="21"/>
          <w:szCs w:val="21"/>
        </w:rPr>
      </w:pPr>
    </w:p>
    <w:p w14:paraId="5BCEC5F8">
      <w:pPr>
        <w:widowControl/>
        <w:spacing w:line="360" w:lineRule="auto"/>
        <w:ind w:firstLine="420" w:firstLineChars="200"/>
        <w:jc w:val="left"/>
        <w:rPr>
          <w:rFonts w:cs="宋体"/>
          <w:color w:val="auto"/>
          <w:sz w:val="21"/>
          <w:szCs w:val="21"/>
        </w:rPr>
      </w:pPr>
      <w:r>
        <w:rPr>
          <w:rFonts w:hint="eastAsia" w:cs="宋体"/>
          <w:color w:val="auto"/>
          <w:sz w:val="21"/>
          <w:szCs w:val="21"/>
        </w:rPr>
        <w:t>廉政监督联系人                        廉政监督联系人</w:t>
      </w:r>
    </w:p>
    <w:p w14:paraId="0B947EDC">
      <w:pPr>
        <w:widowControl/>
        <w:spacing w:line="360" w:lineRule="auto"/>
        <w:ind w:firstLine="420" w:firstLineChars="200"/>
        <w:jc w:val="left"/>
        <w:rPr>
          <w:rFonts w:cs="宋体"/>
          <w:color w:val="auto"/>
          <w:sz w:val="21"/>
          <w:szCs w:val="21"/>
        </w:rPr>
      </w:pPr>
      <w:r>
        <w:rPr>
          <w:rFonts w:hint="eastAsia" w:cs="宋体"/>
          <w:color w:val="auto"/>
          <w:sz w:val="21"/>
          <w:szCs w:val="21"/>
        </w:rPr>
        <w:t>姓名：</w:t>
      </w:r>
      <w:r>
        <w:rPr>
          <w:rFonts w:hint="eastAsia" w:cs="宋体"/>
          <w:color w:val="auto"/>
          <w:sz w:val="21"/>
          <w:szCs w:val="21"/>
          <w:u w:val="single"/>
        </w:rPr>
        <w:t xml:space="preserve">                       </w:t>
      </w:r>
      <w:r>
        <w:rPr>
          <w:rFonts w:hint="eastAsia" w:cs="宋体"/>
          <w:color w:val="auto"/>
          <w:sz w:val="21"/>
          <w:szCs w:val="21"/>
        </w:rPr>
        <w:t xml:space="preserve">         姓名：</w:t>
      </w:r>
      <w:r>
        <w:rPr>
          <w:rFonts w:hint="eastAsia" w:cs="宋体"/>
          <w:color w:val="auto"/>
          <w:sz w:val="21"/>
          <w:szCs w:val="21"/>
          <w:u w:val="single"/>
        </w:rPr>
        <w:t xml:space="preserve">                     </w:t>
      </w:r>
    </w:p>
    <w:p w14:paraId="0F58696A">
      <w:pPr>
        <w:widowControl/>
        <w:spacing w:line="360" w:lineRule="auto"/>
        <w:ind w:firstLine="420" w:firstLineChars="200"/>
        <w:jc w:val="left"/>
        <w:rPr>
          <w:rFonts w:cs="宋体"/>
          <w:color w:val="auto"/>
          <w:sz w:val="21"/>
          <w:szCs w:val="21"/>
        </w:rPr>
      </w:pPr>
      <w:r>
        <w:rPr>
          <w:rFonts w:hint="eastAsia" w:cs="宋体"/>
          <w:color w:val="auto"/>
          <w:sz w:val="21"/>
          <w:szCs w:val="21"/>
        </w:rPr>
        <w:t>签字：</w:t>
      </w:r>
      <w:r>
        <w:rPr>
          <w:rFonts w:hint="eastAsia" w:cs="宋体"/>
          <w:color w:val="auto"/>
          <w:sz w:val="21"/>
          <w:szCs w:val="21"/>
          <w:u w:val="single"/>
        </w:rPr>
        <w:t xml:space="preserve">                       </w:t>
      </w:r>
      <w:r>
        <w:rPr>
          <w:rFonts w:hint="eastAsia" w:cs="宋体"/>
          <w:color w:val="auto"/>
          <w:sz w:val="21"/>
          <w:szCs w:val="21"/>
        </w:rPr>
        <w:t xml:space="preserve">         签字：</w:t>
      </w:r>
      <w:r>
        <w:rPr>
          <w:rFonts w:hint="eastAsia" w:cs="宋体"/>
          <w:color w:val="auto"/>
          <w:sz w:val="21"/>
          <w:szCs w:val="21"/>
          <w:u w:val="single"/>
        </w:rPr>
        <w:t xml:space="preserve">                     </w:t>
      </w:r>
    </w:p>
    <w:p w14:paraId="4765F8C8">
      <w:pPr>
        <w:widowControl/>
        <w:spacing w:line="360" w:lineRule="auto"/>
        <w:ind w:firstLine="420" w:firstLineChars="200"/>
        <w:jc w:val="left"/>
        <w:rPr>
          <w:rFonts w:cs="宋体"/>
          <w:color w:val="auto"/>
          <w:sz w:val="21"/>
          <w:szCs w:val="21"/>
        </w:rPr>
      </w:pPr>
      <w:r>
        <w:rPr>
          <w:rFonts w:hint="eastAsia" w:cs="宋体"/>
          <w:color w:val="auto"/>
          <w:sz w:val="21"/>
          <w:szCs w:val="21"/>
        </w:rPr>
        <w:t>电话：</w:t>
      </w:r>
      <w:r>
        <w:rPr>
          <w:rFonts w:hint="eastAsia" w:cs="宋体"/>
          <w:color w:val="auto"/>
          <w:sz w:val="21"/>
          <w:szCs w:val="21"/>
          <w:u w:val="single"/>
        </w:rPr>
        <w:t xml:space="preserve">                       </w:t>
      </w:r>
      <w:r>
        <w:rPr>
          <w:rFonts w:hint="eastAsia" w:cs="宋体"/>
          <w:color w:val="auto"/>
          <w:sz w:val="21"/>
          <w:szCs w:val="21"/>
        </w:rPr>
        <w:t xml:space="preserve">         电话：</w:t>
      </w:r>
      <w:r>
        <w:rPr>
          <w:rFonts w:hint="eastAsia" w:cs="宋体"/>
          <w:color w:val="auto"/>
          <w:sz w:val="21"/>
          <w:szCs w:val="21"/>
          <w:u w:val="single"/>
        </w:rPr>
        <w:t xml:space="preserve">                     </w:t>
      </w:r>
    </w:p>
    <w:p w14:paraId="4C174E95">
      <w:pPr>
        <w:widowControl/>
        <w:spacing w:line="360" w:lineRule="auto"/>
        <w:ind w:firstLine="420" w:firstLineChars="200"/>
        <w:jc w:val="left"/>
        <w:rPr>
          <w:rFonts w:cs="宋体"/>
          <w:color w:val="auto"/>
          <w:sz w:val="21"/>
          <w:szCs w:val="21"/>
        </w:rPr>
      </w:pPr>
      <w:r>
        <w:rPr>
          <w:rFonts w:hint="eastAsia" w:cs="宋体"/>
          <w:color w:val="auto"/>
          <w:sz w:val="21"/>
          <w:szCs w:val="21"/>
        </w:rPr>
        <w:t>地址：</w:t>
      </w:r>
      <w:r>
        <w:rPr>
          <w:rFonts w:hint="eastAsia" w:cs="宋体"/>
          <w:color w:val="auto"/>
          <w:sz w:val="21"/>
          <w:szCs w:val="21"/>
          <w:u w:val="single"/>
        </w:rPr>
        <w:t xml:space="preserve">                       </w:t>
      </w:r>
      <w:r>
        <w:rPr>
          <w:rFonts w:hint="eastAsia" w:cs="宋体"/>
          <w:color w:val="auto"/>
          <w:sz w:val="21"/>
          <w:szCs w:val="21"/>
        </w:rPr>
        <w:t xml:space="preserve">         地址：</w:t>
      </w:r>
      <w:r>
        <w:rPr>
          <w:rFonts w:hint="eastAsia" w:cs="宋体"/>
          <w:color w:val="auto"/>
          <w:sz w:val="21"/>
          <w:szCs w:val="21"/>
          <w:u w:val="single"/>
        </w:rPr>
        <w:t xml:space="preserve">                     </w:t>
      </w:r>
    </w:p>
    <w:p w14:paraId="6FF966F0">
      <w:pPr>
        <w:widowControl/>
        <w:spacing w:line="360" w:lineRule="auto"/>
        <w:ind w:firstLine="420" w:firstLineChars="200"/>
        <w:jc w:val="left"/>
        <w:rPr>
          <w:rFonts w:cs="宋体"/>
          <w:color w:val="auto"/>
          <w:sz w:val="21"/>
          <w:szCs w:val="21"/>
        </w:rPr>
      </w:pPr>
      <w:r>
        <w:rPr>
          <w:rFonts w:hint="eastAsia" w:cs="宋体"/>
          <w:color w:val="auto"/>
          <w:sz w:val="21"/>
          <w:szCs w:val="21"/>
        </w:rPr>
        <w:t>日期：</w:t>
      </w:r>
      <w:r>
        <w:rPr>
          <w:rFonts w:hint="eastAsia" w:cs="宋体"/>
          <w:color w:val="auto"/>
          <w:sz w:val="21"/>
          <w:szCs w:val="21"/>
          <w:u w:val="single"/>
        </w:rPr>
        <w:t xml:space="preserve">                       </w:t>
      </w:r>
      <w:r>
        <w:rPr>
          <w:rFonts w:hint="eastAsia" w:cs="宋体"/>
          <w:color w:val="auto"/>
          <w:sz w:val="21"/>
          <w:szCs w:val="21"/>
        </w:rPr>
        <w:t xml:space="preserve">         日期：</w:t>
      </w:r>
      <w:r>
        <w:rPr>
          <w:rFonts w:hint="eastAsia" w:cs="宋体"/>
          <w:color w:val="auto"/>
          <w:sz w:val="21"/>
          <w:szCs w:val="21"/>
          <w:u w:val="single"/>
        </w:rPr>
        <w:t xml:space="preserve">                     </w:t>
      </w:r>
    </w:p>
    <w:p w14:paraId="0F54D12A">
      <w:pPr>
        <w:spacing w:before="312" w:beforeLines="100" w:after="312" w:afterLines="100"/>
        <w:outlineLvl w:val="2"/>
        <w:rPr>
          <w:rFonts w:ascii="Times New Roman" w:eastAsia="黑体"/>
          <w:color w:val="auto"/>
          <w:szCs w:val="24"/>
        </w:rPr>
      </w:pPr>
      <w:r>
        <w:rPr>
          <w:rFonts w:hint="eastAsia" w:ascii="Times New Roman" w:eastAsia="黑体"/>
          <w:bCs/>
          <w:color w:val="auto"/>
          <w:szCs w:val="21"/>
        </w:rPr>
        <w:br w:type="page"/>
      </w:r>
      <w:bookmarkStart w:id="673" w:name="_Toc128950244"/>
      <w:r>
        <w:rPr>
          <w:rFonts w:hint="eastAsia" w:ascii="Times New Roman" w:eastAsia="黑体"/>
          <w:color w:val="auto"/>
          <w:szCs w:val="24"/>
        </w:rPr>
        <w:t>附件9：履约保证金</w:t>
      </w:r>
      <w:bookmarkEnd w:id="673"/>
    </w:p>
    <w:p w14:paraId="1DF7E3D4">
      <w:pPr>
        <w:spacing w:line="360" w:lineRule="auto"/>
        <w:jc w:val="center"/>
        <w:rPr>
          <w:rFonts w:cs="宋体"/>
          <w:b/>
          <w:bCs/>
          <w:color w:val="auto"/>
          <w:sz w:val="32"/>
          <w:szCs w:val="32"/>
        </w:rPr>
      </w:pPr>
      <w:r>
        <w:rPr>
          <w:rFonts w:hint="eastAsia" w:cs="宋体"/>
          <w:b/>
          <w:bCs/>
          <w:color w:val="auto"/>
          <w:sz w:val="32"/>
          <w:szCs w:val="32"/>
        </w:rPr>
        <w:t>履约保函示范文本</w:t>
      </w:r>
    </w:p>
    <w:p w14:paraId="64D2EE57">
      <w:pPr>
        <w:wordWrap w:val="0"/>
        <w:spacing w:line="360" w:lineRule="auto"/>
        <w:jc w:val="right"/>
        <w:rPr>
          <w:rFonts w:ascii="Times New Roman"/>
          <w:color w:val="auto"/>
          <w:szCs w:val="21"/>
        </w:rPr>
      </w:pPr>
      <w:r>
        <w:rPr>
          <w:rFonts w:hint="eastAsia" w:ascii="Times New Roman"/>
          <w:color w:val="auto"/>
          <w:szCs w:val="21"/>
        </w:rPr>
        <w:t>编号：</w:t>
      </w:r>
      <w:r>
        <w:rPr>
          <w:rFonts w:hint="eastAsia" w:ascii="Times New Roman"/>
          <w:color w:val="auto"/>
          <w:szCs w:val="21"/>
          <w:u w:val="single"/>
        </w:rPr>
        <w:t xml:space="preserve"> </w:t>
      </w:r>
      <w:r>
        <w:rPr>
          <w:rFonts w:ascii="Times New Roman"/>
          <w:color w:val="auto"/>
          <w:szCs w:val="21"/>
          <w:u w:val="single"/>
        </w:rPr>
        <w:t xml:space="preserve">          </w:t>
      </w:r>
    </w:p>
    <w:p w14:paraId="6B7A8973">
      <w:pPr>
        <w:spacing w:line="360" w:lineRule="auto"/>
        <w:rPr>
          <w:rFonts w:ascii="Times New Roman"/>
          <w:color w:val="auto"/>
          <w:szCs w:val="21"/>
        </w:rPr>
      </w:pPr>
    </w:p>
    <w:p w14:paraId="3625007C">
      <w:pPr>
        <w:spacing w:line="360" w:lineRule="auto"/>
        <w:rPr>
          <w:rFonts w:cs="宋体"/>
          <w:color w:val="auto"/>
          <w:sz w:val="21"/>
          <w:szCs w:val="21"/>
        </w:rPr>
      </w:pPr>
      <w:r>
        <w:rPr>
          <w:rFonts w:hint="eastAsia" w:cs="宋体"/>
          <w:color w:val="auto"/>
          <w:sz w:val="21"/>
          <w:szCs w:val="21"/>
          <w:u w:val="single"/>
        </w:rPr>
        <w:t xml:space="preserve">              </w:t>
      </w:r>
      <w:r>
        <w:rPr>
          <w:rFonts w:hint="eastAsia" w:cs="宋体"/>
          <w:color w:val="auto"/>
          <w:sz w:val="21"/>
          <w:szCs w:val="21"/>
        </w:rPr>
        <w:t xml:space="preserve">（受益人名称）： </w:t>
      </w:r>
    </w:p>
    <w:p w14:paraId="08A26AB5">
      <w:pPr>
        <w:spacing w:line="360" w:lineRule="auto"/>
        <w:ind w:firstLine="420" w:firstLineChars="200"/>
        <w:rPr>
          <w:rFonts w:cs="宋体"/>
          <w:color w:val="auto"/>
          <w:sz w:val="21"/>
          <w:szCs w:val="21"/>
        </w:rPr>
      </w:pPr>
      <w:r>
        <w:rPr>
          <w:rFonts w:hint="eastAsia" w:cs="宋体"/>
          <w:color w:val="auto"/>
          <w:sz w:val="21"/>
          <w:szCs w:val="21"/>
        </w:rPr>
        <w:t>鉴于</w:t>
      </w:r>
      <w:r>
        <w:rPr>
          <w:rFonts w:hint="eastAsia" w:cs="宋体"/>
          <w:color w:val="auto"/>
          <w:sz w:val="21"/>
          <w:szCs w:val="21"/>
          <w:u w:val="single"/>
        </w:rPr>
        <w:t xml:space="preserve">        </w:t>
      </w:r>
      <w:r>
        <w:rPr>
          <w:rFonts w:hint="eastAsia" w:cs="宋体"/>
          <w:color w:val="auto"/>
          <w:sz w:val="21"/>
          <w:szCs w:val="21"/>
        </w:rPr>
        <w:t>（以下简称“受益人”）与</w:t>
      </w:r>
      <w:r>
        <w:rPr>
          <w:rFonts w:hint="eastAsia" w:cs="宋体"/>
          <w:color w:val="auto"/>
          <w:sz w:val="21"/>
          <w:szCs w:val="21"/>
          <w:u w:val="single"/>
        </w:rPr>
        <w:t xml:space="preserve">         </w:t>
      </w:r>
      <w:r>
        <w:rPr>
          <w:rFonts w:hint="eastAsia" w:cs="宋体"/>
          <w:color w:val="auto"/>
          <w:sz w:val="21"/>
          <w:szCs w:val="21"/>
        </w:rPr>
        <w:t>（以下简称“申请人”）于</w:t>
      </w:r>
      <w:r>
        <w:rPr>
          <w:rFonts w:hint="eastAsia" w:cs="宋体"/>
          <w:color w:val="auto"/>
          <w:sz w:val="21"/>
          <w:szCs w:val="21"/>
          <w:u w:val="single"/>
        </w:rPr>
        <w:t xml:space="preserve">   </w:t>
      </w:r>
      <w:r>
        <w:rPr>
          <w:rFonts w:hint="eastAsia" w:cs="宋体"/>
          <w:color w:val="auto"/>
          <w:sz w:val="21"/>
          <w:szCs w:val="21"/>
        </w:rPr>
        <w:t>年</w:t>
      </w:r>
      <w:r>
        <w:rPr>
          <w:rFonts w:hint="eastAsia" w:cs="宋体"/>
          <w:color w:val="auto"/>
          <w:sz w:val="21"/>
          <w:szCs w:val="21"/>
          <w:u w:val="single"/>
        </w:rPr>
        <w:t xml:space="preserve">   </w:t>
      </w:r>
      <w:r>
        <w:rPr>
          <w:rFonts w:hint="eastAsia" w:cs="宋体"/>
          <w:color w:val="auto"/>
          <w:sz w:val="21"/>
          <w:szCs w:val="21"/>
        </w:rPr>
        <w:t>月</w:t>
      </w:r>
      <w:r>
        <w:rPr>
          <w:rFonts w:hint="eastAsia" w:cs="宋体"/>
          <w:color w:val="auto"/>
          <w:sz w:val="21"/>
          <w:szCs w:val="21"/>
          <w:u w:val="single"/>
        </w:rPr>
        <w:t xml:space="preserve">   </w:t>
      </w:r>
      <w:r>
        <w:rPr>
          <w:rFonts w:hint="eastAsia" w:cs="宋体"/>
          <w:color w:val="auto"/>
          <w:sz w:val="21"/>
          <w:szCs w:val="21"/>
        </w:rPr>
        <w:t>日就</w:t>
      </w:r>
      <w:r>
        <w:rPr>
          <w:rFonts w:hint="eastAsia" w:cs="宋体"/>
          <w:snapToGrid w:val="0"/>
          <w:color w:val="auto"/>
          <w:sz w:val="21"/>
          <w:szCs w:val="21"/>
          <w:u w:val="single"/>
        </w:rPr>
        <w:t xml:space="preserve">        </w:t>
      </w:r>
      <w:r>
        <w:rPr>
          <w:rFonts w:hint="eastAsia" w:cs="宋体"/>
          <w:snapToGrid w:val="0"/>
          <w:color w:val="auto"/>
          <w:sz w:val="21"/>
          <w:szCs w:val="21"/>
        </w:rPr>
        <w:t>（项目编号）的</w:t>
      </w:r>
      <w:r>
        <w:rPr>
          <w:rFonts w:hint="eastAsia" w:cs="宋体"/>
          <w:snapToGrid w:val="0"/>
          <w:color w:val="auto"/>
          <w:sz w:val="21"/>
          <w:szCs w:val="21"/>
          <w:u w:val="single"/>
        </w:rPr>
        <w:t xml:space="preserve">         </w:t>
      </w:r>
      <w:r>
        <w:rPr>
          <w:rFonts w:hint="eastAsia" w:cs="宋体"/>
          <w:snapToGrid w:val="0"/>
          <w:color w:val="auto"/>
          <w:sz w:val="21"/>
          <w:szCs w:val="21"/>
        </w:rPr>
        <w:t>（项目名称）</w:t>
      </w:r>
      <w:r>
        <w:rPr>
          <w:rFonts w:hint="eastAsia" w:cs="宋体"/>
          <w:color w:val="auto"/>
          <w:sz w:val="21"/>
          <w:szCs w:val="21"/>
        </w:rPr>
        <w:t>有关事项协商一致共同签订</w:t>
      </w:r>
      <w:r>
        <w:rPr>
          <w:rFonts w:hint="eastAsia" w:cs="宋体"/>
          <w:color w:val="auto"/>
          <w:sz w:val="21"/>
          <w:szCs w:val="21"/>
          <w:u w:val="single"/>
        </w:rPr>
        <w:t>《        》</w:t>
      </w:r>
      <w:r>
        <w:rPr>
          <w:rFonts w:hint="eastAsia" w:cs="宋体"/>
          <w:color w:val="auto"/>
          <w:sz w:val="21"/>
          <w:szCs w:val="21"/>
        </w:rPr>
        <w:t xml:space="preserve">（以下简称“基础合同”），开立人根据基础合同了解到申请人为基础合同项下之承包人，受益人为基础合同项下之发包人，基于申请人的请求，开立人同意就申请人履行与受益人签订的基础合同项下的义务，向受益人提供不可撤销、不可转让的见索即付独立保函（以下简称“本保函”）。 </w:t>
      </w:r>
    </w:p>
    <w:p w14:paraId="5A3595BC">
      <w:pPr>
        <w:spacing w:line="360" w:lineRule="auto"/>
        <w:ind w:firstLine="420" w:firstLineChars="200"/>
        <w:rPr>
          <w:rFonts w:cs="宋体"/>
          <w:color w:val="auto"/>
          <w:sz w:val="21"/>
          <w:szCs w:val="21"/>
        </w:rPr>
      </w:pPr>
      <w:r>
        <w:rPr>
          <w:rFonts w:hint="eastAsia" w:cs="宋体"/>
          <w:color w:val="auto"/>
          <w:sz w:val="21"/>
          <w:szCs w:val="21"/>
        </w:rPr>
        <w:t>一、本保函担保范围：承包人未按照基础合同的约定履行义务，应当向受益人承担的违约责任和赔偿因此造成的损失、利息、律师费、诉讼费用等实现债权的费用。</w:t>
      </w:r>
    </w:p>
    <w:p w14:paraId="6EA5C935">
      <w:pPr>
        <w:spacing w:line="360" w:lineRule="auto"/>
        <w:ind w:firstLine="420" w:firstLineChars="200"/>
        <w:rPr>
          <w:rFonts w:cs="宋体"/>
          <w:color w:val="auto"/>
          <w:sz w:val="21"/>
          <w:szCs w:val="21"/>
        </w:rPr>
      </w:pPr>
      <w:r>
        <w:rPr>
          <w:rFonts w:hint="eastAsia" w:cs="宋体"/>
          <w:color w:val="auto"/>
          <w:sz w:val="21"/>
          <w:szCs w:val="21"/>
        </w:rPr>
        <w:t>二、本保函担保金额最高不超过人民币（大写）</w:t>
      </w:r>
      <w:r>
        <w:rPr>
          <w:rFonts w:hint="eastAsia" w:cs="宋体"/>
          <w:color w:val="auto"/>
          <w:sz w:val="21"/>
          <w:szCs w:val="21"/>
          <w:u w:val="single"/>
        </w:rPr>
        <w:t xml:space="preserve">          </w:t>
      </w:r>
      <w:r>
        <w:rPr>
          <w:rFonts w:hint="eastAsia" w:cs="宋体"/>
          <w:color w:val="auto"/>
          <w:sz w:val="21"/>
          <w:szCs w:val="21"/>
        </w:rPr>
        <w:t>元（¥</w:t>
      </w:r>
      <w:r>
        <w:rPr>
          <w:rFonts w:hint="eastAsia" w:cs="宋体"/>
          <w:color w:val="auto"/>
          <w:sz w:val="21"/>
          <w:szCs w:val="21"/>
          <w:u w:val="single"/>
        </w:rPr>
        <w:t xml:space="preserve">       </w:t>
      </w:r>
      <w:r>
        <w:rPr>
          <w:rFonts w:hint="eastAsia" w:cs="宋体"/>
          <w:color w:val="auto"/>
          <w:sz w:val="21"/>
          <w:szCs w:val="21"/>
        </w:rPr>
        <w:t xml:space="preserve">）。 </w:t>
      </w:r>
    </w:p>
    <w:p w14:paraId="29A7E8A0">
      <w:pPr>
        <w:spacing w:line="360" w:lineRule="auto"/>
        <w:ind w:firstLine="420" w:firstLineChars="200"/>
        <w:rPr>
          <w:rFonts w:cs="宋体"/>
          <w:color w:val="auto"/>
          <w:sz w:val="21"/>
          <w:szCs w:val="21"/>
        </w:rPr>
      </w:pPr>
      <w:r>
        <w:rPr>
          <w:rFonts w:hint="eastAsia" w:cs="宋体"/>
          <w:color w:val="auto"/>
          <w:sz w:val="21"/>
          <w:szCs w:val="21"/>
        </w:rPr>
        <w:t xml:space="preserve">三、本保函有效期自开立之日起至基础合同约定的缺陷责任期满之日止。 </w:t>
      </w:r>
    </w:p>
    <w:p w14:paraId="41B84282">
      <w:pPr>
        <w:spacing w:line="360" w:lineRule="auto"/>
        <w:ind w:firstLine="480"/>
        <w:rPr>
          <w:rFonts w:cs="宋体"/>
          <w:color w:val="auto"/>
          <w:sz w:val="21"/>
          <w:szCs w:val="21"/>
        </w:rPr>
      </w:pPr>
      <w:bookmarkStart w:id="674" w:name="_Hlk40302764"/>
      <w:r>
        <w:rPr>
          <w:rFonts w:hint="eastAsia" w:cs="宋体"/>
          <w:color w:val="auto"/>
          <w:sz w:val="21"/>
          <w:szCs w:val="21"/>
        </w:rPr>
        <w:t>四、开立人承诺，在收到受益人发来的书面付款通知后的七日内无条件支付，前述书面付款通知即为付款要求之单据，且应满足以下要求：</w:t>
      </w:r>
    </w:p>
    <w:bookmarkEnd w:id="674"/>
    <w:p w14:paraId="0CB94F80">
      <w:pPr>
        <w:spacing w:line="360" w:lineRule="auto"/>
        <w:ind w:firstLine="420" w:firstLineChars="200"/>
        <w:rPr>
          <w:rFonts w:cs="宋体"/>
          <w:color w:val="auto"/>
          <w:sz w:val="21"/>
          <w:szCs w:val="21"/>
        </w:rPr>
      </w:pPr>
      <w:r>
        <w:rPr>
          <w:rFonts w:hint="eastAsia" w:cs="宋体"/>
          <w:color w:val="auto"/>
          <w:sz w:val="21"/>
          <w:szCs w:val="21"/>
        </w:rPr>
        <w:t>（1）付款通知到达的日期在本保函的有效期内；</w:t>
      </w:r>
    </w:p>
    <w:p w14:paraId="4FE503B3">
      <w:pPr>
        <w:spacing w:line="360" w:lineRule="auto"/>
        <w:ind w:firstLine="420" w:firstLineChars="200"/>
        <w:rPr>
          <w:rFonts w:cs="宋体"/>
          <w:color w:val="auto"/>
          <w:sz w:val="21"/>
          <w:szCs w:val="21"/>
        </w:rPr>
      </w:pPr>
      <w:r>
        <w:rPr>
          <w:rFonts w:hint="eastAsia" w:cs="宋体"/>
          <w:color w:val="auto"/>
          <w:sz w:val="21"/>
          <w:szCs w:val="21"/>
        </w:rPr>
        <w:t>（2）载明要求支付的金额；</w:t>
      </w:r>
    </w:p>
    <w:p w14:paraId="016A1A94">
      <w:pPr>
        <w:spacing w:line="360" w:lineRule="auto"/>
        <w:ind w:firstLine="420" w:firstLineChars="200"/>
        <w:rPr>
          <w:rFonts w:cs="宋体"/>
          <w:color w:val="auto"/>
          <w:sz w:val="21"/>
          <w:szCs w:val="21"/>
        </w:rPr>
      </w:pPr>
      <w:r>
        <w:rPr>
          <w:rFonts w:hint="eastAsia" w:cs="宋体"/>
          <w:color w:val="auto"/>
          <w:sz w:val="21"/>
          <w:szCs w:val="21"/>
        </w:rPr>
        <w:t>（3）载明申请人违反合同义务的条款和内容；</w:t>
      </w:r>
    </w:p>
    <w:p w14:paraId="4264E573">
      <w:pPr>
        <w:spacing w:line="360" w:lineRule="auto"/>
        <w:ind w:firstLine="420" w:firstLineChars="200"/>
        <w:rPr>
          <w:rFonts w:cs="宋体"/>
          <w:color w:val="auto"/>
          <w:sz w:val="21"/>
          <w:szCs w:val="21"/>
        </w:rPr>
      </w:pPr>
      <w:r>
        <w:rPr>
          <w:rFonts w:hint="eastAsia" w:cs="宋体"/>
          <w:color w:val="auto"/>
          <w:sz w:val="21"/>
          <w:szCs w:val="21"/>
        </w:rPr>
        <w:t>（4）声明不存在合同文件约定或我国法律规定免除申请人或开立人支付责任的情形；</w:t>
      </w:r>
    </w:p>
    <w:p w14:paraId="3E110D86">
      <w:pPr>
        <w:spacing w:line="360" w:lineRule="auto"/>
        <w:ind w:firstLine="420" w:firstLineChars="200"/>
        <w:rPr>
          <w:rFonts w:cs="宋体"/>
          <w:color w:val="auto"/>
          <w:sz w:val="21"/>
          <w:szCs w:val="21"/>
        </w:rPr>
      </w:pPr>
      <w:r>
        <w:rPr>
          <w:rFonts w:hint="eastAsia" w:cs="宋体"/>
          <w:color w:val="auto"/>
          <w:sz w:val="21"/>
          <w:szCs w:val="21"/>
        </w:rPr>
        <w:t>（5）付款通知应在本保函有效期内到达的地址是：</w:t>
      </w:r>
      <w:r>
        <w:rPr>
          <w:rFonts w:hint="eastAsia" w:cs="宋体"/>
          <w:color w:val="auto"/>
          <w:sz w:val="21"/>
          <w:szCs w:val="21"/>
          <w:u w:val="single"/>
        </w:rPr>
        <w:t xml:space="preserve">             </w:t>
      </w:r>
      <w:r>
        <w:rPr>
          <w:rFonts w:hint="eastAsia" w:cs="宋体"/>
          <w:color w:val="auto"/>
          <w:sz w:val="21"/>
          <w:szCs w:val="21"/>
        </w:rPr>
        <w:t>。</w:t>
      </w:r>
    </w:p>
    <w:p w14:paraId="1B2F1BD5">
      <w:pPr>
        <w:spacing w:line="360" w:lineRule="auto"/>
        <w:ind w:firstLine="420" w:firstLineChars="200"/>
        <w:rPr>
          <w:rFonts w:cs="宋体"/>
          <w:color w:val="auto"/>
          <w:sz w:val="21"/>
          <w:szCs w:val="21"/>
        </w:rPr>
      </w:pPr>
      <w:bookmarkStart w:id="675" w:name="_Hlk40303486"/>
      <w:r>
        <w:rPr>
          <w:rFonts w:hint="eastAsia" w:cs="宋体"/>
          <w:color w:val="auto"/>
          <w:sz w:val="21"/>
          <w:szCs w:val="21"/>
        </w:rPr>
        <w:t>受益人发出的书面付款通知应由其法定代表人（负责人）或授权代理人签字并加盖公章。</w:t>
      </w:r>
      <w:bookmarkEnd w:id="675"/>
    </w:p>
    <w:p w14:paraId="65E79BE7">
      <w:pPr>
        <w:spacing w:line="360" w:lineRule="auto"/>
        <w:ind w:firstLine="420" w:firstLineChars="200"/>
        <w:rPr>
          <w:rFonts w:cs="宋体"/>
          <w:color w:val="auto"/>
          <w:sz w:val="21"/>
          <w:szCs w:val="21"/>
        </w:rPr>
      </w:pPr>
      <w:r>
        <w:rPr>
          <w:rFonts w:hint="eastAsia" w:cs="宋体"/>
          <w:color w:val="auto"/>
          <w:sz w:val="21"/>
          <w:szCs w:val="21"/>
        </w:rPr>
        <w:t xml:space="preserve">五、本保函项下的权利不得转让，不得设定担保。受益人未经我方书面同意转 让本保函或其项下任何权利，对我方不发生法律效力。 </w:t>
      </w:r>
    </w:p>
    <w:p w14:paraId="4E48F11C">
      <w:pPr>
        <w:spacing w:line="360" w:lineRule="auto"/>
        <w:ind w:firstLine="420" w:firstLineChars="200"/>
        <w:rPr>
          <w:rFonts w:cs="宋体"/>
          <w:color w:val="auto"/>
          <w:sz w:val="21"/>
          <w:szCs w:val="21"/>
        </w:rPr>
      </w:pPr>
      <w:r>
        <w:rPr>
          <w:rFonts w:hint="eastAsia" w:cs="宋体"/>
          <w:color w:val="auto"/>
          <w:sz w:val="21"/>
          <w:szCs w:val="21"/>
        </w:rPr>
        <w:t xml:space="preserve">六、与本保函有关的基础合同不成立、不生效、无效、被撤销、被解除，不影响本保函的独立有效。 </w:t>
      </w:r>
    </w:p>
    <w:p w14:paraId="0B35DE70">
      <w:pPr>
        <w:spacing w:line="360" w:lineRule="auto"/>
        <w:ind w:firstLine="420" w:firstLineChars="200"/>
        <w:rPr>
          <w:rFonts w:cs="宋体"/>
          <w:color w:val="auto"/>
          <w:sz w:val="21"/>
          <w:szCs w:val="21"/>
        </w:rPr>
      </w:pPr>
      <w:bookmarkStart w:id="676" w:name="_Hlk40303383"/>
      <w:bookmarkStart w:id="677" w:name="_Hlk40354981"/>
      <w:r>
        <w:rPr>
          <w:rFonts w:hint="eastAsia" w:cs="宋体"/>
          <w:color w:val="auto"/>
          <w:sz w:val="21"/>
          <w:szCs w:val="21"/>
        </w:rPr>
        <w:t xml:space="preserve">七、本保函项下的义务和责任均在保函有效期到期后自动消灭。 </w:t>
      </w:r>
    </w:p>
    <w:p w14:paraId="3229904D">
      <w:pPr>
        <w:spacing w:line="360" w:lineRule="auto"/>
        <w:ind w:firstLine="420" w:firstLineChars="200"/>
        <w:rPr>
          <w:rFonts w:cs="宋体"/>
          <w:color w:val="auto"/>
          <w:sz w:val="21"/>
          <w:szCs w:val="21"/>
        </w:rPr>
      </w:pPr>
      <w:r>
        <w:rPr>
          <w:rFonts w:hint="eastAsia" w:cs="宋体"/>
          <w:color w:val="auto"/>
          <w:sz w:val="21"/>
          <w:szCs w:val="21"/>
        </w:rPr>
        <w:t>八、本保函适用的法律为中华人民共和国法律，因本保函产生的纠纷案件，</w:t>
      </w:r>
      <w:bookmarkEnd w:id="676"/>
      <w:r>
        <w:rPr>
          <w:rFonts w:hint="eastAsia" w:cs="宋体"/>
          <w:color w:val="auto"/>
          <w:sz w:val="21"/>
          <w:szCs w:val="21"/>
        </w:rPr>
        <w:t xml:space="preserve">由受益人所在地人民法院管辖。 </w:t>
      </w:r>
    </w:p>
    <w:bookmarkEnd w:id="677"/>
    <w:p w14:paraId="1F35B2A4">
      <w:pPr>
        <w:spacing w:line="360" w:lineRule="auto"/>
        <w:ind w:firstLine="420" w:firstLineChars="200"/>
        <w:rPr>
          <w:rFonts w:cs="宋体"/>
          <w:color w:val="auto"/>
          <w:sz w:val="21"/>
          <w:szCs w:val="21"/>
        </w:rPr>
      </w:pPr>
      <w:r>
        <w:rPr>
          <w:rFonts w:hint="eastAsia" w:cs="宋体"/>
          <w:color w:val="auto"/>
          <w:sz w:val="21"/>
          <w:szCs w:val="21"/>
        </w:rPr>
        <w:t xml:space="preserve">九、本保函自我方法定代表人或授权代表签字并加盖公章之日起生效。 </w:t>
      </w:r>
    </w:p>
    <w:p w14:paraId="716CA0CB">
      <w:pPr>
        <w:spacing w:line="360" w:lineRule="auto"/>
        <w:ind w:firstLine="420" w:firstLineChars="200"/>
        <w:rPr>
          <w:rFonts w:cs="宋体"/>
          <w:color w:val="auto"/>
          <w:sz w:val="21"/>
          <w:szCs w:val="21"/>
        </w:rPr>
      </w:pPr>
    </w:p>
    <w:p w14:paraId="1316E6D7">
      <w:pPr>
        <w:spacing w:line="360" w:lineRule="auto"/>
        <w:ind w:firstLine="420" w:firstLineChars="200"/>
        <w:rPr>
          <w:rFonts w:cs="宋体"/>
          <w:color w:val="auto"/>
          <w:sz w:val="21"/>
          <w:szCs w:val="21"/>
        </w:rPr>
      </w:pPr>
    </w:p>
    <w:p w14:paraId="7E6DE788">
      <w:pPr>
        <w:spacing w:line="360" w:lineRule="auto"/>
        <w:ind w:firstLine="420" w:firstLineChars="200"/>
        <w:rPr>
          <w:rFonts w:cs="宋体"/>
          <w:color w:val="auto"/>
          <w:sz w:val="21"/>
          <w:szCs w:val="21"/>
        </w:rPr>
      </w:pPr>
    </w:p>
    <w:p w14:paraId="44A6EB2C">
      <w:pPr>
        <w:spacing w:line="360" w:lineRule="auto"/>
        <w:ind w:firstLine="420" w:firstLineChars="200"/>
        <w:rPr>
          <w:rFonts w:cs="宋体"/>
          <w:color w:val="auto"/>
          <w:sz w:val="21"/>
          <w:szCs w:val="21"/>
        </w:rPr>
      </w:pPr>
      <w:r>
        <w:rPr>
          <w:rFonts w:hint="eastAsia" w:cs="宋体"/>
          <w:color w:val="auto"/>
          <w:sz w:val="21"/>
          <w:szCs w:val="21"/>
        </w:rPr>
        <w:t>开 立 人：</w:t>
      </w:r>
      <w:r>
        <w:rPr>
          <w:rFonts w:hint="eastAsia" w:cs="宋体"/>
          <w:color w:val="auto"/>
          <w:sz w:val="21"/>
          <w:szCs w:val="21"/>
          <w:u w:val="single"/>
        </w:rPr>
        <w:t xml:space="preserve">                              </w:t>
      </w:r>
      <w:r>
        <w:rPr>
          <w:rFonts w:hint="eastAsia" w:cs="宋体"/>
          <w:color w:val="auto"/>
          <w:sz w:val="21"/>
          <w:szCs w:val="21"/>
        </w:rPr>
        <w:t xml:space="preserve">（公章） </w:t>
      </w:r>
    </w:p>
    <w:p w14:paraId="5BD2C616">
      <w:pPr>
        <w:spacing w:line="360" w:lineRule="auto"/>
        <w:ind w:firstLine="420" w:firstLineChars="200"/>
        <w:rPr>
          <w:rFonts w:cs="宋体"/>
          <w:color w:val="auto"/>
          <w:sz w:val="21"/>
          <w:szCs w:val="21"/>
        </w:rPr>
      </w:pPr>
      <w:r>
        <w:rPr>
          <w:rFonts w:hint="eastAsia" w:cs="宋体"/>
          <w:color w:val="auto"/>
          <w:sz w:val="21"/>
          <w:szCs w:val="21"/>
        </w:rPr>
        <w:t>法定代表人（或授权代表）：</w:t>
      </w:r>
      <w:r>
        <w:rPr>
          <w:rFonts w:hint="eastAsia" w:cs="宋体"/>
          <w:color w:val="auto"/>
          <w:sz w:val="21"/>
          <w:szCs w:val="21"/>
          <w:u w:val="single"/>
        </w:rPr>
        <w:t xml:space="preserve">               </w:t>
      </w:r>
      <w:r>
        <w:rPr>
          <w:rFonts w:hint="eastAsia" w:cs="宋体"/>
          <w:color w:val="auto"/>
          <w:sz w:val="21"/>
          <w:szCs w:val="21"/>
        </w:rPr>
        <w:t xml:space="preserve">（签字） </w:t>
      </w:r>
    </w:p>
    <w:p w14:paraId="2DB161F6">
      <w:pPr>
        <w:spacing w:line="360" w:lineRule="auto"/>
        <w:ind w:firstLine="420" w:firstLineChars="200"/>
        <w:rPr>
          <w:rFonts w:cs="宋体"/>
          <w:color w:val="auto"/>
          <w:sz w:val="21"/>
          <w:szCs w:val="21"/>
        </w:rPr>
      </w:pPr>
      <w:r>
        <w:rPr>
          <w:rFonts w:hint="eastAsia" w:cs="宋体"/>
          <w:color w:val="auto"/>
          <w:sz w:val="21"/>
          <w:szCs w:val="21"/>
        </w:rPr>
        <w:t>地    址：</w:t>
      </w:r>
      <w:r>
        <w:rPr>
          <w:rFonts w:hint="eastAsia" w:cs="宋体"/>
          <w:color w:val="auto"/>
          <w:sz w:val="21"/>
          <w:szCs w:val="21"/>
          <w:u w:val="single"/>
        </w:rPr>
        <w:t xml:space="preserve">                                       </w:t>
      </w:r>
    </w:p>
    <w:p w14:paraId="2CC5DF0E">
      <w:pPr>
        <w:spacing w:line="360" w:lineRule="auto"/>
        <w:ind w:firstLine="420" w:firstLineChars="200"/>
        <w:rPr>
          <w:rFonts w:cs="宋体"/>
          <w:color w:val="auto"/>
          <w:sz w:val="21"/>
          <w:szCs w:val="21"/>
        </w:rPr>
      </w:pPr>
      <w:r>
        <w:rPr>
          <w:rFonts w:hint="eastAsia" w:cs="宋体"/>
          <w:color w:val="auto"/>
          <w:sz w:val="21"/>
          <w:szCs w:val="21"/>
        </w:rPr>
        <w:t>邮政编码：</w:t>
      </w:r>
      <w:r>
        <w:rPr>
          <w:rFonts w:hint="eastAsia" w:cs="宋体"/>
          <w:color w:val="auto"/>
          <w:sz w:val="21"/>
          <w:szCs w:val="21"/>
          <w:u w:val="single"/>
        </w:rPr>
        <w:t xml:space="preserve">                 </w:t>
      </w:r>
    </w:p>
    <w:p w14:paraId="28F5A746">
      <w:pPr>
        <w:spacing w:line="360" w:lineRule="auto"/>
        <w:ind w:firstLine="420" w:firstLineChars="200"/>
        <w:rPr>
          <w:rFonts w:cs="宋体"/>
          <w:color w:val="auto"/>
          <w:sz w:val="21"/>
          <w:szCs w:val="21"/>
        </w:rPr>
      </w:pPr>
      <w:r>
        <w:rPr>
          <w:rFonts w:hint="eastAsia" w:cs="宋体"/>
          <w:color w:val="auto"/>
          <w:sz w:val="21"/>
          <w:szCs w:val="21"/>
        </w:rPr>
        <w:t>电    话：</w:t>
      </w:r>
      <w:r>
        <w:rPr>
          <w:rFonts w:hint="eastAsia" w:cs="宋体"/>
          <w:color w:val="auto"/>
          <w:sz w:val="21"/>
          <w:szCs w:val="21"/>
          <w:u w:val="single"/>
        </w:rPr>
        <w:t xml:space="preserve">                 </w:t>
      </w:r>
    </w:p>
    <w:p w14:paraId="7F6C281C">
      <w:pPr>
        <w:spacing w:line="360" w:lineRule="auto"/>
        <w:ind w:firstLine="420" w:firstLineChars="200"/>
        <w:rPr>
          <w:rFonts w:cs="宋体"/>
          <w:color w:val="auto"/>
          <w:sz w:val="21"/>
          <w:szCs w:val="21"/>
          <w:u w:val="single"/>
        </w:rPr>
      </w:pPr>
      <w:r>
        <w:rPr>
          <w:rFonts w:hint="eastAsia" w:cs="宋体"/>
          <w:color w:val="auto"/>
          <w:sz w:val="21"/>
          <w:szCs w:val="21"/>
        </w:rPr>
        <w:t>传    真：</w:t>
      </w:r>
      <w:r>
        <w:rPr>
          <w:rFonts w:hint="eastAsia" w:cs="宋体"/>
          <w:color w:val="auto"/>
          <w:sz w:val="21"/>
          <w:szCs w:val="21"/>
          <w:u w:val="single"/>
        </w:rPr>
        <w:t xml:space="preserve">                 </w:t>
      </w:r>
    </w:p>
    <w:p w14:paraId="52DC61C8">
      <w:pPr>
        <w:spacing w:line="360" w:lineRule="auto"/>
        <w:ind w:left="1303" w:leftChars="200" w:hanging="903" w:hangingChars="430"/>
        <w:rPr>
          <w:rFonts w:cs="宋体"/>
          <w:color w:val="auto"/>
          <w:sz w:val="21"/>
          <w:szCs w:val="21"/>
        </w:rPr>
      </w:pPr>
      <w:r>
        <w:rPr>
          <w:rFonts w:hint="eastAsia" w:cs="宋体"/>
          <w:color w:val="auto"/>
          <w:sz w:val="21"/>
          <w:szCs w:val="21"/>
        </w:rPr>
        <w:t>开立时间：</w:t>
      </w:r>
      <w:r>
        <w:rPr>
          <w:rFonts w:hint="eastAsia" w:cs="宋体"/>
          <w:color w:val="auto"/>
          <w:sz w:val="21"/>
          <w:szCs w:val="21"/>
          <w:u w:val="single"/>
        </w:rPr>
        <w:t xml:space="preserve">      </w:t>
      </w:r>
      <w:r>
        <w:rPr>
          <w:rFonts w:hint="eastAsia" w:cs="宋体"/>
          <w:color w:val="auto"/>
          <w:sz w:val="21"/>
          <w:szCs w:val="21"/>
        </w:rPr>
        <w:t>年</w:t>
      </w:r>
      <w:r>
        <w:rPr>
          <w:rFonts w:hint="eastAsia" w:cs="宋体"/>
          <w:color w:val="auto"/>
          <w:sz w:val="21"/>
          <w:szCs w:val="21"/>
          <w:u w:val="single"/>
        </w:rPr>
        <w:t xml:space="preserve">      </w:t>
      </w:r>
      <w:r>
        <w:rPr>
          <w:rFonts w:hint="eastAsia" w:cs="宋体"/>
          <w:color w:val="auto"/>
          <w:sz w:val="21"/>
          <w:szCs w:val="21"/>
        </w:rPr>
        <w:t>月</w:t>
      </w:r>
      <w:r>
        <w:rPr>
          <w:rFonts w:hint="eastAsia" w:cs="宋体"/>
          <w:color w:val="auto"/>
          <w:sz w:val="21"/>
          <w:szCs w:val="21"/>
          <w:u w:val="single"/>
        </w:rPr>
        <w:t xml:space="preserve">    </w:t>
      </w:r>
      <w:r>
        <w:rPr>
          <w:rFonts w:hint="eastAsia" w:cs="宋体"/>
          <w:color w:val="auto"/>
          <w:sz w:val="21"/>
          <w:szCs w:val="21"/>
        </w:rPr>
        <w:t>日</w:t>
      </w:r>
    </w:p>
    <w:p w14:paraId="20B716CC">
      <w:pPr>
        <w:spacing w:before="312" w:beforeLines="100" w:after="312" w:afterLines="100"/>
        <w:outlineLvl w:val="2"/>
        <w:rPr>
          <w:rFonts w:ascii="Times New Roman" w:eastAsia="黑体"/>
          <w:color w:val="auto"/>
          <w:szCs w:val="24"/>
        </w:rPr>
      </w:pPr>
      <w:r>
        <w:rPr>
          <w:rFonts w:ascii="Times New Roman" w:eastAsia="黑体"/>
          <w:bCs/>
          <w:color w:val="auto"/>
        </w:rPr>
        <w:br w:type="page"/>
      </w:r>
      <w:bookmarkStart w:id="678" w:name="_Toc128950245"/>
      <w:r>
        <w:rPr>
          <w:rFonts w:hint="eastAsia" w:ascii="Times New Roman" w:eastAsia="黑体"/>
          <w:color w:val="auto"/>
          <w:szCs w:val="24"/>
        </w:rPr>
        <w:t>附</w:t>
      </w:r>
      <w:bookmarkStart w:id="679" w:name="_Toc296891272"/>
      <w:bookmarkStart w:id="680" w:name="_Toc296944571"/>
      <w:bookmarkStart w:id="681" w:name="_Toc296346733"/>
      <w:bookmarkStart w:id="682" w:name="_Toc296891060"/>
      <w:bookmarkStart w:id="683" w:name="_Toc296347231"/>
      <w:bookmarkStart w:id="684" w:name="_Toc267261702"/>
      <w:bookmarkStart w:id="685" w:name="_Toc296503232"/>
      <w:r>
        <w:rPr>
          <w:rFonts w:hint="eastAsia" w:ascii="Times New Roman" w:eastAsia="黑体"/>
          <w:color w:val="auto"/>
          <w:szCs w:val="24"/>
        </w:rPr>
        <w:t>件10：预付款担保</w:t>
      </w:r>
      <w:bookmarkEnd w:id="678"/>
    </w:p>
    <w:bookmarkEnd w:id="679"/>
    <w:bookmarkEnd w:id="680"/>
    <w:bookmarkEnd w:id="681"/>
    <w:bookmarkEnd w:id="682"/>
    <w:bookmarkEnd w:id="683"/>
    <w:bookmarkEnd w:id="684"/>
    <w:bookmarkEnd w:id="685"/>
    <w:p w14:paraId="36B2D432">
      <w:pPr>
        <w:spacing w:line="360" w:lineRule="auto"/>
        <w:jc w:val="center"/>
        <w:rPr>
          <w:rFonts w:cs="宋体"/>
          <w:b/>
          <w:bCs/>
          <w:color w:val="auto"/>
          <w:sz w:val="32"/>
          <w:szCs w:val="32"/>
        </w:rPr>
      </w:pPr>
      <w:r>
        <w:rPr>
          <w:rFonts w:hint="eastAsia" w:cs="宋体"/>
          <w:b/>
          <w:bCs/>
          <w:color w:val="auto"/>
          <w:sz w:val="32"/>
          <w:szCs w:val="32"/>
        </w:rPr>
        <w:t>预付款保函示范文本</w:t>
      </w:r>
    </w:p>
    <w:p w14:paraId="31AB776A">
      <w:pPr>
        <w:wordWrap w:val="0"/>
        <w:spacing w:line="360" w:lineRule="auto"/>
        <w:jc w:val="right"/>
        <w:rPr>
          <w:rFonts w:ascii="Times New Roman"/>
          <w:color w:val="auto"/>
          <w:szCs w:val="21"/>
        </w:rPr>
      </w:pPr>
      <w:r>
        <w:rPr>
          <w:rFonts w:hint="eastAsia" w:ascii="Times New Roman"/>
          <w:color w:val="auto"/>
          <w:szCs w:val="21"/>
        </w:rPr>
        <w:t>编号：</w:t>
      </w:r>
      <w:r>
        <w:rPr>
          <w:rFonts w:hint="eastAsia" w:ascii="Times New Roman"/>
          <w:color w:val="auto"/>
          <w:szCs w:val="21"/>
          <w:u w:val="single"/>
        </w:rPr>
        <w:t xml:space="preserve"> </w:t>
      </w:r>
      <w:r>
        <w:rPr>
          <w:rFonts w:ascii="Times New Roman"/>
          <w:color w:val="auto"/>
          <w:szCs w:val="21"/>
          <w:u w:val="single"/>
        </w:rPr>
        <w:t xml:space="preserve">          </w:t>
      </w:r>
    </w:p>
    <w:p w14:paraId="674A3BF1">
      <w:pPr>
        <w:spacing w:line="360" w:lineRule="auto"/>
        <w:rPr>
          <w:rFonts w:ascii="Times New Roman"/>
          <w:color w:val="auto"/>
          <w:szCs w:val="21"/>
        </w:rPr>
      </w:pPr>
    </w:p>
    <w:p w14:paraId="5D931965">
      <w:pPr>
        <w:spacing w:line="360" w:lineRule="auto"/>
        <w:rPr>
          <w:rFonts w:cs="宋体"/>
          <w:color w:val="auto"/>
          <w:sz w:val="21"/>
          <w:szCs w:val="21"/>
        </w:rPr>
      </w:pPr>
      <w:r>
        <w:rPr>
          <w:rFonts w:hint="eastAsia" w:cs="宋体"/>
          <w:color w:val="auto"/>
          <w:sz w:val="21"/>
          <w:szCs w:val="21"/>
          <w:u w:val="single"/>
        </w:rPr>
        <w:t xml:space="preserve">              </w:t>
      </w:r>
      <w:r>
        <w:rPr>
          <w:rFonts w:hint="eastAsia" w:cs="宋体"/>
          <w:color w:val="auto"/>
          <w:sz w:val="21"/>
          <w:szCs w:val="21"/>
        </w:rPr>
        <w:t xml:space="preserve">（受益人名称）： </w:t>
      </w:r>
    </w:p>
    <w:p w14:paraId="330E3D2C">
      <w:pPr>
        <w:spacing w:line="360" w:lineRule="auto"/>
        <w:ind w:firstLine="420" w:firstLineChars="200"/>
        <w:rPr>
          <w:rFonts w:cs="宋体"/>
          <w:color w:val="auto"/>
          <w:sz w:val="21"/>
          <w:szCs w:val="21"/>
        </w:rPr>
      </w:pPr>
      <w:r>
        <w:rPr>
          <w:rFonts w:hint="eastAsia" w:cs="宋体"/>
          <w:color w:val="auto"/>
          <w:sz w:val="21"/>
          <w:szCs w:val="21"/>
        </w:rPr>
        <w:t>鉴于</w:t>
      </w:r>
      <w:r>
        <w:rPr>
          <w:rFonts w:hint="eastAsia" w:cs="宋体"/>
          <w:color w:val="auto"/>
          <w:sz w:val="21"/>
          <w:szCs w:val="21"/>
          <w:u w:val="single"/>
        </w:rPr>
        <w:t xml:space="preserve">     </w:t>
      </w:r>
      <w:r>
        <w:rPr>
          <w:rFonts w:hint="eastAsia" w:cs="宋体"/>
          <w:color w:val="auto"/>
          <w:sz w:val="21"/>
          <w:szCs w:val="21"/>
        </w:rPr>
        <w:t>（以下简称“受益人”）与</w:t>
      </w:r>
      <w:r>
        <w:rPr>
          <w:rFonts w:hint="eastAsia" w:cs="宋体"/>
          <w:color w:val="auto"/>
          <w:sz w:val="21"/>
          <w:szCs w:val="21"/>
          <w:u w:val="single"/>
        </w:rPr>
        <w:t xml:space="preserve">     </w:t>
      </w:r>
      <w:r>
        <w:rPr>
          <w:rFonts w:hint="eastAsia" w:cs="宋体"/>
          <w:color w:val="auto"/>
          <w:sz w:val="21"/>
          <w:szCs w:val="21"/>
        </w:rPr>
        <w:t>（以下简称“申请人”）于</w:t>
      </w:r>
      <w:r>
        <w:rPr>
          <w:rFonts w:hint="eastAsia" w:cs="宋体"/>
          <w:color w:val="auto"/>
          <w:sz w:val="21"/>
          <w:szCs w:val="21"/>
          <w:u w:val="single"/>
        </w:rPr>
        <w:t xml:space="preserve">    </w:t>
      </w:r>
      <w:r>
        <w:rPr>
          <w:rFonts w:hint="eastAsia" w:cs="宋体"/>
          <w:color w:val="auto"/>
          <w:sz w:val="21"/>
          <w:szCs w:val="21"/>
        </w:rPr>
        <w:t>年</w:t>
      </w:r>
      <w:r>
        <w:rPr>
          <w:rFonts w:hint="eastAsia" w:cs="宋体"/>
          <w:color w:val="auto"/>
          <w:sz w:val="21"/>
          <w:szCs w:val="21"/>
          <w:u w:val="single"/>
        </w:rPr>
        <w:t xml:space="preserve">   </w:t>
      </w:r>
      <w:r>
        <w:rPr>
          <w:rFonts w:hint="eastAsia" w:cs="宋体"/>
          <w:color w:val="auto"/>
          <w:sz w:val="21"/>
          <w:szCs w:val="21"/>
        </w:rPr>
        <w:t>月</w:t>
      </w:r>
      <w:r>
        <w:rPr>
          <w:rFonts w:hint="eastAsia" w:cs="宋体"/>
          <w:color w:val="auto"/>
          <w:sz w:val="21"/>
          <w:szCs w:val="21"/>
          <w:u w:val="single"/>
        </w:rPr>
        <w:t xml:space="preserve">   </w:t>
      </w:r>
      <w:r>
        <w:rPr>
          <w:rFonts w:hint="eastAsia" w:cs="宋体"/>
          <w:color w:val="auto"/>
          <w:sz w:val="21"/>
          <w:szCs w:val="21"/>
        </w:rPr>
        <w:t>日就</w:t>
      </w:r>
      <w:r>
        <w:rPr>
          <w:rFonts w:hint="eastAsia" w:cs="宋体"/>
          <w:snapToGrid w:val="0"/>
          <w:color w:val="auto"/>
          <w:sz w:val="21"/>
          <w:szCs w:val="21"/>
          <w:u w:val="single"/>
        </w:rPr>
        <w:t xml:space="preserve">        </w:t>
      </w:r>
      <w:r>
        <w:rPr>
          <w:rFonts w:hint="eastAsia" w:cs="宋体"/>
          <w:snapToGrid w:val="0"/>
          <w:color w:val="auto"/>
          <w:sz w:val="21"/>
          <w:szCs w:val="21"/>
        </w:rPr>
        <w:t>（项目编号）的</w:t>
      </w:r>
      <w:r>
        <w:rPr>
          <w:rFonts w:hint="eastAsia" w:cs="宋体"/>
          <w:snapToGrid w:val="0"/>
          <w:color w:val="auto"/>
          <w:sz w:val="21"/>
          <w:szCs w:val="21"/>
          <w:u w:val="single"/>
        </w:rPr>
        <w:t xml:space="preserve">     </w:t>
      </w:r>
      <w:r>
        <w:rPr>
          <w:rFonts w:hint="eastAsia" w:cs="宋体"/>
          <w:snapToGrid w:val="0"/>
          <w:color w:val="auto"/>
          <w:sz w:val="21"/>
          <w:szCs w:val="21"/>
        </w:rPr>
        <w:t>（项目名称）</w:t>
      </w:r>
      <w:r>
        <w:rPr>
          <w:rFonts w:hint="eastAsia" w:cs="宋体"/>
          <w:color w:val="auto"/>
          <w:sz w:val="21"/>
          <w:szCs w:val="21"/>
        </w:rPr>
        <w:t>有关事项协商一致共同签订</w:t>
      </w:r>
      <w:r>
        <w:rPr>
          <w:rFonts w:hint="eastAsia" w:cs="宋体"/>
          <w:color w:val="auto"/>
          <w:sz w:val="21"/>
          <w:szCs w:val="21"/>
          <w:u w:val="single"/>
        </w:rPr>
        <w:t>《        》</w:t>
      </w:r>
      <w:r>
        <w:rPr>
          <w:rFonts w:hint="eastAsia" w:cs="宋体"/>
          <w:color w:val="auto"/>
          <w:sz w:val="21"/>
          <w:szCs w:val="21"/>
        </w:rPr>
        <w:t xml:space="preserve">（以下简称“基础合同”），开立人根据主合同了解到申请人为主合同项下之承包人，受益人为主合同项下之发包人，基于申请人的请求，开立人同意就申请人按照合同约定正确和合理地为合同目的使用预付款，向受益人提供不可撤销、不可转让的见索即付独立保函（以下简称“本保函”）。 </w:t>
      </w:r>
    </w:p>
    <w:p w14:paraId="5415983B">
      <w:pPr>
        <w:spacing w:line="360" w:lineRule="auto"/>
        <w:ind w:firstLine="420" w:firstLineChars="200"/>
        <w:rPr>
          <w:rFonts w:cs="宋体"/>
          <w:color w:val="auto"/>
          <w:sz w:val="21"/>
          <w:szCs w:val="21"/>
        </w:rPr>
      </w:pPr>
      <w:r>
        <w:rPr>
          <w:rFonts w:hint="eastAsia" w:cs="宋体"/>
          <w:color w:val="auto"/>
          <w:sz w:val="21"/>
          <w:szCs w:val="21"/>
        </w:rPr>
        <w:t>一、本保函担保范围：申请人未按照合同约定正确和合理地为合同目的使用预付款，应当向受益人承担的违约责任和赔偿因此造成的损失、利息、律师费、诉讼费用等实现债权的费用。</w:t>
      </w:r>
    </w:p>
    <w:p w14:paraId="329CD8C1">
      <w:pPr>
        <w:spacing w:line="360" w:lineRule="auto"/>
        <w:ind w:firstLine="420" w:firstLineChars="200"/>
        <w:rPr>
          <w:rFonts w:cs="宋体"/>
          <w:color w:val="auto"/>
          <w:sz w:val="21"/>
          <w:szCs w:val="21"/>
        </w:rPr>
      </w:pPr>
      <w:r>
        <w:rPr>
          <w:rFonts w:hint="eastAsia" w:cs="宋体"/>
          <w:color w:val="auto"/>
          <w:sz w:val="21"/>
          <w:szCs w:val="21"/>
        </w:rPr>
        <w:t>二、本保函担保金额最高不超过人民币（大写）</w:t>
      </w:r>
      <w:r>
        <w:rPr>
          <w:rFonts w:hint="eastAsia" w:cs="宋体"/>
          <w:color w:val="auto"/>
          <w:sz w:val="21"/>
          <w:szCs w:val="21"/>
          <w:u w:val="single"/>
        </w:rPr>
        <w:t xml:space="preserve">          </w:t>
      </w:r>
      <w:r>
        <w:rPr>
          <w:rFonts w:hint="eastAsia" w:cs="宋体"/>
          <w:color w:val="auto"/>
          <w:sz w:val="21"/>
          <w:szCs w:val="21"/>
        </w:rPr>
        <w:t>元（¥</w:t>
      </w:r>
      <w:r>
        <w:rPr>
          <w:rFonts w:hint="eastAsia" w:cs="宋体"/>
          <w:color w:val="auto"/>
          <w:sz w:val="21"/>
          <w:szCs w:val="21"/>
          <w:u w:val="single"/>
        </w:rPr>
        <w:t xml:space="preserve">       </w:t>
      </w:r>
      <w:r>
        <w:rPr>
          <w:rFonts w:hint="eastAsia" w:cs="宋体"/>
          <w:color w:val="auto"/>
          <w:sz w:val="21"/>
          <w:szCs w:val="21"/>
        </w:rPr>
        <w:t xml:space="preserve">）。 </w:t>
      </w:r>
    </w:p>
    <w:p w14:paraId="2D5C7258">
      <w:pPr>
        <w:spacing w:line="360" w:lineRule="auto"/>
        <w:ind w:firstLine="420" w:firstLineChars="200"/>
        <w:rPr>
          <w:rFonts w:cs="宋体"/>
          <w:color w:val="auto"/>
          <w:sz w:val="21"/>
          <w:szCs w:val="21"/>
        </w:rPr>
      </w:pPr>
      <w:r>
        <w:rPr>
          <w:rFonts w:hint="eastAsia" w:cs="宋体"/>
          <w:color w:val="auto"/>
          <w:sz w:val="21"/>
          <w:szCs w:val="21"/>
        </w:rPr>
        <w:t>三、本保函有效期自开立之日起至发包人全额扣回预付款之日止。</w:t>
      </w:r>
    </w:p>
    <w:p w14:paraId="43874164">
      <w:pPr>
        <w:spacing w:line="400" w:lineRule="exact"/>
        <w:ind w:firstLine="480"/>
        <w:rPr>
          <w:rFonts w:cs="宋体"/>
          <w:color w:val="auto"/>
          <w:sz w:val="21"/>
          <w:szCs w:val="21"/>
        </w:rPr>
      </w:pPr>
      <w:r>
        <w:rPr>
          <w:rFonts w:hint="eastAsia" w:cs="宋体"/>
          <w:color w:val="auto"/>
          <w:sz w:val="21"/>
          <w:szCs w:val="21"/>
        </w:rPr>
        <w:t>四、开立人承诺，在收到受益人发来的书面付款通知后的七日内无条件支付，前述书面付款通知即为付款要求之单据，且应满足以下要求：</w:t>
      </w:r>
    </w:p>
    <w:p w14:paraId="4E878040">
      <w:pPr>
        <w:spacing w:line="360" w:lineRule="auto"/>
        <w:ind w:firstLine="420" w:firstLineChars="200"/>
        <w:rPr>
          <w:rFonts w:cs="宋体"/>
          <w:color w:val="auto"/>
          <w:sz w:val="21"/>
          <w:szCs w:val="21"/>
        </w:rPr>
      </w:pPr>
      <w:r>
        <w:rPr>
          <w:rFonts w:hint="eastAsia" w:cs="宋体"/>
          <w:color w:val="auto"/>
          <w:sz w:val="21"/>
          <w:szCs w:val="21"/>
        </w:rPr>
        <w:t>（1）付款通知到达的日期在本保函的有效期内；</w:t>
      </w:r>
    </w:p>
    <w:p w14:paraId="207094BF">
      <w:pPr>
        <w:spacing w:line="360" w:lineRule="auto"/>
        <w:ind w:firstLine="420" w:firstLineChars="200"/>
        <w:rPr>
          <w:rFonts w:cs="宋体"/>
          <w:color w:val="auto"/>
          <w:sz w:val="21"/>
          <w:szCs w:val="21"/>
        </w:rPr>
      </w:pPr>
      <w:r>
        <w:rPr>
          <w:rFonts w:hint="eastAsia" w:cs="宋体"/>
          <w:color w:val="auto"/>
          <w:sz w:val="21"/>
          <w:szCs w:val="21"/>
        </w:rPr>
        <w:t>（2）载明要求支付的金额；</w:t>
      </w:r>
    </w:p>
    <w:p w14:paraId="425D210A">
      <w:pPr>
        <w:spacing w:line="360" w:lineRule="auto"/>
        <w:ind w:firstLine="420" w:firstLineChars="200"/>
        <w:rPr>
          <w:rFonts w:cs="宋体"/>
          <w:color w:val="auto"/>
          <w:sz w:val="21"/>
          <w:szCs w:val="21"/>
        </w:rPr>
      </w:pPr>
      <w:r>
        <w:rPr>
          <w:rFonts w:hint="eastAsia" w:cs="宋体"/>
          <w:color w:val="auto"/>
          <w:sz w:val="21"/>
          <w:szCs w:val="21"/>
        </w:rPr>
        <w:t>（3）载明申请人违反合同义务的条款和内容；</w:t>
      </w:r>
    </w:p>
    <w:p w14:paraId="62DCD7CA">
      <w:pPr>
        <w:spacing w:line="360" w:lineRule="auto"/>
        <w:ind w:firstLine="420" w:firstLineChars="200"/>
        <w:rPr>
          <w:rFonts w:cs="宋体"/>
          <w:color w:val="auto"/>
          <w:sz w:val="21"/>
          <w:szCs w:val="21"/>
        </w:rPr>
      </w:pPr>
      <w:r>
        <w:rPr>
          <w:rFonts w:hint="eastAsia" w:cs="宋体"/>
          <w:color w:val="auto"/>
          <w:sz w:val="21"/>
          <w:szCs w:val="21"/>
        </w:rPr>
        <w:t>（4）声明不存在合同文件约定或我国法律规定免除申请人或开立人支付责任的情形；</w:t>
      </w:r>
    </w:p>
    <w:p w14:paraId="5D2C9E71">
      <w:pPr>
        <w:spacing w:line="360" w:lineRule="auto"/>
        <w:ind w:firstLine="420" w:firstLineChars="200"/>
        <w:rPr>
          <w:rFonts w:cs="宋体"/>
          <w:color w:val="auto"/>
          <w:sz w:val="21"/>
          <w:szCs w:val="21"/>
        </w:rPr>
      </w:pPr>
      <w:r>
        <w:rPr>
          <w:rFonts w:hint="eastAsia" w:cs="宋体"/>
          <w:color w:val="auto"/>
          <w:sz w:val="21"/>
          <w:szCs w:val="21"/>
        </w:rPr>
        <w:t>（5）付款通知应在本保函有效期内到达的地址是：</w:t>
      </w:r>
      <w:r>
        <w:rPr>
          <w:rFonts w:hint="eastAsia" w:cs="宋体"/>
          <w:color w:val="auto"/>
          <w:sz w:val="21"/>
          <w:szCs w:val="21"/>
          <w:u w:val="single"/>
        </w:rPr>
        <w:t xml:space="preserve">             </w:t>
      </w:r>
      <w:r>
        <w:rPr>
          <w:rFonts w:hint="eastAsia" w:cs="宋体"/>
          <w:color w:val="auto"/>
          <w:sz w:val="21"/>
          <w:szCs w:val="21"/>
        </w:rPr>
        <w:t>。</w:t>
      </w:r>
    </w:p>
    <w:p w14:paraId="5724D1CA">
      <w:pPr>
        <w:spacing w:line="400" w:lineRule="exact"/>
        <w:rPr>
          <w:rFonts w:cs="宋体"/>
          <w:color w:val="auto"/>
          <w:sz w:val="21"/>
          <w:szCs w:val="21"/>
        </w:rPr>
      </w:pPr>
      <w:r>
        <w:rPr>
          <w:rFonts w:hint="eastAsia" w:cs="宋体"/>
          <w:color w:val="auto"/>
          <w:sz w:val="21"/>
          <w:szCs w:val="21"/>
        </w:rPr>
        <w:t xml:space="preserve">    受益人发出的书面付款通知应由其法定代表人（负责人）或授权代理人签字并加盖公章。</w:t>
      </w:r>
    </w:p>
    <w:p w14:paraId="6BA24873">
      <w:pPr>
        <w:spacing w:line="400" w:lineRule="exact"/>
        <w:ind w:firstLine="420" w:firstLineChars="200"/>
        <w:rPr>
          <w:rFonts w:cs="宋体"/>
          <w:color w:val="auto"/>
          <w:sz w:val="21"/>
          <w:szCs w:val="21"/>
        </w:rPr>
      </w:pPr>
      <w:r>
        <w:rPr>
          <w:rFonts w:hint="eastAsia" w:cs="宋体"/>
          <w:color w:val="auto"/>
          <w:sz w:val="21"/>
          <w:szCs w:val="21"/>
        </w:rPr>
        <w:t xml:space="preserve">五、本保函项下的权利不得转让，不得设定担保。受益人未经开立人书面同意转让本保函或其项下任何权利，对开立人不发生法律效力。 </w:t>
      </w:r>
    </w:p>
    <w:p w14:paraId="082AFA22">
      <w:pPr>
        <w:spacing w:line="400" w:lineRule="exact"/>
        <w:ind w:firstLine="420" w:firstLineChars="200"/>
        <w:rPr>
          <w:rStyle w:val="66"/>
          <w:rFonts w:cs="宋体"/>
          <w:color w:val="auto"/>
        </w:rPr>
      </w:pPr>
      <w:r>
        <w:rPr>
          <w:rFonts w:hint="eastAsia" w:cs="宋体"/>
          <w:color w:val="auto"/>
          <w:sz w:val="21"/>
          <w:szCs w:val="21"/>
        </w:rPr>
        <w:t>六、本保函项下的基础交易不成立、不生效、无效、被撤销、被解除，不影响本保函的独立有效。</w:t>
      </w:r>
    </w:p>
    <w:p w14:paraId="589EA63C">
      <w:pPr>
        <w:spacing w:line="400" w:lineRule="exact"/>
        <w:ind w:firstLine="420" w:firstLineChars="200"/>
        <w:rPr>
          <w:rFonts w:cs="宋体"/>
          <w:color w:val="auto"/>
          <w:sz w:val="21"/>
          <w:szCs w:val="21"/>
        </w:rPr>
      </w:pPr>
      <w:r>
        <w:rPr>
          <w:rFonts w:hint="eastAsia" w:cs="宋体"/>
          <w:color w:val="auto"/>
          <w:sz w:val="21"/>
          <w:szCs w:val="21"/>
        </w:rPr>
        <w:t xml:space="preserve">七、本保函项下的义务和责任均在保函有效期到期后自动消灭。 </w:t>
      </w:r>
    </w:p>
    <w:p w14:paraId="14E00115">
      <w:pPr>
        <w:spacing w:line="400" w:lineRule="exact"/>
        <w:ind w:firstLine="420" w:firstLineChars="200"/>
        <w:rPr>
          <w:rFonts w:cs="宋体"/>
          <w:color w:val="auto"/>
          <w:sz w:val="21"/>
          <w:szCs w:val="21"/>
        </w:rPr>
      </w:pPr>
      <w:r>
        <w:rPr>
          <w:rFonts w:hint="eastAsia" w:cs="宋体"/>
          <w:color w:val="auto"/>
          <w:sz w:val="21"/>
          <w:szCs w:val="21"/>
        </w:rPr>
        <w:t xml:space="preserve">八、本保函适用的法律为中华人民共和国法律，因本保函产生的纠纷案件，由受益人所在地人民法院管辖。 </w:t>
      </w:r>
    </w:p>
    <w:p w14:paraId="740FEAFB">
      <w:pPr>
        <w:spacing w:line="360" w:lineRule="auto"/>
        <w:ind w:firstLine="420" w:firstLineChars="200"/>
        <w:rPr>
          <w:rFonts w:cs="宋体"/>
          <w:color w:val="auto"/>
          <w:sz w:val="21"/>
          <w:szCs w:val="21"/>
        </w:rPr>
      </w:pPr>
      <w:r>
        <w:rPr>
          <w:rFonts w:hint="eastAsia" w:cs="宋体"/>
          <w:color w:val="auto"/>
          <w:sz w:val="21"/>
          <w:szCs w:val="21"/>
        </w:rPr>
        <w:t xml:space="preserve">九、本保函自我方法定代表人或授权代表签字并加盖公章之日起生效。 </w:t>
      </w:r>
    </w:p>
    <w:p w14:paraId="7ADE8A53">
      <w:pPr>
        <w:spacing w:line="360" w:lineRule="auto"/>
        <w:ind w:firstLine="420" w:firstLineChars="200"/>
        <w:rPr>
          <w:rFonts w:cs="宋体"/>
          <w:color w:val="auto"/>
          <w:sz w:val="21"/>
          <w:szCs w:val="21"/>
        </w:rPr>
      </w:pPr>
    </w:p>
    <w:p w14:paraId="4E631F94">
      <w:pPr>
        <w:spacing w:line="360" w:lineRule="auto"/>
        <w:ind w:firstLine="420" w:firstLineChars="200"/>
        <w:rPr>
          <w:rFonts w:cs="宋体"/>
          <w:color w:val="auto"/>
          <w:sz w:val="21"/>
          <w:szCs w:val="21"/>
        </w:rPr>
      </w:pPr>
    </w:p>
    <w:p w14:paraId="561EA470">
      <w:pPr>
        <w:spacing w:line="360" w:lineRule="auto"/>
        <w:ind w:firstLine="420" w:firstLineChars="200"/>
        <w:rPr>
          <w:rFonts w:cs="宋体"/>
          <w:color w:val="auto"/>
          <w:sz w:val="21"/>
          <w:szCs w:val="21"/>
        </w:rPr>
      </w:pPr>
    </w:p>
    <w:p w14:paraId="27234F61">
      <w:pPr>
        <w:spacing w:line="360" w:lineRule="auto"/>
        <w:ind w:firstLine="420" w:firstLineChars="200"/>
        <w:rPr>
          <w:rFonts w:cs="宋体"/>
          <w:color w:val="auto"/>
          <w:sz w:val="21"/>
          <w:szCs w:val="21"/>
        </w:rPr>
      </w:pPr>
      <w:r>
        <w:rPr>
          <w:rFonts w:hint="eastAsia" w:cs="宋体"/>
          <w:color w:val="auto"/>
          <w:sz w:val="21"/>
          <w:szCs w:val="21"/>
        </w:rPr>
        <w:t>开 立 人：</w:t>
      </w:r>
      <w:r>
        <w:rPr>
          <w:rFonts w:hint="eastAsia" w:cs="宋体"/>
          <w:color w:val="auto"/>
          <w:sz w:val="21"/>
          <w:szCs w:val="21"/>
          <w:u w:val="single"/>
        </w:rPr>
        <w:t xml:space="preserve">                              </w:t>
      </w:r>
      <w:r>
        <w:rPr>
          <w:rFonts w:hint="eastAsia" w:cs="宋体"/>
          <w:color w:val="auto"/>
          <w:sz w:val="21"/>
          <w:szCs w:val="21"/>
        </w:rPr>
        <w:t xml:space="preserve">（公章） </w:t>
      </w:r>
    </w:p>
    <w:p w14:paraId="3DEB3C38">
      <w:pPr>
        <w:spacing w:line="360" w:lineRule="auto"/>
        <w:ind w:firstLine="420" w:firstLineChars="200"/>
        <w:rPr>
          <w:rFonts w:cs="宋体"/>
          <w:color w:val="auto"/>
          <w:sz w:val="21"/>
          <w:szCs w:val="21"/>
        </w:rPr>
      </w:pPr>
      <w:r>
        <w:rPr>
          <w:rFonts w:hint="eastAsia" w:cs="宋体"/>
          <w:color w:val="auto"/>
          <w:sz w:val="21"/>
          <w:szCs w:val="21"/>
        </w:rPr>
        <w:t>法定代表人（或授权代表）：</w:t>
      </w:r>
      <w:r>
        <w:rPr>
          <w:rFonts w:hint="eastAsia" w:cs="宋体"/>
          <w:color w:val="auto"/>
          <w:sz w:val="21"/>
          <w:szCs w:val="21"/>
          <w:u w:val="single"/>
        </w:rPr>
        <w:t xml:space="preserve">               </w:t>
      </w:r>
      <w:r>
        <w:rPr>
          <w:rFonts w:hint="eastAsia" w:cs="宋体"/>
          <w:color w:val="auto"/>
          <w:sz w:val="21"/>
          <w:szCs w:val="21"/>
        </w:rPr>
        <w:t xml:space="preserve">（签字） </w:t>
      </w:r>
    </w:p>
    <w:p w14:paraId="40E5E3AA">
      <w:pPr>
        <w:spacing w:line="360" w:lineRule="auto"/>
        <w:ind w:firstLine="420" w:firstLineChars="200"/>
        <w:rPr>
          <w:rFonts w:cs="宋体"/>
          <w:color w:val="auto"/>
          <w:sz w:val="21"/>
          <w:szCs w:val="21"/>
        </w:rPr>
      </w:pPr>
      <w:r>
        <w:rPr>
          <w:rFonts w:hint="eastAsia" w:cs="宋体"/>
          <w:color w:val="auto"/>
          <w:sz w:val="21"/>
          <w:szCs w:val="21"/>
        </w:rPr>
        <w:t>地    址：</w:t>
      </w:r>
      <w:r>
        <w:rPr>
          <w:rFonts w:hint="eastAsia" w:cs="宋体"/>
          <w:color w:val="auto"/>
          <w:sz w:val="21"/>
          <w:szCs w:val="21"/>
          <w:u w:val="single"/>
        </w:rPr>
        <w:t xml:space="preserve">                                       </w:t>
      </w:r>
    </w:p>
    <w:p w14:paraId="175DD7C8">
      <w:pPr>
        <w:spacing w:line="360" w:lineRule="auto"/>
        <w:ind w:firstLine="420" w:firstLineChars="200"/>
        <w:rPr>
          <w:rFonts w:cs="宋体"/>
          <w:color w:val="auto"/>
          <w:sz w:val="21"/>
          <w:szCs w:val="21"/>
        </w:rPr>
      </w:pPr>
      <w:r>
        <w:rPr>
          <w:rFonts w:hint="eastAsia" w:cs="宋体"/>
          <w:color w:val="auto"/>
          <w:sz w:val="21"/>
          <w:szCs w:val="21"/>
        </w:rPr>
        <w:t>邮政编码：</w:t>
      </w:r>
      <w:r>
        <w:rPr>
          <w:rFonts w:hint="eastAsia" w:cs="宋体"/>
          <w:color w:val="auto"/>
          <w:sz w:val="21"/>
          <w:szCs w:val="21"/>
          <w:u w:val="single"/>
        </w:rPr>
        <w:t xml:space="preserve">                 </w:t>
      </w:r>
    </w:p>
    <w:p w14:paraId="4E68FA1E">
      <w:pPr>
        <w:spacing w:line="360" w:lineRule="auto"/>
        <w:ind w:firstLine="420" w:firstLineChars="200"/>
        <w:rPr>
          <w:rFonts w:cs="宋体"/>
          <w:color w:val="auto"/>
          <w:sz w:val="21"/>
          <w:szCs w:val="21"/>
        </w:rPr>
      </w:pPr>
      <w:r>
        <w:rPr>
          <w:rFonts w:hint="eastAsia" w:cs="宋体"/>
          <w:color w:val="auto"/>
          <w:sz w:val="21"/>
          <w:szCs w:val="21"/>
        </w:rPr>
        <w:t>电    话：</w:t>
      </w:r>
      <w:r>
        <w:rPr>
          <w:rFonts w:hint="eastAsia" w:cs="宋体"/>
          <w:color w:val="auto"/>
          <w:sz w:val="21"/>
          <w:szCs w:val="21"/>
          <w:u w:val="single"/>
        </w:rPr>
        <w:t xml:space="preserve">                 </w:t>
      </w:r>
    </w:p>
    <w:p w14:paraId="1203627E">
      <w:pPr>
        <w:spacing w:line="360" w:lineRule="auto"/>
        <w:ind w:firstLine="420" w:firstLineChars="200"/>
        <w:rPr>
          <w:rFonts w:cs="宋体"/>
          <w:color w:val="auto"/>
          <w:sz w:val="21"/>
          <w:szCs w:val="21"/>
          <w:u w:val="single"/>
        </w:rPr>
      </w:pPr>
      <w:r>
        <w:rPr>
          <w:rFonts w:hint="eastAsia" w:cs="宋体"/>
          <w:color w:val="auto"/>
          <w:sz w:val="21"/>
          <w:szCs w:val="21"/>
        </w:rPr>
        <w:t>传    真：</w:t>
      </w:r>
      <w:r>
        <w:rPr>
          <w:rFonts w:hint="eastAsia" w:cs="宋体"/>
          <w:color w:val="auto"/>
          <w:sz w:val="21"/>
          <w:szCs w:val="21"/>
          <w:u w:val="single"/>
        </w:rPr>
        <w:t xml:space="preserve">                 </w:t>
      </w:r>
    </w:p>
    <w:p w14:paraId="7714764B">
      <w:pPr>
        <w:spacing w:line="360" w:lineRule="auto"/>
        <w:ind w:left="1303" w:leftChars="200" w:hanging="903" w:hangingChars="430"/>
        <w:rPr>
          <w:rFonts w:cs="宋体"/>
          <w:color w:val="auto"/>
          <w:sz w:val="21"/>
          <w:szCs w:val="21"/>
        </w:rPr>
      </w:pPr>
      <w:r>
        <w:rPr>
          <w:rFonts w:hint="eastAsia" w:cs="宋体"/>
          <w:color w:val="auto"/>
          <w:sz w:val="21"/>
          <w:szCs w:val="21"/>
        </w:rPr>
        <w:t>开立时间：</w:t>
      </w:r>
      <w:r>
        <w:rPr>
          <w:rFonts w:hint="eastAsia" w:cs="宋体"/>
          <w:color w:val="auto"/>
          <w:sz w:val="21"/>
          <w:szCs w:val="21"/>
          <w:u w:val="single"/>
        </w:rPr>
        <w:t xml:space="preserve">      </w:t>
      </w:r>
      <w:r>
        <w:rPr>
          <w:rFonts w:hint="eastAsia" w:cs="宋体"/>
          <w:color w:val="auto"/>
          <w:sz w:val="21"/>
          <w:szCs w:val="21"/>
        </w:rPr>
        <w:t>年</w:t>
      </w:r>
      <w:r>
        <w:rPr>
          <w:rFonts w:hint="eastAsia" w:cs="宋体"/>
          <w:color w:val="auto"/>
          <w:sz w:val="21"/>
          <w:szCs w:val="21"/>
          <w:u w:val="single"/>
        </w:rPr>
        <w:t xml:space="preserve">      </w:t>
      </w:r>
      <w:r>
        <w:rPr>
          <w:rFonts w:hint="eastAsia" w:cs="宋体"/>
          <w:color w:val="auto"/>
          <w:sz w:val="21"/>
          <w:szCs w:val="21"/>
        </w:rPr>
        <w:t>月</w:t>
      </w:r>
      <w:r>
        <w:rPr>
          <w:rFonts w:hint="eastAsia" w:cs="宋体"/>
          <w:color w:val="auto"/>
          <w:sz w:val="21"/>
          <w:szCs w:val="21"/>
          <w:u w:val="single"/>
        </w:rPr>
        <w:t xml:space="preserve">    </w:t>
      </w:r>
      <w:r>
        <w:rPr>
          <w:rFonts w:hint="eastAsia" w:cs="宋体"/>
          <w:color w:val="auto"/>
          <w:sz w:val="21"/>
          <w:szCs w:val="21"/>
        </w:rPr>
        <w:t>日</w:t>
      </w:r>
    </w:p>
    <w:p w14:paraId="52D7D6EB">
      <w:pPr>
        <w:spacing w:before="312" w:beforeLines="100" w:after="312" w:afterLines="100"/>
        <w:outlineLvl w:val="2"/>
        <w:rPr>
          <w:rFonts w:ascii="Times New Roman" w:eastAsia="黑体"/>
          <w:color w:val="auto"/>
          <w:szCs w:val="24"/>
        </w:rPr>
      </w:pPr>
      <w:r>
        <w:rPr>
          <w:rFonts w:ascii="Times New Roman" w:eastAsia="黑体"/>
          <w:b/>
          <w:bCs/>
          <w:color w:val="auto"/>
        </w:rPr>
        <w:br w:type="page"/>
      </w:r>
      <w:bookmarkStart w:id="686" w:name="_Toc128950246"/>
      <w:r>
        <w:rPr>
          <w:rFonts w:hint="eastAsia" w:ascii="Times New Roman" w:eastAsia="黑体"/>
          <w:color w:val="auto"/>
          <w:szCs w:val="24"/>
        </w:rPr>
        <w:t>附</w:t>
      </w:r>
      <w:bookmarkStart w:id="687" w:name="_Toc296944572"/>
      <w:bookmarkStart w:id="688" w:name="_Toc296891061"/>
      <w:bookmarkStart w:id="689" w:name="_Toc296346734"/>
      <w:bookmarkStart w:id="690" w:name="_Toc296347232"/>
      <w:bookmarkStart w:id="691" w:name="_Toc296503233"/>
      <w:bookmarkStart w:id="692" w:name="_Toc296891273"/>
      <w:r>
        <w:rPr>
          <w:rFonts w:hint="eastAsia" w:ascii="Times New Roman" w:eastAsia="黑体"/>
          <w:color w:val="auto"/>
          <w:szCs w:val="24"/>
        </w:rPr>
        <w:t>件</w:t>
      </w:r>
      <w:r>
        <w:rPr>
          <w:rFonts w:ascii="Times New Roman" w:eastAsia="黑体"/>
          <w:color w:val="auto"/>
          <w:szCs w:val="24"/>
        </w:rPr>
        <w:t>1</w:t>
      </w:r>
      <w:r>
        <w:rPr>
          <w:rFonts w:hint="eastAsia" w:ascii="Times New Roman" w:eastAsia="黑体"/>
          <w:color w:val="auto"/>
          <w:szCs w:val="24"/>
        </w:rPr>
        <w:t>1：支付担保</w:t>
      </w:r>
      <w:bookmarkEnd w:id="686"/>
      <w:bookmarkEnd w:id="687"/>
      <w:bookmarkEnd w:id="688"/>
      <w:bookmarkEnd w:id="689"/>
      <w:bookmarkEnd w:id="690"/>
      <w:bookmarkEnd w:id="691"/>
      <w:bookmarkEnd w:id="692"/>
    </w:p>
    <w:p w14:paraId="10D93E8D">
      <w:pPr>
        <w:spacing w:line="360" w:lineRule="auto"/>
        <w:jc w:val="center"/>
        <w:rPr>
          <w:rFonts w:cs="宋体"/>
          <w:b/>
          <w:bCs/>
          <w:color w:val="auto"/>
          <w:sz w:val="32"/>
          <w:szCs w:val="32"/>
        </w:rPr>
      </w:pPr>
      <w:r>
        <w:rPr>
          <w:rFonts w:hint="eastAsia" w:cs="宋体"/>
          <w:b/>
          <w:bCs/>
          <w:color w:val="auto"/>
          <w:sz w:val="32"/>
          <w:szCs w:val="32"/>
        </w:rPr>
        <w:t>支付保函示范文本</w:t>
      </w:r>
    </w:p>
    <w:p w14:paraId="2A2907EF">
      <w:pPr>
        <w:wordWrap w:val="0"/>
        <w:spacing w:line="360" w:lineRule="auto"/>
        <w:jc w:val="right"/>
        <w:rPr>
          <w:rFonts w:ascii="Times New Roman"/>
          <w:color w:val="auto"/>
          <w:szCs w:val="21"/>
        </w:rPr>
      </w:pPr>
      <w:r>
        <w:rPr>
          <w:rFonts w:hint="eastAsia" w:ascii="Times New Roman"/>
          <w:color w:val="auto"/>
          <w:szCs w:val="21"/>
        </w:rPr>
        <w:t>编号：</w:t>
      </w:r>
      <w:r>
        <w:rPr>
          <w:rFonts w:hint="eastAsia" w:ascii="Times New Roman"/>
          <w:color w:val="auto"/>
          <w:szCs w:val="21"/>
          <w:u w:val="single"/>
        </w:rPr>
        <w:t xml:space="preserve"> </w:t>
      </w:r>
      <w:r>
        <w:rPr>
          <w:rFonts w:ascii="Times New Roman"/>
          <w:color w:val="auto"/>
          <w:szCs w:val="21"/>
          <w:u w:val="single"/>
        </w:rPr>
        <w:t xml:space="preserve">          </w:t>
      </w:r>
    </w:p>
    <w:p w14:paraId="7D97D767">
      <w:pPr>
        <w:spacing w:line="360" w:lineRule="auto"/>
        <w:rPr>
          <w:rFonts w:ascii="Times New Roman"/>
          <w:color w:val="auto"/>
          <w:szCs w:val="21"/>
        </w:rPr>
      </w:pPr>
    </w:p>
    <w:p w14:paraId="00792974">
      <w:pPr>
        <w:spacing w:line="360" w:lineRule="auto"/>
        <w:rPr>
          <w:rFonts w:cs="宋体"/>
          <w:color w:val="auto"/>
          <w:sz w:val="21"/>
          <w:szCs w:val="21"/>
        </w:rPr>
      </w:pPr>
      <w:bookmarkStart w:id="693" w:name="_Hlk40355074"/>
      <w:r>
        <w:rPr>
          <w:rFonts w:hint="eastAsia" w:cs="宋体"/>
          <w:color w:val="auto"/>
          <w:sz w:val="21"/>
          <w:szCs w:val="21"/>
          <w:u w:val="single"/>
        </w:rPr>
        <w:t xml:space="preserve">              </w:t>
      </w:r>
      <w:r>
        <w:rPr>
          <w:rFonts w:hint="eastAsia" w:cs="宋体"/>
          <w:color w:val="auto"/>
          <w:sz w:val="21"/>
          <w:szCs w:val="21"/>
        </w:rPr>
        <w:t xml:space="preserve">（受益人名称）： </w:t>
      </w:r>
    </w:p>
    <w:bookmarkEnd w:id="693"/>
    <w:p w14:paraId="2371ADB9">
      <w:pPr>
        <w:spacing w:line="360" w:lineRule="auto"/>
        <w:ind w:firstLine="420" w:firstLineChars="200"/>
        <w:rPr>
          <w:rFonts w:cs="宋体"/>
          <w:color w:val="auto"/>
          <w:sz w:val="21"/>
          <w:szCs w:val="21"/>
        </w:rPr>
      </w:pPr>
      <w:r>
        <w:rPr>
          <w:rFonts w:hint="eastAsia" w:cs="宋体"/>
          <w:color w:val="auto"/>
          <w:sz w:val="21"/>
          <w:szCs w:val="21"/>
        </w:rPr>
        <w:t>鉴于</w:t>
      </w:r>
      <w:r>
        <w:rPr>
          <w:rFonts w:hint="eastAsia" w:cs="宋体"/>
          <w:color w:val="auto"/>
          <w:sz w:val="21"/>
          <w:szCs w:val="21"/>
          <w:u w:val="single"/>
        </w:rPr>
        <w:t xml:space="preserve">        </w:t>
      </w:r>
      <w:r>
        <w:rPr>
          <w:rFonts w:hint="eastAsia" w:cs="宋体"/>
          <w:color w:val="auto"/>
          <w:sz w:val="21"/>
          <w:szCs w:val="21"/>
        </w:rPr>
        <w:t>（以下简称“受益人”）与</w:t>
      </w:r>
      <w:r>
        <w:rPr>
          <w:rFonts w:hint="eastAsia" w:cs="宋体"/>
          <w:color w:val="auto"/>
          <w:sz w:val="21"/>
          <w:szCs w:val="21"/>
          <w:u w:val="single"/>
        </w:rPr>
        <w:t xml:space="preserve">         </w:t>
      </w:r>
      <w:r>
        <w:rPr>
          <w:rFonts w:hint="eastAsia" w:cs="宋体"/>
          <w:color w:val="auto"/>
          <w:sz w:val="21"/>
          <w:szCs w:val="21"/>
        </w:rPr>
        <w:t>（以下简称“申请人”）于</w:t>
      </w:r>
      <w:r>
        <w:rPr>
          <w:rFonts w:hint="eastAsia" w:cs="宋体"/>
          <w:color w:val="auto"/>
          <w:sz w:val="21"/>
          <w:szCs w:val="21"/>
          <w:u w:val="single"/>
        </w:rPr>
        <w:t xml:space="preserve">   </w:t>
      </w:r>
      <w:r>
        <w:rPr>
          <w:rFonts w:hint="eastAsia" w:cs="宋体"/>
          <w:color w:val="auto"/>
          <w:sz w:val="21"/>
          <w:szCs w:val="21"/>
        </w:rPr>
        <w:t>年</w:t>
      </w:r>
      <w:r>
        <w:rPr>
          <w:rFonts w:hint="eastAsia" w:cs="宋体"/>
          <w:color w:val="auto"/>
          <w:sz w:val="21"/>
          <w:szCs w:val="21"/>
          <w:u w:val="single"/>
        </w:rPr>
        <w:t xml:space="preserve">   </w:t>
      </w:r>
      <w:r>
        <w:rPr>
          <w:rFonts w:hint="eastAsia" w:cs="宋体"/>
          <w:color w:val="auto"/>
          <w:sz w:val="21"/>
          <w:szCs w:val="21"/>
        </w:rPr>
        <w:t>月</w:t>
      </w:r>
      <w:r>
        <w:rPr>
          <w:rFonts w:hint="eastAsia" w:cs="宋体"/>
          <w:color w:val="auto"/>
          <w:sz w:val="21"/>
          <w:szCs w:val="21"/>
          <w:u w:val="single"/>
        </w:rPr>
        <w:t xml:space="preserve">   </w:t>
      </w:r>
      <w:r>
        <w:rPr>
          <w:rFonts w:hint="eastAsia" w:cs="宋体"/>
          <w:color w:val="auto"/>
          <w:sz w:val="21"/>
          <w:szCs w:val="21"/>
        </w:rPr>
        <w:t>日就</w:t>
      </w:r>
      <w:r>
        <w:rPr>
          <w:rFonts w:hint="eastAsia" w:cs="宋体"/>
          <w:snapToGrid w:val="0"/>
          <w:color w:val="auto"/>
          <w:sz w:val="21"/>
          <w:szCs w:val="21"/>
          <w:u w:val="single"/>
        </w:rPr>
        <w:t xml:space="preserve">        </w:t>
      </w:r>
      <w:r>
        <w:rPr>
          <w:rFonts w:hint="eastAsia" w:cs="宋体"/>
          <w:snapToGrid w:val="0"/>
          <w:color w:val="auto"/>
          <w:sz w:val="21"/>
          <w:szCs w:val="21"/>
        </w:rPr>
        <w:t>（项目编号）的</w:t>
      </w:r>
      <w:r>
        <w:rPr>
          <w:rFonts w:hint="eastAsia" w:cs="宋体"/>
          <w:snapToGrid w:val="0"/>
          <w:color w:val="auto"/>
          <w:sz w:val="21"/>
          <w:szCs w:val="21"/>
          <w:u w:val="single"/>
        </w:rPr>
        <w:t xml:space="preserve">         </w:t>
      </w:r>
      <w:r>
        <w:rPr>
          <w:rFonts w:hint="eastAsia" w:cs="宋体"/>
          <w:snapToGrid w:val="0"/>
          <w:color w:val="auto"/>
          <w:sz w:val="21"/>
          <w:szCs w:val="21"/>
        </w:rPr>
        <w:t>（项目名称）</w:t>
      </w:r>
      <w:r>
        <w:rPr>
          <w:rFonts w:hint="eastAsia" w:cs="宋体"/>
          <w:color w:val="auto"/>
          <w:sz w:val="21"/>
          <w:szCs w:val="21"/>
        </w:rPr>
        <w:t>有关事项协商一致共同签订</w:t>
      </w:r>
      <w:r>
        <w:rPr>
          <w:rFonts w:hint="eastAsia" w:cs="宋体"/>
          <w:color w:val="auto"/>
          <w:sz w:val="21"/>
          <w:szCs w:val="21"/>
          <w:u w:val="single"/>
        </w:rPr>
        <w:t>《        》</w:t>
      </w:r>
      <w:r>
        <w:rPr>
          <w:rFonts w:hint="eastAsia" w:cs="宋体"/>
          <w:color w:val="auto"/>
          <w:sz w:val="21"/>
          <w:szCs w:val="21"/>
        </w:rPr>
        <w:t xml:space="preserve">（以下简称基础合同”），开立人根据基础合同了解到申请人为基础合同项下之发包人，受益人为基础合同项下之承包人，基于申请人的请求，开立人同意就申请人履行与受益人签订的基础合同项下的工程款（指基础合同约定的除工程质量保修金以外的工程款）付款义务，向受益人提供不可撤销、不可转让的见索即付独立保函（以下简称“本保函”）。 </w:t>
      </w:r>
    </w:p>
    <w:p w14:paraId="60A73BC4">
      <w:pPr>
        <w:spacing w:line="360" w:lineRule="auto"/>
        <w:ind w:firstLine="420" w:firstLineChars="200"/>
        <w:rPr>
          <w:rFonts w:cs="宋体"/>
          <w:color w:val="auto"/>
          <w:sz w:val="21"/>
          <w:szCs w:val="21"/>
        </w:rPr>
      </w:pPr>
      <w:r>
        <w:rPr>
          <w:rFonts w:hint="eastAsia" w:cs="宋体"/>
          <w:color w:val="auto"/>
          <w:sz w:val="21"/>
          <w:szCs w:val="21"/>
        </w:rPr>
        <w:t>一、本保函担保范围：申请人未履行基础合同约定的工程款支付义务，应当向受益人承担的违约责任和赔偿因此造成的损失、利息、律师费、诉讼费用等实现债权的费用。</w:t>
      </w:r>
    </w:p>
    <w:p w14:paraId="392E6287">
      <w:pPr>
        <w:spacing w:line="360" w:lineRule="auto"/>
        <w:ind w:firstLine="420" w:firstLineChars="200"/>
        <w:rPr>
          <w:rFonts w:cs="宋体"/>
          <w:color w:val="auto"/>
          <w:sz w:val="21"/>
          <w:szCs w:val="21"/>
        </w:rPr>
      </w:pPr>
      <w:r>
        <w:rPr>
          <w:rFonts w:hint="eastAsia" w:cs="宋体"/>
          <w:color w:val="auto"/>
          <w:sz w:val="21"/>
          <w:szCs w:val="21"/>
        </w:rPr>
        <w:t>二、本保函担保金额最高不超过人民币（大写）</w:t>
      </w:r>
      <w:r>
        <w:rPr>
          <w:rFonts w:hint="eastAsia" w:cs="宋体"/>
          <w:color w:val="auto"/>
          <w:sz w:val="21"/>
          <w:szCs w:val="21"/>
          <w:u w:val="single"/>
        </w:rPr>
        <w:t xml:space="preserve">          </w:t>
      </w:r>
      <w:r>
        <w:rPr>
          <w:rFonts w:hint="eastAsia" w:cs="宋体"/>
          <w:color w:val="auto"/>
          <w:sz w:val="21"/>
          <w:szCs w:val="21"/>
        </w:rPr>
        <w:t>元（¥</w:t>
      </w:r>
      <w:r>
        <w:rPr>
          <w:rFonts w:hint="eastAsia" w:cs="宋体"/>
          <w:color w:val="auto"/>
          <w:sz w:val="21"/>
          <w:szCs w:val="21"/>
          <w:u w:val="single"/>
        </w:rPr>
        <w:t xml:space="preserve">       </w:t>
      </w:r>
      <w:r>
        <w:rPr>
          <w:rFonts w:hint="eastAsia" w:cs="宋体"/>
          <w:color w:val="auto"/>
          <w:sz w:val="21"/>
          <w:szCs w:val="21"/>
        </w:rPr>
        <w:t xml:space="preserve">）。 </w:t>
      </w:r>
    </w:p>
    <w:p w14:paraId="3F1BACC8">
      <w:pPr>
        <w:spacing w:line="360" w:lineRule="auto"/>
        <w:ind w:firstLine="420" w:firstLineChars="200"/>
        <w:rPr>
          <w:rFonts w:cs="宋体"/>
          <w:color w:val="auto"/>
          <w:sz w:val="21"/>
          <w:szCs w:val="21"/>
        </w:rPr>
      </w:pPr>
      <w:r>
        <w:rPr>
          <w:rFonts w:hint="eastAsia" w:cs="宋体"/>
          <w:color w:val="auto"/>
          <w:sz w:val="21"/>
          <w:szCs w:val="21"/>
        </w:rPr>
        <w:t>三、本保函有效期自开立之日起至基础合同约定的除工程质量保修金以外的全部工程结算款项支付之日后</w:t>
      </w:r>
      <w:r>
        <w:rPr>
          <w:rFonts w:hint="eastAsia" w:cs="宋体"/>
          <w:color w:val="auto"/>
          <w:sz w:val="21"/>
          <w:szCs w:val="21"/>
          <w:u w:val="single"/>
        </w:rPr>
        <w:t xml:space="preserve">    </w:t>
      </w:r>
      <w:r>
        <w:rPr>
          <w:rFonts w:hint="eastAsia" w:cs="宋体"/>
          <w:color w:val="auto"/>
          <w:sz w:val="21"/>
          <w:szCs w:val="21"/>
        </w:rPr>
        <w:t xml:space="preserve">日止。 </w:t>
      </w:r>
    </w:p>
    <w:p w14:paraId="5D34372D">
      <w:pPr>
        <w:spacing w:line="400" w:lineRule="exact"/>
        <w:ind w:firstLine="480"/>
        <w:rPr>
          <w:rFonts w:cs="宋体"/>
          <w:color w:val="auto"/>
          <w:sz w:val="21"/>
          <w:szCs w:val="21"/>
        </w:rPr>
      </w:pPr>
      <w:r>
        <w:rPr>
          <w:rFonts w:hint="eastAsia" w:cs="宋体"/>
          <w:color w:val="auto"/>
          <w:sz w:val="21"/>
          <w:szCs w:val="21"/>
        </w:rPr>
        <w:t>四、开立人承诺，在收到受益人发来的书面付款通知后的七日内无条件支付，前述书面付款通知即为付款要求之单据，且应满足以下要求：</w:t>
      </w:r>
    </w:p>
    <w:p w14:paraId="18C83939">
      <w:pPr>
        <w:spacing w:line="360" w:lineRule="auto"/>
        <w:ind w:firstLine="420" w:firstLineChars="200"/>
        <w:rPr>
          <w:rFonts w:cs="宋体"/>
          <w:color w:val="auto"/>
          <w:sz w:val="21"/>
          <w:szCs w:val="21"/>
        </w:rPr>
      </w:pPr>
      <w:r>
        <w:rPr>
          <w:rFonts w:hint="eastAsia" w:cs="宋体"/>
          <w:color w:val="auto"/>
          <w:sz w:val="21"/>
          <w:szCs w:val="21"/>
        </w:rPr>
        <w:t>（1）付款通知到达的日期在本保函的有效期内；</w:t>
      </w:r>
    </w:p>
    <w:p w14:paraId="12063AFA">
      <w:pPr>
        <w:spacing w:line="360" w:lineRule="auto"/>
        <w:ind w:firstLine="420" w:firstLineChars="200"/>
        <w:rPr>
          <w:rFonts w:cs="宋体"/>
          <w:color w:val="auto"/>
          <w:sz w:val="21"/>
          <w:szCs w:val="21"/>
        </w:rPr>
      </w:pPr>
      <w:r>
        <w:rPr>
          <w:rFonts w:hint="eastAsia" w:cs="宋体"/>
          <w:color w:val="auto"/>
          <w:sz w:val="21"/>
          <w:szCs w:val="21"/>
        </w:rPr>
        <w:t>（2）载明要求支付的金额；</w:t>
      </w:r>
    </w:p>
    <w:p w14:paraId="2B92FE1E">
      <w:pPr>
        <w:spacing w:line="360" w:lineRule="auto"/>
        <w:ind w:firstLine="420" w:firstLineChars="200"/>
        <w:rPr>
          <w:rFonts w:cs="宋体"/>
          <w:color w:val="auto"/>
          <w:sz w:val="21"/>
          <w:szCs w:val="21"/>
        </w:rPr>
      </w:pPr>
      <w:r>
        <w:rPr>
          <w:rFonts w:hint="eastAsia" w:cs="宋体"/>
          <w:color w:val="auto"/>
          <w:sz w:val="21"/>
          <w:szCs w:val="21"/>
        </w:rPr>
        <w:t>（3）载明申请人违反合同义务的条款和内容；</w:t>
      </w:r>
    </w:p>
    <w:p w14:paraId="1BEC4047">
      <w:pPr>
        <w:spacing w:line="360" w:lineRule="auto"/>
        <w:ind w:firstLine="420" w:firstLineChars="200"/>
        <w:rPr>
          <w:rFonts w:cs="宋体"/>
          <w:color w:val="auto"/>
          <w:sz w:val="21"/>
          <w:szCs w:val="21"/>
        </w:rPr>
      </w:pPr>
      <w:r>
        <w:rPr>
          <w:rFonts w:hint="eastAsia" w:cs="宋体"/>
          <w:color w:val="auto"/>
          <w:sz w:val="21"/>
          <w:szCs w:val="21"/>
        </w:rPr>
        <w:t>（4）声明不存在合同文件约定或我国法律规定免除申请人或开立人支付责任的情形；</w:t>
      </w:r>
    </w:p>
    <w:p w14:paraId="10D05F55">
      <w:pPr>
        <w:spacing w:line="360" w:lineRule="auto"/>
        <w:ind w:firstLine="420" w:firstLineChars="200"/>
        <w:rPr>
          <w:rFonts w:cs="宋体"/>
          <w:color w:val="auto"/>
          <w:sz w:val="21"/>
          <w:szCs w:val="21"/>
        </w:rPr>
      </w:pPr>
      <w:r>
        <w:rPr>
          <w:rFonts w:hint="eastAsia" w:cs="宋体"/>
          <w:color w:val="auto"/>
          <w:sz w:val="21"/>
          <w:szCs w:val="21"/>
        </w:rPr>
        <w:t>（5）付款通知应在本保函有效期内到达的地址是：</w:t>
      </w:r>
      <w:r>
        <w:rPr>
          <w:rFonts w:hint="eastAsia" w:cs="宋体"/>
          <w:color w:val="auto"/>
          <w:sz w:val="21"/>
          <w:szCs w:val="21"/>
          <w:u w:val="single"/>
        </w:rPr>
        <w:t xml:space="preserve">             </w:t>
      </w:r>
      <w:r>
        <w:rPr>
          <w:rFonts w:hint="eastAsia" w:cs="宋体"/>
          <w:color w:val="auto"/>
          <w:sz w:val="21"/>
          <w:szCs w:val="21"/>
        </w:rPr>
        <w:t>。</w:t>
      </w:r>
    </w:p>
    <w:p w14:paraId="37D7DB50">
      <w:pPr>
        <w:spacing w:line="400" w:lineRule="exact"/>
        <w:rPr>
          <w:rFonts w:cs="宋体"/>
          <w:color w:val="auto"/>
          <w:sz w:val="21"/>
          <w:szCs w:val="21"/>
        </w:rPr>
      </w:pPr>
      <w:r>
        <w:rPr>
          <w:rFonts w:hint="eastAsia" w:cs="宋体"/>
          <w:color w:val="auto"/>
          <w:sz w:val="21"/>
          <w:szCs w:val="21"/>
        </w:rPr>
        <w:t xml:space="preserve">    受益人发出的书面付款通知应由其法定代表人（负责人）或授权代理人签字并加盖公章。</w:t>
      </w:r>
    </w:p>
    <w:p w14:paraId="629BCF43">
      <w:pPr>
        <w:spacing w:line="400" w:lineRule="exact"/>
        <w:ind w:firstLine="420" w:firstLineChars="200"/>
        <w:rPr>
          <w:rFonts w:cs="宋体"/>
          <w:color w:val="auto"/>
          <w:sz w:val="21"/>
          <w:szCs w:val="21"/>
        </w:rPr>
      </w:pPr>
      <w:r>
        <w:rPr>
          <w:rFonts w:hint="eastAsia" w:cs="宋体"/>
          <w:color w:val="auto"/>
          <w:sz w:val="21"/>
          <w:szCs w:val="21"/>
        </w:rPr>
        <w:t xml:space="preserve">五、本保函项下的权利不得转让，不得设定担保。受益人未经开立人书面同意转让本保函或其项下任何权利，对开立人不发生法律效力。 </w:t>
      </w:r>
    </w:p>
    <w:p w14:paraId="2FF3D8AA">
      <w:pPr>
        <w:spacing w:line="400" w:lineRule="exact"/>
        <w:ind w:firstLine="420" w:firstLineChars="200"/>
        <w:rPr>
          <w:rStyle w:val="66"/>
          <w:rFonts w:cs="宋体"/>
          <w:color w:val="auto"/>
        </w:rPr>
      </w:pPr>
      <w:r>
        <w:rPr>
          <w:rFonts w:hint="eastAsia" w:cs="宋体"/>
          <w:color w:val="auto"/>
          <w:sz w:val="21"/>
          <w:szCs w:val="21"/>
        </w:rPr>
        <w:t>六、本保函项下的基础交易不成立、不生效、无效、被撤销、被解除，不影响本保函的独立有效。</w:t>
      </w:r>
    </w:p>
    <w:p w14:paraId="65A8D565">
      <w:pPr>
        <w:spacing w:line="400" w:lineRule="exact"/>
        <w:ind w:firstLine="420" w:firstLineChars="200"/>
        <w:rPr>
          <w:rFonts w:cs="宋体"/>
          <w:color w:val="auto"/>
          <w:sz w:val="21"/>
          <w:szCs w:val="21"/>
        </w:rPr>
      </w:pPr>
      <w:r>
        <w:rPr>
          <w:rFonts w:hint="eastAsia" w:cs="宋体"/>
          <w:color w:val="auto"/>
          <w:sz w:val="21"/>
          <w:szCs w:val="21"/>
        </w:rPr>
        <w:t xml:space="preserve">七、本保函项下的义务和责任均在保函有效期到期后自动消灭。 </w:t>
      </w:r>
    </w:p>
    <w:p w14:paraId="5D1E164C">
      <w:pPr>
        <w:spacing w:line="400" w:lineRule="exact"/>
        <w:ind w:firstLine="420" w:firstLineChars="200"/>
        <w:rPr>
          <w:rFonts w:cs="宋体"/>
          <w:color w:val="auto"/>
          <w:sz w:val="21"/>
          <w:szCs w:val="21"/>
        </w:rPr>
      </w:pPr>
      <w:r>
        <w:rPr>
          <w:rFonts w:hint="eastAsia" w:cs="宋体"/>
          <w:color w:val="auto"/>
          <w:sz w:val="21"/>
          <w:szCs w:val="21"/>
        </w:rPr>
        <w:t xml:space="preserve">八、本保函适用的法律为中华人民共和国法律，因本保函产生的纠纷案件，由申请人所在地人民法院管辖。 </w:t>
      </w:r>
    </w:p>
    <w:p w14:paraId="2531DE7C">
      <w:pPr>
        <w:spacing w:line="360" w:lineRule="auto"/>
        <w:ind w:firstLine="420" w:firstLineChars="200"/>
        <w:rPr>
          <w:rFonts w:cs="宋体"/>
          <w:color w:val="auto"/>
          <w:sz w:val="21"/>
          <w:szCs w:val="21"/>
        </w:rPr>
      </w:pPr>
      <w:r>
        <w:rPr>
          <w:rFonts w:hint="eastAsia" w:cs="宋体"/>
          <w:color w:val="auto"/>
          <w:sz w:val="21"/>
          <w:szCs w:val="21"/>
        </w:rPr>
        <w:t xml:space="preserve">九、本保函自我方法定代表人或授权代表签字并加盖公章之日起生效。 </w:t>
      </w:r>
    </w:p>
    <w:p w14:paraId="50675217">
      <w:pPr>
        <w:spacing w:line="360" w:lineRule="auto"/>
        <w:ind w:firstLine="420" w:firstLineChars="200"/>
        <w:rPr>
          <w:rFonts w:cs="宋体"/>
          <w:color w:val="auto"/>
          <w:sz w:val="21"/>
          <w:szCs w:val="21"/>
        </w:rPr>
      </w:pPr>
    </w:p>
    <w:p w14:paraId="75AB7DBF">
      <w:pPr>
        <w:spacing w:line="360" w:lineRule="auto"/>
        <w:ind w:firstLine="420" w:firstLineChars="200"/>
        <w:rPr>
          <w:rFonts w:cs="宋体"/>
          <w:color w:val="auto"/>
          <w:sz w:val="21"/>
          <w:szCs w:val="21"/>
        </w:rPr>
      </w:pPr>
    </w:p>
    <w:p w14:paraId="660C8857">
      <w:pPr>
        <w:spacing w:line="360" w:lineRule="auto"/>
        <w:ind w:firstLine="420" w:firstLineChars="200"/>
        <w:rPr>
          <w:rFonts w:cs="宋体"/>
          <w:color w:val="auto"/>
          <w:sz w:val="21"/>
          <w:szCs w:val="21"/>
        </w:rPr>
      </w:pPr>
      <w:r>
        <w:rPr>
          <w:rFonts w:hint="eastAsia" w:cs="宋体"/>
          <w:color w:val="auto"/>
          <w:sz w:val="21"/>
          <w:szCs w:val="21"/>
        </w:rPr>
        <w:t>开 立 人：</w:t>
      </w:r>
      <w:r>
        <w:rPr>
          <w:rFonts w:hint="eastAsia" w:cs="宋体"/>
          <w:color w:val="auto"/>
          <w:sz w:val="21"/>
          <w:szCs w:val="21"/>
          <w:u w:val="single"/>
        </w:rPr>
        <w:t xml:space="preserve">                              </w:t>
      </w:r>
      <w:r>
        <w:rPr>
          <w:rFonts w:hint="eastAsia" w:cs="宋体"/>
          <w:color w:val="auto"/>
          <w:sz w:val="21"/>
          <w:szCs w:val="21"/>
        </w:rPr>
        <w:t xml:space="preserve">（公章） </w:t>
      </w:r>
    </w:p>
    <w:p w14:paraId="4D9127AF">
      <w:pPr>
        <w:spacing w:line="360" w:lineRule="auto"/>
        <w:ind w:firstLine="420" w:firstLineChars="200"/>
        <w:rPr>
          <w:rFonts w:cs="宋体"/>
          <w:color w:val="auto"/>
          <w:sz w:val="21"/>
          <w:szCs w:val="21"/>
        </w:rPr>
      </w:pPr>
      <w:r>
        <w:rPr>
          <w:rFonts w:hint="eastAsia" w:cs="宋体"/>
          <w:color w:val="auto"/>
          <w:sz w:val="21"/>
          <w:szCs w:val="21"/>
        </w:rPr>
        <w:t>法定代表人（或授权代表）：</w:t>
      </w:r>
      <w:r>
        <w:rPr>
          <w:rFonts w:hint="eastAsia" w:cs="宋体"/>
          <w:color w:val="auto"/>
          <w:sz w:val="21"/>
          <w:szCs w:val="21"/>
          <w:u w:val="single"/>
        </w:rPr>
        <w:t xml:space="preserve">               </w:t>
      </w:r>
      <w:r>
        <w:rPr>
          <w:rFonts w:hint="eastAsia" w:cs="宋体"/>
          <w:color w:val="auto"/>
          <w:sz w:val="21"/>
          <w:szCs w:val="21"/>
        </w:rPr>
        <w:t xml:space="preserve">（签字） </w:t>
      </w:r>
    </w:p>
    <w:p w14:paraId="35DF2E5A">
      <w:pPr>
        <w:spacing w:line="360" w:lineRule="auto"/>
        <w:ind w:firstLine="420" w:firstLineChars="200"/>
        <w:rPr>
          <w:rFonts w:cs="宋体"/>
          <w:color w:val="auto"/>
          <w:sz w:val="21"/>
          <w:szCs w:val="21"/>
        </w:rPr>
      </w:pPr>
      <w:r>
        <w:rPr>
          <w:rFonts w:hint="eastAsia" w:cs="宋体"/>
          <w:color w:val="auto"/>
          <w:sz w:val="21"/>
          <w:szCs w:val="21"/>
        </w:rPr>
        <w:t>地    址：</w:t>
      </w:r>
      <w:r>
        <w:rPr>
          <w:rFonts w:hint="eastAsia" w:cs="宋体"/>
          <w:color w:val="auto"/>
          <w:sz w:val="21"/>
          <w:szCs w:val="21"/>
          <w:u w:val="single"/>
        </w:rPr>
        <w:t xml:space="preserve">                                       </w:t>
      </w:r>
    </w:p>
    <w:p w14:paraId="7EC36080">
      <w:pPr>
        <w:spacing w:line="360" w:lineRule="auto"/>
        <w:ind w:firstLine="420" w:firstLineChars="200"/>
        <w:rPr>
          <w:rFonts w:cs="宋体"/>
          <w:color w:val="auto"/>
          <w:sz w:val="21"/>
          <w:szCs w:val="21"/>
        </w:rPr>
      </w:pPr>
      <w:r>
        <w:rPr>
          <w:rFonts w:hint="eastAsia" w:cs="宋体"/>
          <w:color w:val="auto"/>
          <w:sz w:val="21"/>
          <w:szCs w:val="21"/>
        </w:rPr>
        <w:t>邮政编码：</w:t>
      </w:r>
      <w:r>
        <w:rPr>
          <w:rFonts w:hint="eastAsia" w:cs="宋体"/>
          <w:color w:val="auto"/>
          <w:sz w:val="21"/>
          <w:szCs w:val="21"/>
          <w:u w:val="single"/>
        </w:rPr>
        <w:t xml:space="preserve">                 </w:t>
      </w:r>
    </w:p>
    <w:p w14:paraId="7AED8F8F">
      <w:pPr>
        <w:spacing w:line="360" w:lineRule="auto"/>
        <w:ind w:firstLine="420" w:firstLineChars="200"/>
        <w:rPr>
          <w:rFonts w:cs="宋体"/>
          <w:color w:val="auto"/>
          <w:sz w:val="21"/>
          <w:szCs w:val="21"/>
        </w:rPr>
      </w:pPr>
      <w:r>
        <w:rPr>
          <w:rFonts w:hint="eastAsia" w:cs="宋体"/>
          <w:color w:val="auto"/>
          <w:sz w:val="21"/>
          <w:szCs w:val="21"/>
        </w:rPr>
        <w:t>电    话：</w:t>
      </w:r>
      <w:r>
        <w:rPr>
          <w:rFonts w:hint="eastAsia" w:cs="宋体"/>
          <w:color w:val="auto"/>
          <w:sz w:val="21"/>
          <w:szCs w:val="21"/>
          <w:u w:val="single"/>
        </w:rPr>
        <w:t xml:space="preserve">                 </w:t>
      </w:r>
    </w:p>
    <w:p w14:paraId="609F1F6C">
      <w:pPr>
        <w:spacing w:line="360" w:lineRule="auto"/>
        <w:ind w:firstLine="420" w:firstLineChars="200"/>
        <w:rPr>
          <w:rFonts w:cs="宋体"/>
          <w:color w:val="auto"/>
          <w:sz w:val="21"/>
          <w:szCs w:val="21"/>
          <w:u w:val="single"/>
        </w:rPr>
      </w:pPr>
      <w:r>
        <w:rPr>
          <w:rFonts w:hint="eastAsia" w:cs="宋体"/>
          <w:color w:val="auto"/>
          <w:sz w:val="21"/>
          <w:szCs w:val="21"/>
        </w:rPr>
        <w:t>传    真：</w:t>
      </w:r>
      <w:r>
        <w:rPr>
          <w:rFonts w:hint="eastAsia" w:cs="宋体"/>
          <w:color w:val="auto"/>
          <w:sz w:val="21"/>
          <w:szCs w:val="21"/>
          <w:u w:val="single"/>
        </w:rPr>
        <w:t xml:space="preserve">                 </w:t>
      </w:r>
    </w:p>
    <w:p w14:paraId="0B7D0D53">
      <w:pPr>
        <w:spacing w:line="360" w:lineRule="auto"/>
        <w:ind w:left="1303" w:leftChars="200" w:hanging="903" w:hangingChars="430"/>
        <w:rPr>
          <w:rFonts w:cs="宋体"/>
          <w:color w:val="auto"/>
          <w:sz w:val="21"/>
          <w:szCs w:val="21"/>
        </w:rPr>
      </w:pPr>
      <w:r>
        <w:rPr>
          <w:rFonts w:hint="eastAsia" w:cs="宋体"/>
          <w:color w:val="auto"/>
          <w:sz w:val="21"/>
          <w:szCs w:val="21"/>
        </w:rPr>
        <w:t>开立时间：</w:t>
      </w:r>
      <w:r>
        <w:rPr>
          <w:rFonts w:hint="eastAsia" w:cs="宋体"/>
          <w:color w:val="auto"/>
          <w:sz w:val="21"/>
          <w:szCs w:val="21"/>
          <w:u w:val="single"/>
        </w:rPr>
        <w:t xml:space="preserve">      </w:t>
      </w:r>
      <w:r>
        <w:rPr>
          <w:rFonts w:hint="eastAsia" w:cs="宋体"/>
          <w:color w:val="auto"/>
          <w:sz w:val="21"/>
          <w:szCs w:val="21"/>
        </w:rPr>
        <w:t>年</w:t>
      </w:r>
      <w:r>
        <w:rPr>
          <w:rFonts w:hint="eastAsia" w:cs="宋体"/>
          <w:color w:val="auto"/>
          <w:sz w:val="21"/>
          <w:szCs w:val="21"/>
          <w:u w:val="single"/>
        </w:rPr>
        <w:t xml:space="preserve">      </w:t>
      </w:r>
      <w:r>
        <w:rPr>
          <w:rFonts w:hint="eastAsia" w:cs="宋体"/>
          <w:color w:val="auto"/>
          <w:sz w:val="21"/>
          <w:szCs w:val="21"/>
        </w:rPr>
        <w:t>月</w:t>
      </w:r>
      <w:r>
        <w:rPr>
          <w:rFonts w:hint="eastAsia" w:cs="宋体"/>
          <w:color w:val="auto"/>
          <w:sz w:val="21"/>
          <w:szCs w:val="21"/>
          <w:u w:val="single"/>
        </w:rPr>
        <w:t xml:space="preserve">    </w:t>
      </w:r>
      <w:r>
        <w:rPr>
          <w:rFonts w:hint="eastAsia" w:cs="宋体"/>
          <w:color w:val="auto"/>
          <w:sz w:val="21"/>
          <w:szCs w:val="21"/>
        </w:rPr>
        <w:t>日</w:t>
      </w:r>
    </w:p>
    <w:p w14:paraId="6F5CEACA">
      <w:pPr>
        <w:spacing w:before="312" w:beforeLines="100" w:after="312" w:afterLines="100"/>
        <w:outlineLvl w:val="2"/>
        <w:rPr>
          <w:rFonts w:ascii="Times New Roman" w:eastAsia="黑体"/>
          <w:color w:val="auto"/>
          <w:szCs w:val="24"/>
        </w:rPr>
      </w:pPr>
      <w:r>
        <w:rPr>
          <w:rFonts w:ascii="Times New Roman" w:eastAsia="黑体"/>
          <w:bCs/>
          <w:color w:val="auto"/>
        </w:rPr>
        <w:br w:type="page"/>
      </w:r>
      <w:bookmarkStart w:id="694" w:name="_Toc128950247"/>
      <w:r>
        <w:rPr>
          <w:rFonts w:hint="eastAsia" w:ascii="Times New Roman" w:eastAsia="黑体"/>
          <w:color w:val="auto"/>
          <w:szCs w:val="24"/>
        </w:rPr>
        <w:t>附件</w:t>
      </w:r>
      <w:r>
        <w:rPr>
          <w:rFonts w:ascii="Times New Roman" w:eastAsia="黑体"/>
          <w:color w:val="auto"/>
          <w:szCs w:val="24"/>
        </w:rPr>
        <w:t>1</w:t>
      </w:r>
      <w:r>
        <w:rPr>
          <w:rFonts w:hint="eastAsia" w:ascii="Times New Roman" w:eastAsia="黑体"/>
          <w:color w:val="auto"/>
          <w:szCs w:val="24"/>
        </w:rPr>
        <w:t>2：暂估价一览表</w:t>
      </w:r>
      <w:bookmarkEnd w:id="694"/>
    </w:p>
    <w:p w14:paraId="1DB85CA6">
      <w:pPr>
        <w:spacing w:before="156" w:beforeLines="50" w:after="156" w:afterLines="50" w:line="440" w:lineRule="exact"/>
        <w:jc w:val="center"/>
        <w:rPr>
          <w:rFonts w:cs="宋体"/>
          <w:color w:val="auto"/>
          <w:szCs w:val="21"/>
        </w:rPr>
      </w:pPr>
      <w:r>
        <w:rPr>
          <w:rFonts w:hint="eastAsia" w:cs="宋体"/>
          <w:color w:val="auto"/>
          <w:szCs w:val="21"/>
        </w:rPr>
        <w:t>12-1：材料暂估价表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916"/>
        <w:gridCol w:w="1830"/>
        <w:gridCol w:w="783"/>
        <w:gridCol w:w="712"/>
        <w:gridCol w:w="1246"/>
        <w:gridCol w:w="1306"/>
        <w:gridCol w:w="1569"/>
      </w:tblGrid>
      <w:tr w14:paraId="755173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single" w:color="auto" w:sz="12" w:space="0"/>
              <w:bottom w:val="double" w:color="auto" w:sz="6" w:space="0"/>
            </w:tcBorders>
            <w:vAlign w:val="center"/>
          </w:tcPr>
          <w:p w14:paraId="3D734A0A">
            <w:pPr>
              <w:keepNext/>
              <w:spacing w:line="440" w:lineRule="exact"/>
              <w:jc w:val="center"/>
              <w:rPr>
                <w:rFonts w:cs="宋体"/>
                <w:color w:val="auto"/>
                <w:szCs w:val="21"/>
              </w:rPr>
            </w:pPr>
            <w:r>
              <w:rPr>
                <w:rFonts w:hint="eastAsia" w:cs="宋体"/>
                <w:color w:val="auto"/>
                <w:szCs w:val="21"/>
              </w:rPr>
              <w:t>序号</w:t>
            </w:r>
          </w:p>
        </w:tc>
        <w:tc>
          <w:tcPr>
            <w:tcW w:w="1094" w:type="pct"/>
            <w:tcBorders>
              <w:top w:val="single" w:color="auto" w:sz="12" w:space="0"/>
              <w:bottom w:val="double" w:color="auto" w:sz="6" w:space="0"/>
            </w:tcBorders>
            <w:vAlign w:val="center"/>
          </w:tcPr>
          <w:p w14:paraId="44E76735">
            <w:pPr>
              <w:keepNext/>
              <w:spacing w:line="440" w:lineRule="exact"/>
              <w:jc w:val="center"/>
              <w:rPr>
                <w:rFonts w:cs="宋体"/>
                <w:color w:val="auto"/>
                <w:szCs w:val="21"/>
              </w:rPr>
            </w:pPr>
            <w:r>
              <w:rPr>
                <w:rFonts w:hint="eastAsia" w:cs="宋体"/>
                <w:color w:val="auto"/>
                <w:szCs w:val="21"/>
              </w:rPr>
              <w:t>名称</w:t>
            </w:r>
          </w:p>
        </w:tc>
        <w:tc>
          <w:tcPr>
            <w:tcW w:w="468" w:type="pct"/>
            <w:tcBorders>
              <w:top w:val="single" w:color="auto" w:sz="12" w:space="0"/>
              <w:bottom w:val="double" w:color="auto" w:sz="6" w:space="0"/>
            </w:tcBorders>
            <w:vAlign w:val="center"/>
          </w:tcPr>
          <w:p w14:paraId="6F842D48">
            <w:pPr>
              <w:keepNext/>
              <w:spacing w:line="440" w:lineRule="exact"/>
              <w:jc w:val="center"/>
              <w:rPr>
                <w:rFonts w:cs="宋体"/>
                <w:color w:val="auto"/>
                <w:szCs w:val="21"/>
              </w:rPr>
            </w:pPr>
            <w:r>
              <w:rPr>
                <w:rFonts w:hint="eastAsia" w:cs="宋体"/>
                <w:color w:val="auto"/>
                <w:szCs w:val="21"/>
              </w:rPr>
              <w:t>单位</w:t>
            </w:r>
          </w:p>
        </w:tc>
        <w:tc>
          <w:tcPr>
            <w:tcW w:w="426" w:type="pct"/>
            <w:tcBorders>
              <w:top w:val="single" w:color="auto" w:sz="12" w:space="0"/>
              <w:bottom w:val="double" w:color="auto" w:sz="6" w:space="0"/>
            </w:tcBorders>
            <w:vAlign w:val="center"/>
          </w:tcPr>
          <w:p w14:paraId="52CCCA3D">
            <w:pPr>
              <w:keepNext/>
              <w:spacing w:line="440" w:lineRule="exact"/>
              <w:jc w:val="center"/>
              <w:rPr>
                <w:rFonts w:cs="宋体"/>
                <w:color w:val="auto"/>
                <w:szCs w:val="21"/>
              </w:rPr>
            </w:pPr>
            <w:r>
              <w:rPr>
                <w:rFonts w:hint="eastAsia" w:cs="宋体"/>
                <w:color w:val="auto"/>
                <w:szCs w:val="21"/>
              </w:rPr>
              <w:t>数量</w:t>
            </w:r>
          </w:p>
        </w:tc>
        <w:tc>
          <w:tcPr>
            <w:tcW w:w="745" w:type="pct"/>
            <w:tcBorders>
              <w:top w:val="single" w:color="auto" w:sz="12" w:space="0"/>
              <w:bottom w:val="double" w:color="auto" w:sz="6" w:space="0"/>
            </w:tcBorders>
            <w:vAlign w:val="center"/>
          </w:tcPr>
          <w:p w14:paraId="70ABD216">
            <w:pPr>
              <w:keepNext/>
              <w:spacing w:line="440" w:lineRule="exact"/>
              <w:jc w:val="center"/>
              <w:rPr>
                <w:rFonts w:cs="宋体"/>
                <w:color w:val="auto"/>
                <w:szCs w:val="21"/>
              </w:rPr>
            </w:pPr>
            <w:r>
              <w:rPr>
                <w:rFonts w:hint="eastAsia" w:cs="宋体"/>
                <w:color w:val="auto"/>
                <w:szCs w:val="21"/>
              </w:rPr>
              <w:t>单价（元）</w:t>
            </w:r>
          </w:p>
        </w:tc>
        <w:tc>
          <w:tcPr>
            <w:tcW w:w="781" w:type="pct"/>
            <w:tcBorders>
              <w:top w:val="single" w:color="auto" w:sz="12" w:space="0"/>
              <w:bottom w:val="double" w:color="auto" w:sz="6" w:space="0"/>
            </w:tcBorders>
            <w:vAlign w:val="center"/>
          </w:tcPr>
          <w:p w14:paraId="56B7C9A7">
            <w:pPr>
              <w:keepNext/>
              <w:spacing w:line="440" w:lineRule="exact"/>
              <w:jc w:val="center"/>
              <w:rPr>
                <w:rFonts w:cs="宋体"/>
                <w:color w:val="auto"/>
                <w:szCs w:val="21"/>
              </w:rPr>
            </w:pPr>
            <w:r>
              <w:rPr>
                <w:rFonts w:hint="eastAsia" w:cs="宋体"/>
                <w:color w:val="auto"/>
                <w:szCs w:val="21"/>
              </w:rPr>
              <w:t>合价（元）</w:t>
            </w:r>
          </w:p>
        </w:tc>
        <w:tc>
          <w:tcPr>
            <w:tcW w:w="938" w:type="pct"/>
            <w:tcBorders>
              <w:top w:val="single" w:color="auto" w:sz="12" w:space="0"/>
              <w:bottom w:val="double" w:color="auto" w:sz="6" w:space="0"/>
            </w:tcBorders>
            <w:vAlign w:val="center"/>
          </w:tcPr>
          <w:p w14:paraId="63BF0AFC">
            <w:pPr>
              <w:keepNext/>
              <w:spacing w:line="440" w:lineRule="exact"/>
              <w:jc w:val="center"/>
              <w:rPr>
                <w:rFonts w:cs="宋体"/>
                <w:color w:val="auto"/>
                <w:szCs w:val="21"/>
              </w:rPr>
            </w:pPr>
            <w:r>
              <w:rPr>
                <w:rFonts w:hint="eastAsia" w:cs="宋体"/>
                <w:color w:val="auto"/>
                <w:szCs w:val="21"/>
              </w:rPr>
              <w:t>备注</w:t>
            </w:r>
          </w:p>
        </w:tc>
      </w:tr>
      <w:tr w14:paraId="5C3B23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double" w:color="auto" w:sz="6" w:space="0"/>
            </w:tcBorders>
            <w:vAlign w:val="center"/>
          </w:tcPr>
          <w:p w14:paraId="01713576">
            <w:pPr>
              <w:keepNext/>
              <w:spacing w:line="440" w:lineRule="exact"/>
              <w:jc w:val="center"/>
              <w:rPr>
                <w:rFonts w:cs="宋体"/>
                <w:color w:val="auto"/>
                <w:szCs w:val="21"/>
              </w:rPr>
            </w:pPr>
          </w:p>
        </w:tc>
        <w:tc>
          <w:tcPr>
            <w:tcW w:w="1094" w:type="pct"/>
            <w:tcBorders>
              <w:top w:val="double" w:color="auto" w:sz="6" w:space="0"/>
            </w:tcBorders>
            <w:vAlign w:val="center"/>
          </w:tcPr>
          <w:p w14:paraId="046F4AF3">
            <w:pPr>
              <w:keepNext/>
              <w:spacing w:line="440" w:lineRule="exact"/>
              <w:jc w:val="center"/>
              <w:rPr>
                <w:rFonts w:cs="宋体"/>
                <w:color w:val="auto"/>
                <w:szCs w:val="21"/>
              </w:rPr>
            </w:pPr>
          </w:p>
        </w:tc>
        <w:tc>
          <w:tcPr>
            <w:tcW w:w="468" w:type="pct"/>
            <w:tcBorders>
              <w:top w:val="double" w:color="auto" w:sz="6" w:space="0"/>
            </w:tcBorders>
            <w:vAlign w:val="center"/>
          </w:tcPr>
          <w:p w14:paraId="7489C947">
            <w:pPr>
              <w:keepNext/>
              <w:spacing w:line="440" w:lineRule="exact"/>
              <w:jc w:val="center"/>
              <w:rPr>
                <w:rFonts w:cs="宋体"/>
                <w:color w:val="auto"/>
                <w:szCs w:val="21"/>
              </w:rPr>
            </w:pPr>
          </w:p>
        </w:tc>
        <w:tc>
          <w:tcPr>
            <w:tcW w:w="426" w:type="pct"/>
            <w:tcBorders>
              <w:top w:val="double" w:color="auto" w:sz="6" w:space="0"/>
            </w:tcBorders>
            <w:vAlign w:val="center"/>
          </w:tcPr>
          <w:p w14:paraId="75AEB9D4">
            <w:pPr>
              <w:keepNext/>
              <w:spacing w:line="440" w:lineRule="exact"/>
              <w:jc w:val="center"/>
              <w:rPr>
                <w:rFonts w:cs="宋体"/>
                <w:color w:val="auto"/>
                <w:szCs w:val="21"/>
              </w:rPr>
            </w:pPr>
          </w:p>
        </w:tc>
        <w:tc>
          <w:tcPr>
            <w:tcW w:w="745" w:type="pct"/>
            <w:tcBorders>
              <w:top w:val="double" w:color="auto" w:sz="6" w:space="0"/>
            </w:tcBorders>
            <w:vAlign w:val="center"/>
          </w:tcPr>
          <w:p w14:paraId="65FA70F5">
            <w:pPr>
              <w:keepNext/>
              <w:spacing w:line="440" w:lineRule="exact"/>
              <w:jc w:val="center"/>
              <w:rPr>
                <w:rFonts w:cs="宋体"/>
                <w:color w:val="auto"/>
                <w:szCs w:val="21"/>
              </w:rPr>
            </w:pPr>
          </w:p>
        </w:tc>
        <w:tc>
          <w:tcPr>
            <w:tcW w:w="781" w:type="pct"/>
            <w:tcBorders>
              <w:top w:val="double" w:color="auto" w:sz="6" w:space="0"/>
            </w:tcBorders>
            <w:vAlign w:val="center"/>
          </w:tcPr>
          <w:p w14:paraId="3B45A4C3">
            <w:pPr>
              <w:keepNext/>
              <w:spacing w:line="440" w:lineRule="exact"/>
              <w:jc w:val="center"/>
              <w:rPr>
                <w:rFonts w:cs="宋体"/>
                <w:color w:val="auto"/>
                <w:szCs w:val="21"/>
              </w:rPr>
            </w:pPr>
          </w:p>
        </w:tc>
        <w:tc>
          <w:tcPr>
            <w:tcW w:w="938" w:type="pct"/>
            <w:tcBorders>
              <w:top w:val="double" w:color="auto" w:sz="6" w:space="0"/>
            </w:tcBorders>
            <w:vAlign w:val="center"/>
          </w:tcPr>
          <w:p w14:paraId="551574D5">
            <w:pPr>
              <w:keepNext/>
              <w:spacing w:line="440" w:lineRule="exact"/>
              <w:jc w:val="center"/>
              <w:rPr>
                <w:rFonts w:cs="宋体"/>
                <w:color w:val="auto"/>
                <w:szCs w:val="21"/>
              </w:rPr>
            </w:pPr>
          </w:p>
        </w:tc>
      </w:tr>
      <w:tr w14:paraId="7379BF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nil"/>
            </w:tcBorders>
            <w:vAlign w:val="center"/>
          </w:tcPr>
          <w:p w14:paraId="6C4F40B4">
            <w:pPr>
              <w:keepNext/>
              <w:spacing w:line="440" w:lineRule="exact"/>
              <w:jc w:val="center"/>
              <w:rPr>
                <w:rFonts w:cs="宋体"/>
                <w:color w:val="auto"/>
                <w:szCs w:val="21"/>
              </w:rPr>
            </w:pPr>
          </w:p>
        </w:tc>
        <w:tc>
          <w:tcPr>
            <w:tcW w:w="1094" w:type="pct"/>
            <w:tcBorders>
              <w:top w:val="nil"/>
            </w:tcBorders>
            <w:vAlign w:val="center"/>
          </w:tcPr>
          <w:p w14:paraId="45320D98">
            <w:pPr>
              <w:keepNext/>
              <w:spacing w:line="440" w:lineRule="exact"/>
              <w:jc w:val="center"/>
              <w:rPr>
                <w:rFonts w:cs="宋体"/>
                <w:color w:val="auto"/>
                <w:szCs w:val="21"/>
              </w:rPr>
            </w:pPr>
          </w:p>
        </w:tc>
        <w:tc>
          <w:tcPr>
            <w:tcW w:w="468" w:type="pct"/>
            <w:tcBorders>
              <w:top w:val="nil"/>
            </w:tcBorders>
            <w:vAlign w:val="center"/>
          </w:tcPr>
          <w:p w14:paraId="0A53AF11">
            <w:pPr>
              <w:keepNext/>
              <w:spacing w:line="440" w:lineRule="exact"/>
              <w:jc w:val="center"/>
              <w:rPr>
                <w:rFonts w:cs="宋体"/>
                <w:color w:val="auto"/>
                <w:szCs w:val="21"/>
              </w:rPr>
            </w:pPr>
          </w:p>
        </w:tc>
        <w:tc>
          <w:tcPr>
            <w:tcW w:w="426" w:type="pct"/>
            <w:tcBorders>
              <w:top w:val="nil"/>
            </w:tcBorders>
            <w:vAlign w:val="center"/>
          </w:tcPr>
          <w:p w14:paraId="5075AE39">
            <w:pPr>
              <w:keepNext/>
              <w:spacing w:line="440" w:lineRule="exact"/>
              <w:jc w:val="center"/>
              <w:rPr>
                <w:rFonts w:cs="宋体"/>
                <w:color w:val="auto"/>
                <w:szCs w:val="21"/>
              </w:rPr>
            </w:pPr>
          </w:p>
        </w:tc>
        <w:tc>
          <w:tcPr>
            <w:tcW w:w="745" w:type="pct"/>
            <w:tcBorders>
              <w:top w:val="nil"/>
            </w:tcBorders>
            <w:vAlign w:val="center"/>
          </w:tcPr>
          <w:p w14:paraId="655E1592">
            <w:pPr>
              <w:keepNext/>
              <w:spacing w:line="440" w:lineRule="exact"/>
              <w:jc w:val="center"/>
              <w:rPr>
                <w:rFonts w:cs="宋体"/>
                <w:color w:val="auto"/>
                <w:szCs w:val="21"/>
              </w:rPr>
            </w:pPr>
          </w:p>
        </w:tc>
        <w:tc>
          <w:tcPr>
            <w:tcW w:w="781" w:type="pct"/>
            <w:tcBorders>
              <w:top w:val="nil"/>
            </w:tcBorders>
            <w:vAlign w:val="center"/>
          </w:tcPr>
          <w:p w14:paraId="0B23348B">
            <w:pPr>
              <w:keepNext/>
              <w:spacing w:line="440" w:lineRule="exact"/>
              <w:jc w:val="center"/>
              <w:rPr>
                <w:rFonts w:cs="宋体"/>
                <w:color w:val="auto"/>
                <w:szCs w:val="21"/>
              </w:rPr>
            </w:pPr>
          </w:p>
        </w:tc>
        <w:tc>
          <w:tcPr>
            <w:tcW w:w="938" w:type="pct"/>
            <w:tcBorders>
              <w:top w:val="nil"/>
            </w:tcBorders>
            <w:vAlign w:val="center"/>
          </w:tcPr>
          <w:p w14:paraId="14CF110D">
            <w:pPr>
              <w:keepNext/>
              <w:spacing w:line="440" w:lineRule="exact"/>
              <w:jc w:val="center"/>
              <w:rPr>
                <w:rFonts w:cs="宋体"/>
                <w:color w:val="auto"/>
                <w:szCs w:val="21"/>
              </w:rPr>
            </w:pPr>
          </w:p>
        </w:tc>
      </w:tr>
      <w:tr w14:paraId="61E4B7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vAlign w:val="center"/>
          </w:tcPr>
          <w:p w14:paraId="0D1C7C6D">
            <w:pPr>
              <w:keepNext/>
              <w:spacing w:line="440" w:lineRule="exact"/>
              <w:jc w:val="center"/>
              <w:rPr>
                <w:rFonts w:cs="宋体"/>
                <w:color w:val="auto"/>
                <w:szCs w:val="21"/>
              </w:rPr>
            </w:pPr>
          </w:p>
        </w:tc>
        <w:tc>
          <w:tcPr>
            <w:tcW w:w="1094" w:type="pct"/>
            <w:vAlign w:val="center"/>
          </w:tcPr>
          <w:p w14:paraId="416AE0D2">
            <w:pPr>
              <w:keepNext/>
              <w:spacing w:line="440" w:lineRule="exact"/>
              <w:jc w:val="center"/>
              <w:rPr>
                <w:rFonts w:cs="宋体"/>
                <w:color w:val="auto"/>
                <w:szCs w:val="21"/>
              </w:rPr>
            </w:pPr>
          </w:p>
        </w:tc>
        <w:tc>
          <w:tcPr>
            <w:tcW w:w="468" w:type="pct"/>
            <w:vAlign w:val="center"/>
          </w:tcPr>
          <w:p w14:paraId="77562326">
            <w:pPr>
              <w:keepNext/>
              <w:spacing w:line="440" w:lineRule="exact"/>
              <w:jc w:val="center"/>
              <w:rPr>
                <w:rFonts w:cs="宋体"/>
                <w:color w:val="auto"/>
                <w:szCs w:val="21"/>
              </w:rPr>
            </w:pPr>
          </w:p>
        </w:tc>
        <w:tc>
          <w:tcPr>
            <w:tcW w:w="426" w:type="pct"/>
            <w:vAlign w:val="center"/>
          </w:tcPr>
          <w:p w14:paraId="56B21608">
            <w:pPr>
              <w:keepNext/>
              <w:spacing w:line="440" w:lineRule="exact"/>
              <w:jc w:val="center"/>
              <w:rPr>
                <w:rFonts w:cs="宋体"/>
                <w:color w:val="auto"/>
                <w:szCs w:val="21"/>
              </w:rPr>
            </w:pPr>
          </w:p>
        </w:tc>
        <w:tc>
          <w:tcPr>
            <w:tcW w:w="745" w:type="pct"/>
            <w:vAlign w:val="center"/>
          </w:tcPr>
          <w:p w14:paraId="613B65B4">
            <w:pPr>
              <w:keepNext/>
              <w:spacing w:line="440" w:lineRule="exact"/>
              <w:jc w:val="center"/>
              <w:rPr>
                <w:rFonts w:cs="宋体"/>
                <w:color w:val="auto"/>
                <w:szCs w:val="21"/>
              </w:rPr>
            </w:pPr>
          </w:p>
        </w:tc>
        <w:tc>
          <w:tcPr>
            <w:tcW w:w="781" w:type="pct"/>
            <w:vAlign w:val="center"/>
          </w:tcPr>
          <w:p w14:paraId="32375507">
            <w:pPr>
              <w:keepNext/>
              <w:spacing w:line="440" w:lineRule="exact"/>
              <w:jc w:val="center"/>
              <w:rPr>
                <w:rFonts w:cs="宋体"/>
                <w:color w:val="auto"/>
                <w:szCs w:val="21"/>
              </w:rPr>
            </w:pPr>
          </w:p>
        </w:tc>
        <w:tc>
          <w:tcPr>
            <w:tcW w:w="938" w:type="pct"/>
            <w:vAlign w:val="center"/>
          </w:tcPr>
          <w:p w14:paraId="055FF9A6">
            <w:pPr>
              <w:keepNext/>
              <w:spacing w:line="440" w:lineRule="exact"/>
              <w:jc w:val="center"/>
              <w:rPr>
                <w:rFonts w:cs="宋体"/>
                <w:color w:val="auto"/>
                <w:szCs w:val="21"/>
              </w:rPr>
            </w:pPr>
          </w:p>
        </w:tc>
      </w:tr>
      <w:tr w14:paraId="63719A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vAlign w:val="center"/>
          </w:tcPr>
          <w:p w14:paraId="22EE47BE">
            <w:pPr>
              <w:keepNext/>
              <w:spacing w:line="440" w:lineRule="exact"/>
              <w:jc w:val="center"/>
              <w:rPr>
                <w:rFonts w:cs="宋体"/>
                <w:color w:val="auto"/>
                <w:szCs w:val="21"/>
              </w:rPr>
            </w:pPr>
          </w:p>
        </w:tc>
        <w:tc>
          <w:tcPr>
            <w:tcW w:w="1094" w:type="pct"/>
            <w:vAlign w:val="center"/>
          </w:tcPr>
          <w:p w14:paraId="08EC3AF6">
            <w:pPr>
              <w:keepNext/>
              <w:spacing w:line="440" w:lineRule="exact"/>
              <w:jc w:val="center"/>
              <w:rPr>
                <w:rFonts w:cs="宋体"/>
                <w:color w:val="auto"/>
                <w:szCs w:val="21"/>
              </w:rPr>
            </w:pPr>
          </w:p>
        </w:tc>
        <w:tc>
          <w:tcPr>
            <w:tcW w:w="468" w:type="pct"/>
            <w:vAlign w:val="center"/>
          </w:tcPr>
          <w:p w14:paraId="6463100D">
            <w:pPr>
              <w:keepNext/>
              <w:spacing w:line="440" w:lineRule="exact"/>
              <w:jc w:val="center"/>
              <w:rPr>
                <w:rFonts w:cs="宋体"/>
                <w:color w:val="auto"/>
                <w:szCs w:val="21"/>
              </w:rPr>
            </w:pPr>
          </w:p>
        </w:tc>
        <w:tc>
          <w:tcPr>
            <w:tcW w:w="426" w:type="pct"/>
            <w:vAlign w:val="center"/>
          </w:tcPr>
          <w:p w14:paraId="07434D48">
            <w:pPr>
              <w:keepNext/>
              <w:spacing w:line="440" w:lineRule="exact"/>
              <w:jc w:val="center"/>
              <w:rPr>
                <w:rFonts w:cs="宋体"/>
                <w:color w:val="auto"/>
                <w:szCs w:val="21"/>
              </w:rPr>
            </w:pPr>
          </w:p>
        </w:tc>
        <w:tc>
          <w:tcPr>
            <w:tcW w:w="745" w:type="pct"/>
            <w:vAlign w:val="center"/>
          </w:tcPr>
          <w:p w14:paraId="70E190BA">
            <w:pPr>
              <w:keepNext/>
              <w:spacing w:line="440" w:lineRule="exact"/>
              <w:jc w:val="center"/>
              <w:rPr>
                <w:rFonts w:cs="宋体"/>
                <w:color w:val="auto"/>
                <w:szCs w:val="21"/>
              </w:rPr>
            </w:pPr>
          </w:p>
        </w:tc>
        <w:tc>
          <w:tcPr>
            <w:tcW w:w="781" w:type="pct"/>
            <w:vAlign w:val="center"/>
          </w:tcPr>
          <w:p w14:paraId="1F69CE22">
            <w:pPr>
              <w:keepNext/>
              <w:spacing w:line="440" w:lineRule="exact"/>
              <w:jc w:val="center"/>
              <w:rPr>
                <w:rFonts w:cs="宋体"/>
                <w:color w:val="auto"/>
                <w:szCs w:val="21"/>
              </w:rPr>
            </w:pPr>
          </w:p>
        </w:tc>
        <w:tc>
          <w:tcPr>
            <w:tcW w:w="938" w:type="pct"/>
            <w:vAlign w:val="center"/>
          </w:tcPr>
          <w:p w14:paraId="79E8858A">
            <w:pPr>
              <w:keepNext/>
              <w:spacing w:line="440" w:lineRule="exact"/>
              <w:jc w:val="center"/>
              <w:rPr>
                <w:rFonts w:cs="宋体"/>
                <w:color w:val="auto"/>
                <w:szCs w:val="21"/>
              </w:rPr>
            </w:pPr>
          </w:p>
        </w:tc>
      </w:tr>
      <w:tr w14:paraId="440F5E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bottom w:val="single" w:color="auto" w:sz="12" w:space="0"/>
            </w:tcBorders>
            <w:vAlign w:val="center"/>
          </w:tcPr>
          <w:p w14:paraId="2B0B9CA2">
            <w:pPr>
              <w:keepNext/>
              <w:spacing w:line="440" w:lineRule="exact"/>
              <w:jc w:val="center"/>
              <w:rPr>
                <w:rFonts w:cs="宋体"/>
                <w:color w:val="auto"/>
                <w:szCs w:val="21"/>
              </w:rPr>
            </w:pPr>
          </w:p>
        </w:tc>
        <w:tc>
          <w:tcPr>
            <w:tcW w:w="1094" w:type="pct"/>
            <w:tcBorders>
              <w:bottom w:val="single" w:color="auto" w:sz="12" w:space="0"/>
            </w:tcBorders>
            <w:vAlign w:val="center"/>
          </w:tcPr>
          <w:p w14:paraId="347D19C6">
            <w:pPr>
              <w:keepNext/>
              <w:spacing w:line="440" w:lineRule="exact"/>
              <w:jc w:val="center"/>
              <w:rPr>
                <w:rFonts w:cs="宋体"/>
                <w:color w:val="auto"/>
                <w:szCs w:val="21"/>
              </w:rPr>
            </w:pPr>
          </w:p>
        </w:tc>
        <w:tc>
          <w:tcPr>
            <w:tcW w:w="468" w:type="pct"/>
            <w:tcBorders>
              <w:bottom w:val="single" w:color="auto" w:sz="12" w:space="0"/>
            </w:tcBorders>
            <w:vAlign w:val="center"/>
          </w:tcPr>
          <w:p w14:paraId="651FEC5B">
            <w:pPr>
              <w:keepNext/>
              <w:spacing w:line="440" w:lineRule="exact"/>
              <w:jc w:val="center"/>
              <w:rPr>
                <w:rFonts w:cs="宋体"/>
                <w:color w:val="auto"/>
                <w:szCs w:val="21"/>
              </w:rPr>
            </w:pPr>
          </w:p>
        </w:tc>
        <w:tc>
          <w:tcPr>
            <w:tcW w:w="426" w:type="pct"/>
            <w:tcBorders>
              <w:bottom w:val="single" w:color="auto" w:sz="12" w:space="0"/>
            </w:tcBorders>
            <w:vAlign w:val="center"/>
          </w:tcPr>
          <w:p w14:paraId="2A203138">
            <w:pPr>
              <w:keepNext/>
              <w:spacing w:line="440" w:lineRule="exact"/>
              <w:jc w:val="center"/>
              <w:rPr>
                <w:rFonts w:cs="宋体"/>
                <w:color w:val="auto"/>
                <w:szCs w:val="21"/>
              </w:rPr>
            </w:pPr>
          </w:p>
        </w:tc>
        <w:tc>
          <w:tcPr>
            <w:tcW w:w="745" w:type="pct"/>
            <w:tcBorders>
              <w:bottom w:val="single" w:color="auto" w:sz="12" w:space="0"/>
            </w:tcBorders>
            <w:vAlign w:val="center"/>
          </w:tcPr>
          <w:p w14:paraId="0BB9BD8E">
            <w:pPr>
              <w:keepNext/>
              <w:spacing w:line="440" w:lineRule="exact"/>
              <w:jc w:val="center"/>
              <w:rPr>
                <w:rFonts w:cs="宋体"/>
                <w:color w:val="auto"/>
                <w:szCs w:val="21"/>
              </w:rPr>
            </w:pPr>
          </w:p>
        </w:tc>
        <w:tc>
          <w:tcPr>
            <w:tcW w:w="781" w:type="pct"/>
            <w:tcBorders>
              <w:bottom w:val="single" w:color="auto" w:sz="12" w:space="0"/>
            </w:tcBorders>
            <w:vAlign w:val="center"/>
          </w:tcPr>
          <w:p w14:paraId="6D27ED9C">
            <w:pPr>
              <w:keepNext/>
              <w:spacing w:line="440" w:lineRule="exact"/>
              <w:jc w:val="center"/>
              <w:rPr>
                <w:rFonts w:cs="宋体"/>
                <w:color w:val="auto"/>
                <w:szCs w:val="21"/>
              </w:rPr>
            </w:pPr>
          </w:p>
        </w:tc>
        <w:tc>
          <w:tcPr>
            <w:tcW w:w="938" w:type="pct"/>
            <w:tcBorders>
              <w:bottom w:val="single" w:color="auto" w:sz="12" w:space="0"/>
            </w:tcBorders>
            <w:vAlign w:val="center"/>
          </w:tcPr>
          <w:p w14:paraId="6886DDAB">
            <w:pPr>
              <w:keepNext/>
              <w:spacing w:line="440" w:lineRule="exact"/>
              <w:jc w:val="center"/>
              <w:rPr>
                <w:rFonts w:cs="宋体"/>
                <w:color w:val="auto"/>
                <w:szCs w:val="21"/>
              </w:rPr>
            </w:pPr>
          </w:p>
        </w:tc>
      </w:tr>
    </w:tbl>
    <w:p w14:paraId="2E8A23CC">
      <w:pPr>
        <w:spacing w:before="156" w:beforeLines="50" w:after="156" w:afterLines="50" w:line="440" w:lineRule="exact"/>
        <w:jc w:val="center"/>
        <w:rPr>
          <w:rFonts w:cs="宋体"/>
          <w:color w:val="auto"/>
          <w:szCs w:val="21"/>
        </w:rPr>
      </w:pPr>
      <w:r>
        <w:rPr>
          <w:rFonts w:hint="eastAsia" w:cs="宋体"/>
          <w:color w:val="auto"/>
          <w:szCs w:val="21"/>
        </w:rPr>
        <w:t>12-2：工程设备暂估价表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916"/>
        <w:gridCol w:w="1830"/>
        <w:gridCol w:w="783"/>
        <w:gridCol w:w="712"/>
        <w:gridCol w:w="1246"/>
        <w:gridCol w:w="1306"/>
        <w:gridCol w:w="1569"/>
      </w:tblGrid>
      <w:tr w14:paraId="668256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single" w:color="auto" w:sz="12" w:space="0"/>
              <w:bottom w:val="double" w:color="auto" w:sz="6" w:space="0"/>
            </w:tcBorders>
            <w:vAlign w:val="center"/>
          </w:tcPr>
          <w:p w14:paraId="108788A3">
            <w:pPr>
              <w:keepNext/>
              <w:spacing w:line="440" w:lineRule="exact"/>
              <w:jc w:val="center"/>
              <w:rPr>
                <w:rFonts w:cs="宋体"/>
                <w:color w:val="auto"/>
                <w:szCs w:val="21"/>
              </w:rPr>
            </w:pPr>
            <w:r>
              <w:rPr>
                <w:rFonts w:hint="eastAsia" w:cs="宋体"/>
                <w:color w:val="auto"/>
                <w:szCs w:val="21"/>
              </w:rPr>
              <w:t>序号</w:t>
            </w:r>
          </w:p>
        </w:tc>
        <w:tc>
          <w:tcPr>
            <w:tcW w:w="1094" w:type="pct"/>
            <w:tcBorders>
              <w:top w:val="single" w:color="auto" w:sz="12" w:space="0"/>
              <w:bottom w:val="double" w:color="auto" w:sz="6" w:space="0"/>
            </w:tcBorders>
            <w:vAlign w:val="center"/>
          </w:tcPr>
          <w:p w14:paraId="44A9CCCB">
            <w:pPr>
              <w:keepNext/>
              <w:spacing w:line="440" w:lineRule="exact"/>
              <w:jc w:val="center"/>
              <w:rPr>
                <w:rFonts w:cs="宋体"/>
                <w:color w:val="auto"/>
                <w:szCs w:val="21"/>
              </w:rPr>
            </w:pPr>
            <w:r>
              <w:rPr>
                <w:rFonts w:hint="eastAsia" w:cs="宋体"/>
                <w:color w:val="auto"/>
                <w:szCs w:val="21"/>
              </w:rPr>
              <w:t>名称</w:t>
            </w:r>
          </w:p>
        </w:tc>
        <w:tc>
          <w:tcPr>
            <w:tcW w:w="468" w:type="pct"/>
            <w:tcBorders>
              <w:top w:val="single" w:color="auto" w:sz="12" w:space="0"/>
              <w:bottom w:val="double" w:color="auto" w:sz="6" w:space="0"/>
            </w:tcBorders>
            <w:vAlign w:val="center"/>
          </w:tcPr>
          <w:p w14:paraId="577A116F">
            <w:pPr>
              <w:keepNext/>
              <w:spacing w:line="440" w:lineRule="exact"/>
              <w:jc w:val="center"/>
              <w:rPr>
                <w:rFonts w:cs="宋体"/>
                <w:color w:val="auto"/>
                <w:szCs w:val="21"/>
              </w:rPr>
            </w:pPr>
            <w:r>
              <w:rPr>
                <w:rFonts w:hint="eastAsia" w:cs="宋体"/>
                <w:color w:val="auto"/>
                <w:szCs w:val="21"/>
              </w:rPr>
              <w:t>单位</w:t>
            </w:r>
          </w:p>
        </w:tc>
        <w:tc>
          <w:tcPr>
            <w:tcW w:w="426" w:type="pct"/>
            <w:tcBorders>
              <w:top w:val="single" w:color="auto" w:sz="12" w:space="0"/>
              <w:bottom w:val="double" w:color="auto" w:sz="6" w:space="0"/>
            </w:tcBorders>
            <w:vAlign w:val="center"/>
          </w:tcPr>
          <w:p w14:paraId="41B4C10D">
            <w:pPr>
              <w:keepNext/>
              <w:spacing w:line="440" w:lineRule="exact"/>
              <w:jc w:val="center"/>
              <w:rPr>
                <w:rFonts w:cs="宋体"/>
                <w:color w:val="auto"/>
                <w:szCs w:val="21"/>
              </w:rPr>
            </w:pPr>
            <w:r>
              <w:rPr>
                <w:rFonts w:hint="eastAsia" w:cs="宋体"/>
                <w:color w:val="auto"/>
                <w:szCs w:val="21"/>
              </w:rPr>
              <w:t>数量</w:t>
            </w:r>
          </w:p>
        </w:tc>
        <w:tc>
          <w:tcPr>
            <w:tcW w:w="745" w:type="pct"/>
            <w:tcBorders>
              <w:top w:val="single" w:color="auto" w:sz="12" w:space="0"/>
              <w:bottom w:val="double" w:color="auto" w:sz="6" w:space="0"/>
            </w:tcBorders>
            <w:vAlign w:val="center"/>
          </w:tcPr>
          <w:p w14:paraId="2B901E80">
            <w:pPr>
              <w:keepNext/>
              <w:spacing w:line="440" w:lineRule="exact"/>
              <w:jc w:val="center"/>
              <w:rPr>
                <w:rFonts w:cs="宋体"/>
                <w:color w:val="auto"/>
                <w:szCs w:val="21"/>
              </w:rPr>
            </w:pPr>
            <w:r>
              <w:rPr>
                <w:rFonts w:hint="eastAsia" w:cs="宋体"/>
                <w:color w:val="auto"/>
                <w:szCs w:val="21"/>
              </w:rPr>
              <w:t>单价（元）</w:t>
            </w:r>
          </w:p>
        </w:tc>
        <w:tc>
          <w:tcPr>
            <w:tcW w:w="781" w:type="pct"/>
            <w:tcBorders>
              <w:top w:val="single" w:color="auto" w:sz="12" w:space="0"/>
              <w:bottom w:val="double" w:color="auto" w:sz="6" w:space="0"/>
            </w:tcBorders>
            <w:vAlign w:val="center"/>
          </w:tcPr>
          <w:p w14:paraId="19761CE5">
            <w:pPr>
              <w:keepNext/>
              <w:spacing w:line="440" w:lineRule="exact"/>
              <w:jc w:val="center"/>
              <w:rPr>
                <w:rFonts w:cs="宋体"/>
                <w:color w:val="auto"/>
                <w:szCs w:val="21"/>
              </w:rPr>
            </w:pPr>
            <w:r>
              <w:rPr>
                <w:rFonts w:hint="eastAsia" w:cs="宋体"/>
                <w:color w:val="auto"/>
                <w:szCs w:val="21"/>
              </w:rPr>
              <w:t>合价（元）</w:t>
            </w:r>
          </w:p>
        </w:tc>
        <w:tc>
          <w:tcPr>
            <w:tcW w:w="938" w:type="pct"/>
            <w:tcBorders>
              <w:top w:val="single" w:color="auto" w:sz="12" w:space="0"/>
              <w:bottom w:val="double" w:color="auto" w:sz="6" w:space="0"/>
            </w:tcBorders>
            <w:vAlign w:val="center"/>
          </w:tcPr>
          <w:p w14:paraId="78E177CD">
            <w:pPr>
              <w:keepNext/>
              <w:spacing w:line="440" w:lineRule="exact"/>
              <w:jc w:val="center"/>
              <w:rPr>
                <w:rFonts w:cs="宋体"/>
                <w:color w:val="auto"/>
                <w:szCs w:val="21"/>
              </w:rPr>
            </w:pPr>
            <w:r>
              <w:rPr>
                <w:rFonts w:hint="eastAsia" w:cs="宋体"/>
                <w:color w:val="auto"/>
                <w:szCs w:val="21"/>
              </w:rPr>
              <w:t>备注</w:t>
            </w:r>
          </w:p>
        </w:tc>
      </w:tr>
      <w:tr w14:paraId="252D81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double" w:color="auto" w:sz="6" w:space="0"/>
            </w:tcBorders>
            <w:vAlign w:val="center"/>
          </w:tcPr>
          <w:p w14:paraId="18FBAF52">
            <w:pPr>
              <w:keepNext/>
              <w:spacing w:line="440" w:lineRule="exact"/>
              <w:jc w:val="center"/>
              <w:rPr>
                <w:rFonts w:cs="宋体"/>
                <w:color w:val="auto"/>
                <w:szCs w:val="21"/>
              </w:rPr>
            </w:pPr>
          </w:p>
        </w:tc>
        <w:tc>
          <w:tcPr>
            <w:tcW w:w="1094" w:type="pct"/>
            <w:tcBorders>
              <w:top w:val="double" w:color="auto" w:sz="6" w:space="0"/>
            </w:tcBorders>
            <w:vAlign w:val="center"/>
          </w:tcPr>
          <w:p w14:paraId="4B0E6C6E">
            <w:pPr>
              <w:keepNext/>
              <w:spacing w:line="440" w:lineRule="exact"/>
              <w:jc w:val="center"/>
              <w:rPr>
                <w:rFonts w:cs="宋体"/>
                <w:color w:val="auto"/>
                <w:szCs w:val="21"/>
              </w:rPr>
            </w:pPr>
          </w:p>
        </w:tc>
        <w:tc>
          <w:tcPr>
            <w:tcW w:w="468" w:type="pct"/>
            <w:tcBorders>
              <w:top w:val="double" w:color="auto" w:sz="6" w:space="0"/>
            </w:tcBorders>
            <w:vAlign w:val="center"/>
          </w:tcPr>
          <w:p w14:paraId="45BFCB18">
            <w:pPr>
              <w:keepNext/>
              <w:spacing w:line="440" w:lineRule="exact"/>
              <w:jc w:val="center"/>
              <w:rPr>
                <w:rFonts w:cs="宋体"/>
                <w:color w:val="auto"/>
                <w:szCs w:val="21"/>
              </w:rPr>
            </w:pPr>
          </w:p>
        </w:tc>
        <w:tc>
          <w:tcPr>
            <w:tcW w:w="426" w:type="pct"/>
            <w:tcBorders>
              <w:top w:val="double" w:color="auto" w:sz="6" w:space="0"/>
            </w:tcBorders>
            <w:vAlign w:val="center"/>
          </w:tcPr>
          <w:p w14:paraId="2839E867">
            <w:pPr>
              <w:keepNext/>
              <w:spacing w:line="440" w:lineRule="exact"/>
              <w:jc w:val="center"/>
              <w:rPr>
                <w:rFonts w:cs="宋体"/>
                <w:color w:val="auto"/>
                <w:szCs w:val="21"/>
              </w:rPr>
            </w:pPr>
          </w:p>
        </w:tc>
        <w:tc>
          <w:tcPr>
            <w:tcW w:w="745" w:type="pct"/>
            <w:tcBorders>
              <w:top w:val="double" w:color="auto" w:sz="6" w:space="0"/>
            </w:tcBorders>
            <w:vAlign w:val="center"/>
          </w:tcPr>
          <w:p w14:paraId="751FD0B4">
            <w:pPr>
              <w:keepNext/>
              <w:spacing w:line="440" w:lineRule="exact"/>
              <w:jc w:val="center"/>
              <w:rPr>
                <w:rFonts w:cs="宋体"/>
                <w:color w:val="auto"/>
                <w:szCs w:val="21"/>
              </w:rPr>
            </w:pPr>
          </w:p>
        </w:tc>
        <w:tc>
          <w:tcPr>
            <w:tcW w:w="781" w:type="pct"/>
            <w:tcBorders>
              <w:top w:val="double" w:color="auto" w:sz="6" w:space="0"/>
            </w:tcBorders>
            <w:vAlign w:val="center"/>
          </w:tcPr>
          <w:p w14:paraId="4BB0FB8C">
            <w:pPr>
              <w:keepNext/>
              <w:spacing w:line="440" w:lineRule="exact"/>
              <w:jc w:val="center"/>
              <w:rPr>
                <w:rFonts w:cs="宋体"/>
                <w:color w:val="auto"/>
                <w:szCs w:val="21"/>
              </w:rPr>
            </w:pPr>
          </w:p>
        </w:tc>
        <w:tc>
          <w:tcPr>
            <w:tcW w:w="938" w:type="pct"/>
            <w:tcBorders>
              <w:top w:val="double" w:color="auto" w:sz="6" w:space="0"/>
            </w:tcBorders>
            <w:vAlign w:val="center"/>
          </w:tcPr>
          <w:p w14:paraId="27CDEF1C">
            <w:pPr>
              <w:keepNext/>
              <w:spacing w:line="440" w:lineRule="exact"/>
              <w:jc w:val="center"/>
              <w:rPr>
                <w:rFonts w:cs="宋体"/>
                <w:color w:val="auto"/>
                <w:szCs w:val="21"/>
              </w:rPr>
            </w:pPr>
          </w:p>
        </w:tc>
      </w:tr>
      <w:tr w14:paraId="6C4AA3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nil"/>
            </w:tcBorders>
            <w:vAlign w:val="center"/>
          </w:tcPr>
          <w:p w14:paraId="52689404">
            <w:pPr>
              <w:keepNext/>
              <w:spacing w:line="440" w:lineRule="exact"/>
              <w:jc w:val="center"/>
              <w:rPr>
                <w:rFonts w:cs="宋体"/>
                <w:color w:val="auto"/>
                <w:szCs w:val="21"/>
              </w:rPr>
            </w:pPr>
          </w:p>
        </w:tc>
        <w:tc>
          <w:tcPr>
            <w:tcW w:w="1094" w:type="pct"/>
            <w:tcBorders>
              <w:top w:val="nil"/>
            </w:tcBorders>
            <w:vAlign w:val="center"/>
          </w:tcPr>
          <w:p w14:paraId="67C49A68">
            <w:pPr>
              <w:keepNext/>
              <w:spacing w:line="440" w:lineRule="exact"/>
              <w:jc w:val="center"/>
              <w:rPr>
                <w:rFonts w:cs="宋体"/>
                <w:color w:val="auto"/>
                <w:szCs w:val="21"/>
              </w:rPr>
            </w:pPr>
          </w:p>
        </w:tc>
        <w:tc>
          <w:tcPr>
            <w:tcW w:w="468" w:type="pct"/>
            <w:tcBorders>
              <w:top w:val="nil"/>
            </w:tcBorders>
            <w:vAlign w:val="center"/>
          </w:tcPr>
          <w:p w14:paraId="48946850">
            <w:pPr>
              <w:keepNext/>
              <w:spacing w:line="440" w:lineRule="exact"/>
              <w:jc w:val="center"/>
              <w:rPr>
                <w:rFonts w:cs="宋体"/>
                <w:color w:val="auto"/>
                <w:szCs w:val="21"/>
              </w:rPr>
            </w:pPr>
          </w:p>
        </w:tc>
        <w:tc>
          <w:tcPr>
            <w:tcW w:w="426" w:type="pct"/>
            <w:tcBorders>
              <w:top w:val="nil"/>
            </w:tcBorders>
            <w:vAlign w:val="center"/>
          </w:tcPr>
          <w:p w14:paraId="384A3A15">
            <w:pPr>
              <w:keepNext/>
              <w:spacing w:line="440" w:lineRule="exact"/>
              <w:jc w:val="center"/>
              <w:rPr>
                <w:rFonts w:cs="宋体"/>
                <w:color w:val="auto"/>
                <w:szCs w:val="21"/>
              </w:rPr>
            </w:pPr>
          </w:p>
        </w:tc>
        <w:tc>
          <w:tcPr>
            <w:tcW w:w="745" w:type="pct"/>
            <w:tcBorders>
              <w:top w:val="nil"/>
            </w:tcBorders>
            <w:vAlign w:val="center"/>
          </w:tcPr>
          <w:p w14:paraId="401546CD">
            <w:pPr>
              <w:keepNext/>
              <w:spacing w:line="440" w:lineRule="exact"/>
              <w:jc w:val="center"/>
              <w:rPr>
                <w:rFonts w:cs="宋体"/>
                <w:color w:val="auto"/>
                <w:szCs w:val="21"/>
              </w:rPr>
            </w:pPr>
          </w:p>
        </w:tc>
        <w:tc>
          <w:tcPr>
            <w:tcW w:w="781" w:type="pct"/>
            <w:tcBorders>
              <w:top w:val="nil"/>
            </w:tcBorders>
            <w:vAlign w:val="center"/>
          </w:tcPr>
          <w:p w14:paraId="4CAB6563">
            <w:pPr>
              <w:keepNext/>
              <w:spacing w:line="440" w:lineRule="exact"/>
              <w:jc w:val="center"/>
              <w:rPr>
                <w:rFonts w:cs="宋体"/>
                <w:color w:val="auto"/>
                <w:szCs w:val="21"/>
              </w:rPr>
            </w:pPr>
          </w:p>
        </w:tc>
        <w:tc>
          <w:tcPr>
            <w:tcW w:w="938" w:type="pct"/>
            <w:tcBorders>
              <w:top w:val="nil"/>
            </w:tcBorders>
            <w:vAlign w:val="center"/>
          </w:tcPr>
          <w:p w14:paraId="7065C3E6">
            <w:pPr>
              <w:keepNext/>
              <w:spacing w:line="440" w:lineRule="exact"/>
              <w:jc w:val="center"/>
              <w:rPr>
                <w:rFonts w:cs="宋体"/>
                <w:color w:val="auto"/>
                <w:szCs w:val="21"/>
              </w:rPr>
            </w:pPr>
          </w:p>
        </w:tc>
      </w:tr>
      <w:tr w14:paraId="3F66D2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vAlign w:val="center"/>
          </w:tcPr>
          <w:p w14:paraId="0DF80A68">
            <w:pPr>
              <w:keepNext/>
              <w:spacing w:line="440" w:lineRule="exact"/>
              <w:jc w:val="center"/>
              <w:rPr>
                <w:rFonts w:cs="宋体"/>
                <w:color w:val="auto"/>
                <w:szCs w:val="21"/>
              </w:rPr>
            </w:pPr>
          </w:p>
        </w:tc>
        <w:tc>
          <w:tcPr>
            <w:tcW w:w="1094" w:type="pct"/>
            <w:vAlign w:val="center"/>
          </w:tcPr>
          <w:p w14:paraId="7DC4A10F">
            <w:pPr>
              <w:keepNext/>
              <w:spacing w:line="440" w:lineRule="exact"/>
              <w:jc w:val="center"/>
              <w:rPr>
                <w:rFonts w:cs="宋体"/>
                <w:color w:val="auto"/>
                <w:szCs w:val="21"/>
              </w:rPr>
            </w:pPr>
          </w:p>
        </w:tc>
        <w:tc>
          <w:tcPr>
            <w:tcW w:w="468" w:type="pct"/>
            <w:vAlign w:val="center"/>
          </w:tcPr>
          <w:p w14:paraId="35E71162">
            <w:pPr>
              <w:keepNext/>
              <w:spacing w:line="440" w:lineRule="exact"/>
              <w:jc w:val="center"/>
              <w:rPr>
                <w:rFonts w:cs="宋体"/>
                <w:color w:val="auto"/>
                <w:szCs w:val="21"/>
              </w:rPr>
            </w:pPr>
          </w:p>
        </w:tc>
        <w:tc>
          <w:tcPr>
            <w:tcW w:w="426" w:type="pct"/>
            <w:vAlign w:val="center"/>
          </w:tcPr>
          <w:p w14:paraId="515B3A41">
            <w:pPr>
              <w:keepNext/>
              <w:spacing w:line="440" w:lineRule="exact"/>
              <w:jc w:val="center"/>
              <w:rPr>
                <w:rFonts w:cs="宋体"/>
                <w:color w:val="auto"/>
                <w:szCs w:val="21"/>
              </w:rPr>
            </w:pPr>
          </w:p>
        </w:tc>
        <w:tc>
          <w:tcPr>
            <w:tcW w:w="745" w:type="pct"/>
            <w:vAlign w:val="center"/>
          </w:tcPr>
          <w:p w14:paraId="0F8AD031">
            <w:pPr>
              <w:keepNext/>
              <w:spacing w:line="440" w:lineRule="exact"/>
              <w:jc w:val="center"/>
              <w:rPr>
                <w:rFonts w:cs="宋体"/>
                <w:color w:val="auto"/>
                <w:szCs w:val="21"/>
              </w:rPr>
            </w:pPr>
          </w:p>
        </w:tc>
        <w:tc>
          <w:tcPr>
            <w:tcW w:w="781" w:type="pct"/>
            <w:vAlign w:val="center"/>
          </w:tcPr>
          <w:p w14:paraId="43AF73E5">
            <w:pPr>
              <w:keepNext/>
              <w:spacing w:line="440" w:lineRule="exact"/>
              <w:jc w:val="center"/>
              <w:rPr>
                <w:rFonts w:cs="宋体"/>
                <w:color w:val="auto"/>
                <w:szCs w:val="21"/>
              </w:rPr>
            </w:pPr>
          </w:p>
        </w:tc>
        <w:tc>
          <w:tcPr>
            <w:tcW w:w="938" w:type="pct"/>
            <w:vAlign w:val="center"/>
          </w:tcPr>
          <w:p w14:paraId="10105E21">
            <w:pPr>
              <w:keepNext/>
              <w:spacing w:line="440" w:lineRule="exact"/>
              <w:jc w:val="center"/>
              <w:rPr>
                <w:rFonts w:cs="宋体"/>
                <w:color w:val="auto"/>
                <w:szCs w:val="21"/>
              </w:rPr>
            </w:pPr>
          </w:p>
        </w:tc>
      </w:tr>
      <w:tr w14:paraId="10F33F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bottom w:val="single" w:color="auto" w:sz="12" w:space="0"/>
            </w:tcBorders>
            <w:vAlign w:val="center"/>
          </w:tcPr>
          <w:p w14:paraId="3FD811D6">
            <w:pPr>
              <w:keepNext/>
              <w:spacing w:line="440" w:lineRule="exact"/>
              <w:jc w:val="center"/>
              <w:rPr>
                <w:rFonts w:cs="宋体"/>
                <w:color w:val="auto"/>
                <w:szCs w:val="21"/>
              </w:rPr>
            </w:pPr>
          </w:p>
        </w:tc>
        <w:tc>
          <w:tcPr>
            <w:tcW w:w="1094" w:type="pct"/>
            <w:tcBorders>
              <w:bottom w:val="single" w:color="auto" w:sz="12" w:space="0"/>
            </w:tcBorders>
            <w:vAlign w:val="center"/>
          </w:tcPr>
          <w:p w14:paraId="07A59229">
            <w:pPr>
              <w:keepNext/>
              <w:spacing w:line="440" w:lineRule="exact"/>
              <w:jc w:val="center"/>
              <w:rPr>
                <w:rFonts w:cs="宋体"/>
                <w:color w:val="auto"/>
                <w:szCs w:val="21"/>
              </w:rPr>
            </w:pPr>
          </w:p>
        </w:tc>
        <w:tc>
          <w:tcPr>
            <w:tcW w:w="468" w:type="pct"/>
            <w:tcBorders>
              <w:bottom w:val="single" w:color="auto" w:sz="12" w:space="0"/>
            </w:tcBorders>
            <w:vAlign w:val="center"/>
          </w:tcPr>
          <w:p w14:paraId="55A42F31">
            <w:pPr>
              <w:keepNext/>
              <w:spacing w:line="440" w:lineRule="exact"/>
              <w:jc w:val="center"/>
              <w:rPr>
                <w:rFonts w:cs="宋体"/>
                <w:color w:val="auto"/>
                <w:szCs w:val="21"/>
              </w:rPr>
            </w:pPr>
          </w:p>
        </w:tc>
        <w:tc>
          <w:tcPr>
            <w:tcW w:w="426" w:type="pct"/>
            <w:tcBorders>
              <w:bottom w:val="single" w:color="auto" w:sz="12" w:space="0"/>
            </w:tcBorders>
            <w:vAlign w:val="center"/>
          </w:tcPr>
          <w:p w14:paraId="0A581C2F">
            <w:pPr>
              <w:keepNext/>
              <w:spacing w:line="440" w:lineRule="exact"/>
              <w:jc w:val="center"/>
              <w:rPr>
                <w:rFonts w:cs="宋体"/>
                <w:color w:val="auto"/>
                <w:szCs w:val="21"/>
              </w:rPr>
            </w:pPr>
          </w:p>
        </w:tc>
        <w:tc>
          <w:tcPr>
            <w:tcW w:w="745" w:type="pct"/>
            <w:tcBorders>
              <w:bottom w:val="single" w:color="auto" w:sz="12" w:space="0"/>
            </w:tcBorders>
            <w:vAlign w:val="center"/>
          </w:tcPr>
          <w:p w14:paraId="1D878B58">
            <w:pPr>
              <w:keepNext/>
              <w:spacing w:line="440" w:lineRule="exact"/>
              <w:jc w:val="center"/>
              <w:rPr>
                <w:rFonts w:cs="宋体"/>
                <w:color w:val="auto"/>
                <w:szCs w:val="21"/>
              </w:rPr>
            </w:pPr>
          </w:p>
        </w:tc>
        <w:tc>
          <w:tcPr>
            <w:tcW w:w="781" w:type="pct"/>
            <w:tcBorders>
              <w:bottom w:val="single" w:color="auto" w:sz="12" w:space="0"/>
            </w:tcBorders>
            <w:vAlign w:val="center"/>
          </w:tcPr>
          <w:p w14:paraId="439A0EC3">
            <w:pPr>
              <w:keepNext/>
              <w:spacing w:line="440" w:lineRule="exact"/>
              <w:jc w:val="center"/>
              <w:rPr>
                <w:rFonts w:cs="宋体"/>
                <w:color w:val="auto"/>
                <w:szCs w:val="21"/>
              </w:rPr>
            </w:pPr>
          </w:p>
        </w:tc>
        <w:tc>
          <w:tcPr>
            <w:tcW w:w="938" w:type="pct"/>
            <w:tcBorders>
              <w:bottom w:val="single" w:color="auto" w:sz="12" w:space="0"/>
            </w:tcBorders>
            <w:vAlign w:val="center"/>
          </w:tcPr>
          <w:p w14:paraId="0F5A5770">
            <w:pPr>
              <w:keepNext/>
              <w:spacing w:line="440" w:lineRule="exact"/>
              <w:jc w:val="center"/>
              <w:rPr>
                <w:rFonts w:cs="宋体"/>
                <w:color w:val="auto"/>
                <w:szCs w:val="21"/>
              </w:rPr>
            </w:pPr>
          </w:p>
        </w:tc>
      </w:tr>
    </w:tbl>
    <w:p w14:paraId="7756398B">
      <w:pPr>
        <w:spacing w:before="156" w:beforeLines="50" w:after="156" w:afterLines="50" w:line="440" w:lineRule="exact"/>
        <w:jc w:val="center"/>
        <w:rPr>
          <w:rFonts w:cs="宋体"/>
          <w:color w:val="auto"/>
          <w:szCs w:val="21"/>
        </w:rPr>
      </w:pPr>
      <w:r>
        <w:rPr>
          <w:rFonts w:hint="eastAsia" w:cs="宋体"/>
          <w:color w:val="auto"/>
          <w:szCs w:val="21"/>
        </w:rPr>
        <w:t>12-3：专业工程暂估价表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916"/>
        <w:gridCol w:w="1830"/>
        <w:gridCol w:w="783"/>
        <w:gridCol w:w="712"/>
        <w:gridCol w:w="1246"/>
        <w:gridCol w:w="1306"/>
        <w:gridCol w:w="1569"/>
      </w:tblGrid>
      <w:tr w14:paraId="123DAB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single" w:color="auto" w:sz="12" w:space="0"/>
              <w:bottom w:val="double" w:color="auto" w:sz="6" w:space="0"/>
            </w:tcBorders>
            <w:vAlign w:val="center"/>
          </w:tcPr>
          <w:p w14:paraId="1A37D91E">
            <w:pPr>
              <w:keepNext/>
              <w:spacing w:line="440" w:lineRule="exact"/>
              <w:jc w:val="center"/>
              <w:rPr>
                <w:rFonts w:cs="宋体"/>
                <w:color w:val="auto"/>
                <w:szCs w:val="21"/>
              </w:rPr>
            </w:pPr>
            <w:r>
              <w:rPr>
                <w:rFonts w:hint="eastAsia" w:cs="宋体"/>
                <w:color w:val="auto"/>
                <w:szCs w:val="21"/>
              </w:rPr>
              <w:t>序号</w:t>
            </w:r>
          </w:p>
        </w:tc>
        <w:tc>
          <w:tcPr>
            <w:tcW w:w="1094" w:type="pct"/>
            <w:tcBorders>
              <w:top w:val="single" w:color="auto" w:sz="12" w:space="0"/>
              <w:bottom w:val="double" w:color="auto" w:sz="6" w:space="0"/>
            </w:tcBorders>
            <w:vAlign w:val="center"/>
          </w:tcPr>
          <w:p w14:paraId="441F3ACA">
            <w:pPr>
              <w:keepNext/>
              <w:spacing w:line="440" w:lineRule="exact"/>
              <w:jc w:val="center"/>
              <w:rPr>
                <w:rFonts w:cs="宋体"/>
                <w:color w:val="auto"/>
                <w:szCs w:val="21"/>
              </w:rPr>
            </w:pPr>
            <w:r>
              <w:rPr>
                <w:rFonts w:hint="eastAsia" w:cs="宋体"/>
                <w:color w:val="auto"/>
                <w:szCs w:val="21"/>
              </w:rPr>
              <w:t>名称</w:t>
            </w:r>
          </w:p>
        </w:tc>
        <w:tc>
          <w:tcPr>
            <w:tcW w:w="468" w:type="pct"/>
            <w:tcBorders>
              <w:top w:val="single" w:color="auto" w:sz="12" w:space="0"/>
              <w:bottom w:val="double" w:color="auto" w:sz="6" w:space="0"/>
            </w:tcBorders>
            <w:vAlign w:val="center"/>
          </w:tcPr>
          <w:p w14:paraId="7FDD2715">
            <w:pPr>
              <w:keepNext/>
              <w:spacing w:line="440" w:lineRule="exact"/>
              <w:jc w:val="center"/>
              <w:rPr>
                <w:rFonts w:cs="宋体"/>
                <w:color w:val="auto"/>
                <w:szCs w:val="21"/>
              </w:rPr>
            </w:pPr>
            <w:r>
              <w:rPr>
                <w:rFonts w:hint="eastAsia" w:cs="宋体"/>
                <w:color w:val="auto"/>
                <w:szCs w:val="21"/>
              </w:rPr>
              <w:t>单位</w:t>
            </w:r>
          </w:p>
        </w:tc>
        <w:tc>
          <w:tcPr>
            <w:tcW w:w="426" w:type="pct"/>
            <w:tcBorders>
              <w:top w:val="single" w:color="auto" w:sz="12" w:space="0"/>
              <w:bottom w:val="double" w:color="auto" w:sz="6" w:space="0"/>
            </w:tcBorders>
            <w:vAlign w:val="center"/>
          </w:tcPr>
          <w:p w14:paraId="67A86430">
            <w:pPr>
              <w:keepNext/>
              <w:spacing w:line="440" w:lineRule="exact"/>
              <w:jc w:val="center"/>
              <w:rPr>
                <w:rFonts w:cs="宋体"/>
                <w:color w:val="auto"/>
                <w:szCs w:val="21"/>
              </w:rPr>
            </w:pPr>
            <w:r>
              <w:rPr>
                <w:rFonts w:hint="eastAsia" w:cs="宋体"/>
                <w:color w:val="auto"/>
                <w:szCs w:val="21"/>
              </w:rPr>
              <w:t>数量</w:t>
            </w:r>
          </w:p>
        </w:tc>
        <w:tc>
          <w:tcPr>
            <w:tcW w:w="745" w:type="pct"/>
            <w:tcBorders>
              <w:top w:val="single" w:color="auto" w:sz="12" w:space="0"/>
              <w:bottom w:val="double" w:color="auto" w:sz="6" w:space="0"/>
            </w:tcBorders>
            <w:vAlign w:val="center"/>
          </w:tcPr>
          <w:p w14:paraId="3063B098">
            <w:pPr>
              <w:keepNext/>
              <w:spacing w:line="440" w:lineRule="exact"/>
              <w:jc w:val="center"/>
              <w:rPr>
                <w:rFonts w:cs="宋体"/>
                <w:color w:val="auto"/>
                <w:szCs w:val="21"/>
              </w:rPr>
            </w:pPr>
            <w:r>
              <w:rPr>
                <w:rFonts w:hint="eastAsia" w:cs="宋体"/>
                <w:color w:val="auto"/>
                <w:szCs w:val="21"/>
              </w:rPr>
              <w:t>单价（元）</w:t>
            </w:r>
          </w:p>
        </w:tc>
        <w:tc>
          <w:tcPr>
            <w:tcW w:w="781" w:type="pct"/>
            <w:tcBorders>
              <w:top w:val="single" w:color="auto" w:sz="12" w:space="0"/>
              <w:bottom w:val="double" w:color="auto" w:sz="6" w:space="0"/>
            </w:tcBorders>
            <w:vAlign w:val="center"/>
          </w:tcPr>
          <w:p w14:paraId="57C9F223">
            <w:pPr>
              <w:keepNext/>
              <w:spacing w:line="440" w:lineRule="exact"/>
              <w:jc w:val="center"/>
              <w:rPr>
                <w:rFonts w:cs="宋体"/>
                <w:color w:val="auto"/>
                <w:szCs w:val="21"/>
              </w:rPr>
            </w:pPr>
            <w:r>
              <w:rPr>
                <w:rFonts w:hint="eastAsia" w:cs="宋体"/>
                <w:color w:val="auto"/>
                <w:szCs w:val="21"/>
              </w:rPr>
              <w:t>合价（元）</w:t>
            </w:r>
          </w:p>
        </w:tc>
        <w:tc>
          <w:tcPr>
            <w:tcW w:w="938" w:type="pct"/>
            <w:tcBorders>
              <w:top w:val="single" w:color="auto" w:sz="12" w:space="0"/>
              <w:bottom w:val="double" w:color="auto" w:sz="6" w:space="0"/>
            </w:tcBorders>
            <w:vAlign w:val="center"/>
          </w:tcPr>
          <w:p w14:paraId="00ADD9E2">
            <w:pPr>
              <w:keepNext/>
              <w:spacing w:line="440" w:lineRule="exact"/>
              <w:jc w:val="center"/>
              <w:rPr>
                <w:rFonts w:cs="宋体"/>
                <w:color w:val="auto"/>
                <w:szCs w:val="21"/>
              </w:rPr>
            </w:pPr>
            <w:r>
              <w:rPr>
                <w:rFonts w:hint="eastAsia" w:cs="宋体"/>
                <w:color w:val="auto"/>
                <w:szCs w:val="21"/>
              </w:rPr>
              <w:t>备注</w:t>
            </w:r>
          </w:p>
        </w:tc>
      </w:tr>
      <w:tr w14:paraId="5E10FA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double" w:color="auto" w:sz="6" w:space="0"/>
            </w:tcBorders>
            <w:vAlign w:val="center"/>
          </w:tcPr>
          <w:p w14:paraId="45209BDF">
            <w:pPr>
              <w:keepNext/>
              <w:spacing w:line="440" w:lineRule="exact"/>
              <w:jc w:val="center"/>
              <w:rPr>
                <w:rFonts w:cs="宋体"/>
                <w:color w:val="auto"/>
                <w:szCs w:val="21"/>
              </w:rPr>
            </w:pPr>
          </w:p>
        </w:tc>
        <w:tc>
          <w:tcPr>
            <w:tcW w:w="1094" w:type="pct"/>
            <w:tcBorders>
              <w:top w:val="double" w:color="auto" w:sz="6" w:space="0"/>
            </w:tcBorders>
            <w:vAlign w:val="center"/>
          </w:tcPr>
          <w:p w14:paraId="666501E7">
            <w:pPr>
              <w:keepNext/>
              <w:spacing w:line="440" w:lineRule="exact"/>
              <w:jc w:val="center"/>
              <w:rPr>
                <w:rFonts w:cs="宋体"/>
                <w:color w:val="auto"/>
                <w:szCs w:val="21"/>
              </w:rPr>
            </w:pPr>
          </w:p>
        </w:tc>
        <w:tc>
          <w:tcPr>
            <w:tcW w:w="468" w:type="pct"/>
            <w:tcBorders>
              <w:top w:val="double" w:color="auto" w:sz="6" w:space="0"/>
            </w:tcBorders>
            <w:vAlign w:val="center"/>
          </w:tcPr>
          <w:p w14:paraId="33E4FD80">
            <w:pPr>
              <w:keepNext/>
              <w:spacing w:line="440" w:lineRule="exact"/>
              <w:jc w:val="center"/>
              <w:rPr>
                <w:rFonts w:cs="宋体"/>
                <w:color w:val="auto"/>
                <w:szCs w:val="21"/>
              </w:rPr>
            </w:pPr>
          </w:p>
        </w:tc>
        <w:tc>
          <w:tcPr>
            <w:tcW w:w="426" w:type="pct"/>
            <w:tcBorders>
              <w:top w:val="double" w:color="auto" w:sz="6" w:space="0"/>
            </w:tcBorders>
            <w:vAlign w:val="center"/>
          </w:tcPr>
          <w:p w14:paraId="7F79BAC3">
            <w:pPr>
              <w:keepNext/>
              <w:spacing w:line="440" w:lineRule="exact"/>
              <w:jc w:val="center"/>
              <w:rPr>
                <w:rFonts w:cs="宋体"/>
                <w:color w:val="auto"/>
                <w:szCs w:val="21"/>
              </w:rPr>
            </w:pPr>
          </w:p>
        </w:tc>
        <w:tc>
          <w:tcPr>
            <w:tcW w:w="745" w:type="pct"/>
            <w:tcBorders>
              <w:top w:val="double" w:color="auto" w:sz="6" w:space="0"/>
            </w:tcBorders>
            <w:vAlign w:val="center"/>
          </w:tcPr>
          <w:p w14:paraId="12CCFADA">
            <w:pPr>
              <w:keepNext/>
              <w:spacing w:line="440" w:lineRule="exact"/>
              <w:jc w:val="center"/>
              <w:rPr>
                <w:rFonts w:cs="宋体"/>
                <w:color w:val="auto"/>
                <w:szCs w:val="21"/>
              </w:rPr>
            </w:pPr>
          </w:p>
        </w:tc>
        <w:tc>
          <w:tcPr>
            <w:tcW w:w="781" w:type="pct"/>
            <w:tcBorders>
              <w:top w:val="double" w:color="auto" w:sz="6" w:space="0"/>
            </w:tcBorders>
            <w:vAlign w:val="center"/>
          </w:tcPr>
          <w:p w14:paraId="0978C513">
            <w:pPr>
              <w:keepNext/>
              <w:spacing w:line="440" w:lineRule="exact"/>
              <w:jc w:val="center"/>
              <w:rPr>
                <w:rFonts w:cs="宋体"/>
                <w:color w:val="auto"/>
                <w:szCs w:val="21"/>
              </w:rPr>
            </w:pPr>
          </w:p>
        </w:tc>
        <w:tc>
          <w:tcPr>
            <w:tcW w:w="938" w:type="pct"/>
            <w:tcBorders>
              <w:top w:val="double" w:color="auto" w:sz="6" w:space="0"/>
            </w:tcBorders>
            <w:vAlign w:val="center"/>
          </w:tcPr>
          <w:p w14:paraId="5200FCFE">
            <w:pPr>
              <w:keepNext/>
              <w:spacing w:line="440" w:lineRule="exact"/>
              <w:jc w:val="center"/>
              <w:rPr>
                <w:rFonts w:cs="宋体"/>
                <w:color w:val="auto"/>
                <w:szCs w:val="21"/>
              </w:rPr>
            </w:pPr>
          </w:p>
        </w:tc>
      </w:tr>
      <w:tr w14:paraId="606F0E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nil"/>
            </w:tcBorders>
            <w:vAlign w:val="center"/>
          </w:tcPr>
          <w:p w14:paraId="41569108">
            <w:pPr>
              <w:keepNext/>
              <w:spacing w:line="440" w:lineRule="exact"/>
              <w:jc w:val="center"/>
              <w:rPr>
                <w:rFonts w:cs="宋体"/>
                <w:color w:val="auto"/>
                <w:szCs w:val="21"/>
              </w:rPr>
            </w:pPr>
          </w:p>
        </w:tc>
        <w:tc>
          <w:tcPr>
            <w:tcW w:w="1094" w:type="pct"/>
            <w:tcBorders>
              <w:top w:val="nil"/>
            </w:tcBorders>
            <w:vAlign w:val="center"/>
          </w:tcPr>
          <w:p w14:paraId="5DC7D37D">
            <w:pPr>
              <w:keepNext/>
              <w:spacing w:line="440" w:lineRule="exact"/>
              <w:jc w:val="center"/>
              <w:rPr>
                <w:rFonts w:cs="宋体"/>
                <w:color w:val="auto"/>
                <w:szCs w:val="21"/>
              </w:rPr>
            </w:pPr>
          </w:p>
        </w:tc>
        <w:tc>
          <w:tcPr>
            <w:tcW w:w="468" w:type="pct"/>
            <w:tcBorders>
              <w:top w:val="nil"/>
            </w:tcBorders>
            <w:vAlign w:val="center"/>
          </w:tcPr>
          <w:p w14:paraId="7F450F39">
            <w:pPr>
              <w:keepNext/>
              <w:spacing w:line="440" w:lineRule="exact"/>
              <w:jc w:val="center"/>
              <w:rPr>
                <w:rFonts w:cs="宋体"/>
                <w:color w:val="auto"/>
                <w:szCs w:val="21"/>
              </w:rPr>
            </w:pPr>
          </w:p>
        </w:tc>
        <w:tc>
          <w:tcPr>
            <w:tcW w:w="426" w:type="pct"/>
            <w:tcBorders>
              <w:top w:val="nil"/>
            </w:tcBorders>
            <w:vAlign w:val="center"/>
          </w:tcPr>
          <w:p w14:paraId="34FD95E4">
            <w:pPr>
              <w:keepNext/>
              <w:spacing w:line="440" w:lineRule="exact"/>
              <w:jc w:val="center"/>
              <w:rPr>
                <w:rFonts w:cs="宋体"/>
                <w:color w:val="auto"/>
                <w:szCs w:val="21"/>
              </w:rPr>
            </w:pPr>
          </w:p>
        </w:tc>
        <w:tc>
          <w:tcPr>
            <w:tcW w:w="745" w:type="pct"/>
            <w:tcBorders>
              <w:top w:val="nil"/>
            </w:tcBorders>
            <w:vAlign w:val="center"/>
          </w:tcPr>
          <w:p w14:paraId="7A8FF2A2">
            <w:pPr>
              <w:keepNext/>
              <w:spacing w:line="440" w:lineRule="exact"/>
              <w:jc w:val="center"/>
              <w:rPr>
                <w:rFonts w:cs="宋体"/>
                <w:color w:val="auto"/>
                <w:szCs w:val="21"/>
              </w:rPr>
            </w:pPr>
          </w:p>
        </w:tc>
        <w:tc>
          <w:tcPr>
            <w:tcW w:w="781" w:type="pct"/>
            <w:tcBorders>
              <w:top w:val="nil"/>
            </w:tcBorders>
            <w:vAlign w:val="center"/>
          </w:tcPr>
          <w:p w14:paraId="0DA41FDB">
            <w:pPr>
              <w:keepNext/>
              <w:spacing w:line="440" w:lineRule="exact"/>
              <w:jc w:val="center"/>
              <w:rPr>
                <w:rFonts w:cs="宋体"/>
                <w:color w:val="auto"/>
                <w:szCs w:val="21"/>
              </w:rPr>
            </w:pPr>
          </w:p>
        </w:tc>
        <w:tc>
          <w:tcPr>
            <w:tcW w:w="938" w:type="pct"/>
            <w:tcBorders>
              <w:top w:val="nil"/>
            </w:tcBorders>
            <w:vAlign w:val="center"/>
          </w:tcPr>
          <w:p w14:paraId="4E5CD40C">
            <w:pPr>
              <w:keepNext/>
              <w:spacing w:line="440" w:lineRule="exact"/>
              <w:jc w:val="center"/>
              <w:rPr>
                <w:rFonts w:cs="宋体"/>
                <w:color w:val="auto"/>
                <w:szCs w:val="21"/>
              </w:rPr>
            </w:pPr>
          </w:p>
        </w:tc>
      </w:tr>
      <w:tr w14:paraId="0A93B0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vAlign w:val="center"/>
          </w:tcPr>
          <w:p w14:paraId="40AC6639">
            <w:pPr>
              <w:keepNext/>
              <w:spacing w:line="440" w:lineRule="exact"/>
              <w:jc w:val="center"/>
              <w:rPr>
                <w:rFonts w:cs="宋体"/>
                <w:color w:val="auto"/>
                <w:szCs w:val="21"/>
              </w:rPr>
            </w:pPr>
          </w:p>
        </w:tc>
        <w:tc>
          <w:tcPr>
            <w:tcW w:w="1094" w:type="pct"/>
            <w:vAlign w:val="center"/>
          </w:tcPr>
          <w:p w14:paraId="0AED7EA0">
            <w:pPr>
              <w:keepNext/>
              <w:spacing w:line="440" w:lineRule="exact"/>
              <w:jc w:val="center"/>
              <w:rPr>
                <w:rFonts w:cs="宋体"/>
                <w:color w:val="auto"/>
                <w:szCs w:val="21"/>
              </w:rPr>
            </w:pPr>
          </w:p>
        </w:tc>
        <w:tc>
          <w:tcPr>
            <w:tcW w:w="468" w:type="pct"/>
            <w:vAlign w:val="center"/>
          </w:tcPr>
          <w:p w14:paraId="100D1581">
            <w:pPr>
              <w:keepNext/>
              <w:spacing w:line="440" w:lineRule="exact"/>
              <w:jc w:val="center"/>
              <w:rPr>
                <w:rFonts w:cs="宋体"/>
                <w:color w:val="auto"/>
                <w:szCs w:val="21"/>
              </w:rPr>
            </w:pPr>
          </w:p>
        </w:tc>
        <w:tc>
          <w:tcPr>
            <w:tcW w:w="426" w:type="pct"/>
            <w:vAlign w:val="center"/>
          </w:tcPr>
          <w:p w14:paraId="6AA105A1">
            <w:pPr>
              <w:keepNext/>
              <w:spacing w:line="440" w:lineRule="exact"/>
              <w:jc w:val="center"/>
              <w:rPr>
                <w:rFonts w:cs="宋体"/>
                <w:color w:val="auto"/>
                <w:szCs w:val="21"/>
              </w:rPr>
            </w:pPr>
          </w:p>
        </w:tc>
        <w:tc>
          <w:tcPr>
            <w:tcW w:w="745" w:type="pct"/>
            <w:vAlign w:val="center"/>
          </w:tcPr>
          <w:p w14:paraId="2C5296F6">
            <w:pPr>
              <w:keepNext/>
              <w:spacing w:line="440" w:lineRule="exact"/>
              <w:jc w:val="center"/>
              <w:rPr>
                <w:rFonts w:cs="宋体"/>
                <w:color w:val="auto"/>
                <w:szCs w:val="21"/>
              </w:rPr>
            </w:pPr>
          </w:p>
        </w:tc>
        <w:tc>
          <w:tcPr>
            <w:tcW w:w="781" w:type="pct"/>
            <w:vAlign w:val="center"/>
          </w:tcPr>
          <w:p w14:paraId="517FB800">
            <w:pPr>
              <w:keepNext/>
              <w:spacing w:line="440" w:lineRule="exact"/>
              <w:jc w:val="center"/>
              <w:rPr>
                <w:rFonts w:cs="宋体"/>
                <w:color w:val="auto"/>
                <w:szCs w:val="21"/>
              </w:rPr>
            </w:pPr>
          </w:p>
        </w:tc>
        <w:tc>
          <w:tcPr>
            <w:tcW w:w="938" w:type="pct"/>
            <w:vAlign w:val="center"/>
          </w:tcPr>
          <w:p w14:paraId="66639788">
            <w:pPr>
              <w:keepNext/>
              <w:spacing w:line="440" w:lineRule="exact"/>
              <w:jc w:val="center"/>
              <w:rPr>
                <w:rFonts w:cs="宋体"/>
                <w:color w:val="auto"/>
                <w:szCs w:val="21"/>
              </w:rPr>
            </w:pPr>
          </w:p>
        </w:tc>
      </w:tr>
      <w:tr w14:paraId="490397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bottom w:val="single" w:color="auto" w:sz="12" w:space="0"/>
            </w:tcBorders>
            <w:vAlign w:val="center"/>
          </w:tcPr>
          <w:p w14:paraId="2D899506">
            <w:pPr>
              <w:keepNext/>
              <w:spacing w:line="440" w:lineRule="exact"/>
              <w:jc w:val="center"/>
              <w:rPr>
                <w:rFonts w:cs="宋体"/>
                <w:color w:val="auto"/>
                <w:szCs w:val="21"/>
              </w:rPr>
            </w:pPr>
          </w:p>
        </w:tc>
        <w:tc>
          <w:tcPr>
            <w:tcW w:w="1094" w:type="pct"/>
            <w:tcBorders>
              <w:bottom w:val="single" w:color="auto" w:sz="12" w:space="0"/>
            </w:tcBorders>
            <w:vAlign w:val="center"/>
          </w:tcPr>
          <w:p w14:paraId="527A16E8">
            <w:pPr>
              <w:keepNext/>
              <w:spacing w:line="440" w:lineRule="exact"/>
              <w:jc w:val="center"/>
              <w:rPr>
                <w:rFonts w:cs="宋体"/>
                <w:color w:val="auto"/>
                <w:szCs w:val="21"/>
              </w:rPr>
            </w:pPr>
          </w:p>
        </w:tc>
        <w:tc>
          <w:tcPr>
            <w:tcW w:w="468" w:type="pct"/>
            <w:tcBorders>
              <w:bottom w:val="single" w:color="auto" w:sz="12" w:space="0"/>
            </w:tcBorders>
            <w:vAlign w:val="center"/>
          </w:tcPr>
          <w:p w14:paraId="1787887A">
            <w:pPr>
              <w:keepNext/>
              <w:spacing w:line="440" w:lineRule="exact"/>
              <w:jc w:val="center"/>
              <w:rPr>
                <w:rFonts w:cs="宋体"/>
                <w:color w:val="auto"/>
                <w:szCs w:val="21"/>
              </w:rPr>
            </w:pPr>
          </w:p>
        </w:tc>
        <w:tc>
          <w:tcPr>
            <w:tcW w:w="426" w:type="pct"/>
            <w:tcBorders>
              <w:bottom w:val="single" w:color="auto" w:sz="12" w:space="0"/>
            </w:tcBorders>
            <w:vAlign w:val="center"/>
          </w:tcPr>
          <w:p w14:paraId="73B83CF4">
            <w:pPr>
              <w:keepNext/>
              <w:spacing w:line="440" w:lineRule="exact"/>
              <w:jc w:val="center"/>
              <w:rPr>
                <w:rFonts w:cs="宋体"/>
                <w:color w:val="auto"/>
                <w:szCs w:val="21"/>
              </w:rPr>
            </w:pPr>
          </w:p>
        </w:tc>
        <w:tc>
          <w:tcPr>
            <w:tcW w:w="745" w:type="pct"/>
            <w:tcBorders>
              <w:bottom w:val="single" w:color="auto" w:sz="12" w:space="0"/>
            </w:tcBorders>
            <w:vAlign w:val="center"/>
          </w:tcPr>
          <w:p w14:paraId="63EBBF89">
            <w:pPr>
              <w:keepNext/>
              <w:spacing w:line="440" w:lineRule="exact"/>
              <w:jc w:val="center"/>
              <w:rPr>
                <w:rFonts w:cs="宋体"/>
                <w:color w:val="auto"/>
                <w:szCs w:val="21"/>
              </w:rPr>
            </w:pPr>
          </w:p>
        </w:tc>
        <w:tc>
          <w:tcPr>
            <w:tcW w:w="781" w:type="pct"/>
            <w:tcBorders>
              <w:bottom w:val="single" w:color="auto" w:sz="12" w:space="0"/>
            </w:tcBorders>
            <w:vAlign w:val="center"/>
          </w:tcPr>
          <w:p w14:paraId="41E822B6">
            <w:pPr>
              <w:keepNext/>
              <w:spacing w:line="440" w:lineRule="exact"/>
              <w:jc w:val="center"/>
              <w:rPr>
                <w:rFonts w:cs="宋体"/>
                <w:color w:val="auto"/>
                <w:szCs w:val="21"/>
              </w:rPr>
            </w:pPr>
          </w:p>
        </w:tc>
        <w:tc>
          <w:tcPr>
            <w:tcW w:w="938" w:type="pct"/>
            <w:tcBorders>
              <w:bottom w:val="single" w:color="auto" w:sz="12" w:space="0"/>
            </w:tcBorders>
            <w:vAlign w:val="center"/>
          </w:tcPr>
          <w:p w14:paraId="4456F97C">
            <w:pPr>
              <w:keepNext/>
              <w:spacing w:line="440" w:lineRule="exact"/>
              <w:jc w:val="center"/>
              <w:rPr>
                <w:rFonts w:cs="宋体"/>
                <w:color w:val="auto"/>
                <w:szCs w:val="21"/>
              </w:rPr>
            </w:pPr>
          </w:p>
        </w:tc>
      </w:tr>
    </w:tbl>
    <w:p w14:paraId="3D355783">
      <w:pPr>
        <w:rPr>
          <w:rFonts w:cs="宋体"/>
          <w:color w:val="auto"/>
          <w:szCs w:val="21"/>
        </w:rPr>
      </w:pPr>
    </w:p>
    <w:p w14:paraId="7878F3CA">
      <w:pPr>
        <w:spacing w:before="312" w:beforeLines="100" w:after="312" w:afterLines="100"/>
        <w:outlineLvl w:val="2"/>
        <w:rPr>
          <w:rFonts w:ascii="Times New Roman" w:eastAsia="黑体"/>
          <w:color w:val="auto"/>
          <w:szCs w:val="24"/>
        </w:rPr>
      </w:pPr>
      <w:r>
        <w:rPr>
          <w:rFonts w:hint="eastAsia" w:cs="宋体"/>
          <w:bCs/>
          <w:color w:val="auto"/>
        </w:rPr>
        <w:br w:type="page"/>
      </w:r>
      <w:bookmarkStart w:id="695" w:name="_Toc128950248"/>
      <w:r>
        <w:rPr>
          <w:rFonts w:hint="eastAsia" w:ascii="Times New Roman" w:eastAsia="黑体"/>
          <w:color w:val="auto"/>
          <w:szCs w:val="24"/>
        </w:rPr>
        <w:t>附件13：安全生产合同</w:t>
      </w:r>
      <w:bookmarkEnd w:id="695"/>
    </w:p>
    <w:p w14:paraId="327EE8B5">
      <w:pPr>
        <w:spacing w:before="156" w:beforeLines="50" w:after="156" w:afterLines="50" w:line="360" w:lineRule="auto"/>
        <w:jc w:val="center"/>
        <w:rPr>
          <w:rFonts w:cs="宋体"/>
          <w:b/>
          <w:color w:val="auto"/>
          <w:sz w:val="32"/>
          <w:szCs w:val="32"/>
        </w:rPr>
      </w:pPr>
      <w:bookmarkStart w:id="696" w:name="_Toc23792"/>
      <w:bookmarkStart w:id="697" w:name="_Toc11475"/>
      <w:r>
        <w:rPr>
          <w:rFonts w:hint="eastAsia" w:cs="宋体"/>
          <w:b/>
          <w:color w:val="auto"/>
          <w:sz w:val="32"/>
          <w:szCs w:val="32"/>
        </w:rPr>
        <w:t>安全生产合同</w:t>
      </w:r>
      <w:bookmarkEnd w:id="696"/>
      <w:bookmarkEnd w:id="697"/>
    </w:p>
    <w:p w14:paraId="08C69B98">
      <w:pPr>
        <w:spacing w:line="360" w:lineRule="auto"/>
        <w:ind w:firstLine="420" w:firstLineChars="200"/>
        <w:rPr>
          <w:rFonts w:cs="宋体"/>
          <w:color w:val="auto"/>
          <w:sz w:val="21"/>
          <w:szCs w:val="21"/>
        </w:rPr>
      </w:pPr>
      <w:r>
        <w:rPr>
          <w:rFonts w:hint="eastAsia" w:cs="宋体"/>
          <w:color w:val="auto"/>
          <w:sz w:val="21"/>
          <w:szCs w:val="21"/>
        </w:rPr>
        <w:t>为在</w:t>
      </w:r>
      <w:r>
        <w:rPr>
          <w:rFonts w:hint="eastAsia" w:cs="宋体"/>
          <w:color w:val="auto"/>
          <w:sz w:val="21"/>
          <w:szCs w:val="21"/>
          <w:u w:val="single"/>
        </w:rPr>
        <w:t xml:space="preserve">            </w:t>
      </w:r>
      <w:r>
        <w:rPr>
          <w:rFonts w:hint="eastAsia" w:cs="宋体"/>
          <w:color w:val="auto"/>
          <w:sz w:val="21"/>
          <w:szCs w:val="21"/>
        </w:rPr>
        <w:t>（项目名称）施工合同的实施过程中创造安全、高效的施工环境，切实搞好本项目的安全管理工作，本项目发包人</w:t>
      </w:r>
      <w:r>
        <w:rPr>
          <w:rFonts w:hint="eastAsia" w:cs="宋体"/>
          <w:color w:val="auto"/>
          <w:sz w:val="21"/>
          <w:szCs w:val="21"/>
          <w:u w:val="single"/>
        </w:rPr>
        <w:t xml:space="preserve">       </w:t>
      </w:r>
      <w:r>
        <w:rPr>
          <w:rFonts w:hint="eastAsia" w:cs="宋体"/>
          <w:color w:val="auto"/>
          <w:sz w:val="21"/>
          <w:szCs w:val="21"/>
        </w:rPr>
        <w:t>（发包人名称，以下简称“发包人”）与承包人</w:t>
      </w:r>
      <w:r>
        <w:rPr>
          <w:rFonts w:hint="eastAsia" w:cs="宋体"/>
          <w:color w:val="auto"/>
          <w:sz w:val="21"/>
          <w:szCs w:val="21"/>
          <w:u w:val="single"/>
        </w:rPr>
        <w:t xml:space="preserve">         </w:t>
      </w:r>
      <w:r>
        <w:rPr>
          <w:rFonts w:hint="eastAsia" w:cs="宋体"/>
          <w:color w:val="auto"/>
          <w:sz w:val="21"/>
          <w:szCs w:val="21"/>
        </w:rPr>
        <w:t>（承包人名称，以下简称“承包人”）特此签订安全生产合同：</w:t>
      </w:r>
    </w:p>
    <w:p w14:paraId="276DE3A4">
      <w:pPr>
        <w:spacing w:line="360" w:lineRule="auto"/>
        <w:ind w:firstLine="420" w:firstLineChars="200"/>
        <w:rPr>
          <w:rFonts w:cs="宋体"/>
          <w:color w:val="auto"/>
          <w:sz w:val="21"/>
          <w:szCs w:val="21"/>
        </w:rPr>
      </w:pPr>
      <w:r>
        <w:rPr>
          <w:rFonts w:hint="eastAsia" w:cs="宋体"/>
          <w:color w:val="auto"/>
          <w:sz w:val="21"/>
          <w:szCs w:val="21"/>
        </w:rPr>
        <w:t>1.发包人职责</w:t>
      </w:r>
    </w:p>
    <w:p w14:paraId="26D89D6C">
      <w:pPr>
        <w:spacing w:line="360" w:lineRule="auto"/>
        <w:ind w:firstLine="420" w:firstLineChars="200"/>
        <w:rPr>
          <w:rFonts w:cs="宋体"/>
          <w:color w:val="auto"/>
          <w:sz w:val="21"/>
          <w:szCs w:val="21"/>
        </w:rPr>
      </w:pPr>
      <w:r>
        <w:rPr>
          <w:rFonts w:hint="eastAsia" w:cs="宋体"/>
          <w:color w:val="auto"/>
          <w:sz w:val="21"/>
          <w:szCs w:val="21"/>
        </w:rPr>
        <w:t>（1）严格遵守国家有关安全生产的法律法规，认真执行工程承包合同中的有关安全要求。</w:t>
      </w:r>
    </w:p>
    <w:p w14:paraId="58AAC282">
      <w:pPr>
        <w:spacing w:line="360" w:lineRule="auto"/>
        <w:ind w:firstLine="420" w:firstLineChars="200"/>
        <w:rPr>
          <w:rFonts w:cs="宋体"/>
          <w:color w:val="auto"/>
          <w:sz w:val="21"/>
          <w:szCs w:val="21"/>
        </w:rPr>
      </w:pPr>
      <w:r>
        <w:rPr>
          <w:rFonts w:hint="eastAsia" w:cs="宋体"/>
          <w:color w:val="auto"/>
          <w:sz w:val="21"/>
          <w:szCs w:val="21"/>
        </w:rPr>
        <w:t>（2）按照“安全第一、预防为主”和坚持“管生产必须管安全”的原则进行安全生产管理，做到生产与安全工作同时计划、布置、检查、总结和评比。</w:t>
      </w:r>
    </w:p>
    <w:p w14:paraId="6A70B10B">
      <w:pPr>
        <w:spacing w:line="360" w:lineRule="auto"/>
        <w:ind w:firstLine="420" w:firstLineChars="200"/>
        <w:rPr>
          <w:rFonts w:cs="宋体"/>
          <w:color w:val="auto"/>
          <w:sz w:val="21"/>
          <w:szCs w:val="21"/>
        </w:rPr>
      </w:pPr>
      <w:r>
        <w:rPr>
          <w:rFonts w:hint="eastAsia" w:cs="宋体"/>
          <w:color w:val="auto"/>
          <w:sz w:val="21"/>
          <w:szCs w:val="21"/>
        </w:rPr>
        <w:t>（3）重要的安全设施必须坚持与主体工程“三同时”的原则，即：同时设计、审批，同时施工，同时验收，投入使用。</w:t>
      </w:r>
    </w:p>
    <w:p w14:paraId="37933858">
      <w:pPr>
        <w:spacing w:line="360" w:lineRule="auto"/>
        <w:ind w:firstLine="420" w:firstLineChars="200"/>
        <w:rPr>
          <w:rFonts w:cs="宋体"/>
          <w:color w:val="auto"/>
          <w:sz w:val="21"/>
          <w:szCs w:val="21"/>
        </w:rPr>
      </w:pPr>
      <w:r>
        <w:rPr>
          <w:rFonts w:hint="eastAsia" w:cs="宋体"/>
          <w:color w:val="auto"/>
          <w:sz w:val="21"/>
          <w:szCs w:val="21"/>
        </w:rPr>
        <w:t>（4）定期召开安全生产调度会，及时传达中央及地方有关安全生产的精神。</w:t>
      </w:r>
    </w:p>
    <w:p w14:paraId="418DCE1D">
      <w:pPr>
        <w:spacing w:line="360" w:lineRule="auto"/>
        <w:ind w:firstLine="420" w:firstLineChars="200"/>
        <w:rPr>
          <w:rFonts w:cs="宋体"/>
          <w:color w:val="auto"/>
          <w:sz w:val="21"/>
          <w:szCs w:val="21"/>
        </w:rPr>
      </w:pPr>
      <w:r>
        <w:rPr>
          <w:rFonts w:hint="eastAsia" w:cs="宋体"/>
          <w:color w:val="auto"/>
          <w:sz w:val="21"/>
          <w:szCs w:val="21"/>
        </w:rPr>
        <w:t>（5）组织对承包人施工现场安全生产检查，监督承包人及时处理发现的各种安全隐患。</w:t>
      </w:r>
    </w:p>
    <w:p w14:paraId="269D3016">
      <w:pPr>
        <w:spacing w:line="360" w:lineRule="auto"/>
        <w:ind w:firstLine="420" w:firstLineChars="200"/>
        <w:rPr>
          <w:rFonts w:cs="宋体"/>
          <w:color w:val="auto"/>
          <w:sz w:val="21"/>
          <w:szCs w:val="21"/>
        </w:rPr>
      </w:pPr>
      <w:r>
        <w:rPr>
          <w:rFonts w:hint="eastAsia" w:cs="宋体"/>
          <w:color w:val="auto"/>
          <w:sz w:val="21"/>
          <w:szCs w:val="21"/>
        </w:rPr>
        <w:t>2.承包人职责</w:t>
      </w:r>
    </w:p>
    <w:p w14:paraId="1DE38657">
      <w:pPr>
        <w:spacing w:line="360" w:lineRule="auto"/>
        <w:ind w:firstLine="420" w:firstLineChars="200"/>
        <w:rPr>
          <w:rFonts w:cs="宋体"/>
          <w:color w:val="auto"/>
          <w:sz w:val="21"/>
          <w:szCs w:val="21"/>
        </w:rPr>
      </w:pPr>
      <w:r>
        <w:rPr>
          <w:rFonts w:hint="eastAsia" w:cs="宋体"/>
          <w:color w:val="auto"/>
          <w:sz w:val="21"/>
          <w:szCs w:val="21"/>
        </w:rPr>
        <w:t>（1）严格遵守《中华人民共和国安全生产法》《建设工程安全生产管理条例》等国家有关安全生产的法律法规、《建设项目安全设施“三同时”监督管理办法》等有关安全生产的规定。认真执行工程承包合同中的有关安全要求。</w:t>
      </w:r>
    </w:p>
    <w:p w14:paraId="4E2F5F63">
      <w:pPr>
        <w:spacing w:line="360" w:lineRule="auto"/>
        <w:ind w:firstLine="420" w:firstLineChars="200"/>
        <w:rPr>
          <w:rFonts w:cs="宋体"/>
          <w:color w:val="auto"/>
          <w:sz w:val="21"/>
          <w:szCs w:val="21"/>
        </w:rPr>
      </w:pPr>
      <w:r>
        <w:rPr>
          <w:rFonts w:hint="eastAsia" w:cs="宋体"/>
          <w:color w:val="auto"/>
          <w:sz w:val="21"/>
          <w:szCs w:val="21"/>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3D6A8221">
      <w:pPr>
        <w:spacing w:line="360" w:lineRule="auto"/>
        <w:ind w:firstLine="420" w:firstLineChars="200"/>
        <w:rPr>
          <w:rFonts w:cs="宋体"/>
          <w:color w:val="auto"/>
          <w:sz w:val="21"/>
          <w:szCs w:val="21"/>
        </w:rPr>
      </w:pPr>
      <w:r>
        <w:rPr>
          <w:rFonts w:hint="eastAsia" w:cs="宋体"/>
          <w:color w:val="auto"/>
          <w:sz w:val="21"/>
          <w:szCs w:val="21"/>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建设工程安全生产管理条例》及有关规定的配备专职安全生产管理人员，专职负责所有员工的安全和治安保卫工作及预防事故的发生。安全机构人员有权按有关规定发布指令，并采取保护性措施防止事故发生。</w:t>
      </w:r>
    </w:p>
    <w:p w14:paraId="421F2250">
      <w:pPr>
        <w:spacing w:line="360" w:lineRule="auto"/>
        <w:ind w:firstLine="420" w:firstLineChars="200"/>
        <w:rPr>
          <w:rFonts w:cs="宋体"/>
          <w:color w:val="auto"/>
          <w:sz w:val="21"/>
          <w:szCs w:val="21"/>
        </w:rPr>
      </w:pPr>
      <w:r>
        <w:rPr>
          <w:rFonts w:hint="eastAsia" w:cs="宋体"/>
          <w:color w:val="auto"/>
          <w:sz w:val="21"/>
          <w:szCs w:val="21"/>
        </w:rPr>
        <w:t>（4）承包人在任何时候都应采取各种合理的预防措施，防止其员工发生任何违法、违禁、暴力或妨碍治安的行为。</w:t>
      </w:r>
    </w:p>
    <w:p w14:paraId="41ED5616">
      <w:pPr>
        <w:spacing w:line="360" w:lineRule="auto"/>
        <w:ind w:firstLine="420" w:firstLineChars="200"/>
        <w:rPr>
          <w:rFonts w:cs="宋体"/>
          <w:color w:val="auto"/>
          <w:sz w:val="21"/>
          <w:szCs w:val="21"/>
        </w:rPr>
      </w:pPr>
      <w:r>
        <w:rPr>
          <w:rFonts w:hint="eastAsia" w:cs="宋体"/>
          <w:color w:val="auto"/>
          <w:sz w:val="21"/>
          <w:szCs w:val="21"/>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09892E92">
      <w:pPr>
        <w:spacing w:line="360" w:lineRule="auto"/>
        <w:ind w:firstLine="420" w:firstLineChars="200"/>
        <w:rPr>
          <w:rFonts w:cs="宋体"/>
          <w:color w:val="auto"/>
          <w:sz w:val="21"/>
          <w:szCs w:val="21"/>
        </w:rPr>
      </w:pPr>
      <w:r>
        <w:rPr>
          <w:rFonts w:hint="eastAsia" w:cs="宋体"/>
          <w:color w:val="auto"/>
          <w:sz w:val="21"/>
          <w:szCs w:val="21"/>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3DE2C009">
      <w:pPr>
        <w:spacing w:line="360" w:lineRule="auto"/>
        <w:ind w:firstLine="420" w:firstLineChars="200"/>
        <w:rPr>
          <w:rFonts w:cs="宋体"/>
          <w:color w:val="auto"/>
          <w:sz w:val="21"/>
          <w:szCs w:val="21"/>
        </w:rPr>
      </w:pPr>
      <w:r>
        <w:rPr>
          <w:rFonts w:hint="eastAsia" w:cs="宋体"/>
          <w:color w:val="auto"/>
          <w:sz w:val="21"/>
          <w:szCs w:val="21"/>
        </w:rPr>
        <w:t>（7）操作人员上岗，必须按规定穿戴防护用品。施工负责人和安全检查员应随时检查劳动防护用品的穿戴情况，不按规定穿戴防护用品的人员不得上岗。</w:t>
      </w:r>
    </w:p>
    <w:p w14:paraId="0F033F65">
      <w:pPr>
        <w:spacing w:line="360" w:lineRule="auto"/>
        <w:ind w:firstLine="420" w:firstLineChars="200"/>
        <w:rPr>
          <w:rFonts w:cs="宋体"/>
          <w:color w:val="auto"/>
          <w:sz w:val="21"/>
          <w:szCs w:val="21"/>
        </w:rPr>
      </w:pPr>
      <w:r>
        <w:rPr>
          <w:rFonts w:hint="eastAsia" w:cs="宋体"/>
          <w:color w:val="auto"/>
          <w:sz w:val="21"/>
          <w:szCs w:val="21"/>
        </w:rPr>
        <w:t>（8）所有施工机具设备和高空作业的设备均应定期检查，并有安全员的签字记录，保证其经常处于完好状态；不合格的机具、设备和劳动保护用品严禁使用：</w:t>
      </w:r>
    </w:p>
    <w:p w14:paraId="0CF2E629">
      <w:pPr>
        <w:spacing w:line="360" w:lineRule="auto"/>
        <w:ind w:firstLine="420" w:firstLineChars="200"/>
        <w:rPr>
          <w:rFonts w:cs="宋体"/>
          <w:color w:val="auto"/>
          <w:sz w:val="21"/>
          <w:szCs w:val="21"/>
        </w:rPr>
      </w:pPr>
      <w:r>
        <w:rPr>
          <w:rFonts w:hint="eastAsia" w:cs="宋体"/>
          <w:color w:val="auto"/>
          <w:sz w:val="21"/>
          <w:szCs w:val="21"/>
        </w:rPr>
        <w:t>（9）施工中采用新技术、新工艺、新设备、新材料时，必须制定相应的安全技术措施，施工现场必须具有相关的安全标志牌。</w:t>
      </w:r>
    </w:p>
    <w:p w14:paraId="148E2E09">
      <w:pPr>
        <w:spacing w:line="360" w:lineRule="auto"/>
        <w:ind w:firstLine="420" w:firstLineChars="200"/>
        <w:rPr>
          <w:rFonts w:cs="宋体"/>
          <w:color w:val="auto"/>
          <w:sz w:val="21"/>
          <w:szCs w:val="21"/>
        </w:rPr>
      </w:pPr>
      <w:r>
        <w:rPr>
          <w:rFonts w:hint="eastAsia" w:cs="宋体"/>
          <w:color w:val="auto"/>
          <w:sz w:val="21"/>
          <w:szCs w:val="21"/>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24CFEA83">
      <w:pPr>
        <w:spacing w:line="360" w:lineRule="auto"/>
        <w:ind w:firstLine="420" w:firstLineChars="200"/>
        <w:rPr>
          <w:rFonts w:cs="宋体"/>
          <w:color w:val="auto"/>
          <w:sz w:val="21"/>
          <w:szCs w:val="21"/>
        </w:rPr>
      </w:pPr>
      <w:r>
        <w:rPr>
          <w:rFonts w:hint="eastAsia" w:cs="宋体"/>
          <w:color w:val="auto"/>
          <w:sz w:val="21"/>
          <w:szCs w:val="21"/>
        </w:rPr>
        <w:t>（11）安全生产费用按照《建设工程安全生产管理条例》的相关规定使用和管理。</w:t>
      </w:r>
    </w:p>
    <w:p w14:paraId="65F4BDE6">
      <w:pPr>
        <w:spacing w:line="360" w:lineRule="auto"/>
        <w:ind w:firstLine="420" w:firstLineChars="200"/>
        <w:rPr>
          <w:rFonts w:cs="宋体"/>
          <w:color w:val="auto"/>
          <w:sz w:val="21"/>
          <w:szCs w:val="21"/>
        </w:rPr>
      </w:pPr>
      <w:r>
        <w:rPr>
          <w:rFonts w:hint="eastAsia" w:cs="宋体"/>
          <w:color w:val="auto"/>
          <w:sz w:val="21"/>
          <w:szCs w:val="21"/>
        </w:rPr>
        <w:t>3.违约责任</w:t>
      </w:r>
    </w:p>
    <w:p w14:paraId="3AFE4143">
      <w:pPr>
        <w:spacing w:line="360" w:lineRule="auto"/>
        <w:ind w:firstLine="420" w:firstLineChars="200"/>
        <w:rPr>
          <w:rFonts w:cs="宋体"/>
          <w:color w:val="auto"/>
          <w:sz w:val="21"/>
          <w:szCs w:val="21"/>
        </w:rPr>
      </w:pPr>
      <w:r>
        <w:rPr>
          <w:rFonts w:hint="eastAsia" w:cs="宋体"/>
          <w:color w:val="auto"/>
          <w:sz w:val="21"/>
          <w:szCs w:val="21"/>
        </w:rPr>
        <w:t>如因发包人或承包人违约造成安全事故，将依法追究责任。</w:t>
      </w:r>
    </w:p>
    <w:p w14:paraId="41A51679">
      <w:pPr>
        <w:spacing w:line="360" w:lineRule="auto"/>
        <w:ind w:firstLine="420" w:firstLineChars="200"/>
        <w:rPr>
          <w:rFonts w:cs="宋体"/>
          <w:color w:val="auto"/>
          <w:sz w:val="21"/>
          <w:szCs w:val="21"/>
        </w:rPr>
      </w:pPr>
      <w:r>
        <w:rPr>
          <w:rFonts w:hint="eastAsia" w:cs="宋体"/>
          <w:color w:val="auto"/>
          <w:sz w:val="21"/>
          <w:szCs w:val="21"/>
        </w:rPr>
        <w:t>4.本合同由双方法定代表人或其授权的代理人签署并加盖单位章后生效，全部工程竣工验收后失效。</w:t>
      </w:r>
    </w:p>
    <w:p w14:paraId="6B1A6AAD">
      <w:pPr>
        <w:spacing w:line="360" w:lineRule="auto"/>
        <w:ind w:firstLine="420" w:firstLineChars="200"/>
        <w:rPr>
          <w:rFonts w:cs="宋体"/>
          <w:color w:val="auto"/>
          <w:sz w:val="21"/>
          <w:szCs w:val="21"/>
        </w:rPr>
      </w:pPr>
      <w:r>
        <w:rPr>
          <w:rFonts w:hint="eastAsia" w:cs="宋体"/>
          <w:color w:val="auto"/>
          <w:sz w:val="21"/>
          <w:szCs w:val="21"/>
        </w:rPr>
        <w:t>5.本合同正本—式</w:t>
      </w:r>
      <w:r>
        <w:rPr>
          <w:rFonts w:hint="eastAsia" w:cs="宋体"/>
          <w:color w:val="auto"/>
          <w:sz w:val="21"/>
          <w:szCs w:val="21"/>
          <w:u w:val="single"/>
        </w:rPr>
        <w:t xml:space="preserve">   </w:t>
      </w:r>
      <w:r>
        <w:rPr>
          <w:rFonts w:hint="eastAsia" w:cs="宋体"/>
          <w:color w:val="auto"/>
          <w:sz w:val="21"/>
          <w:szCs w:val="21"/>
        </w:rPr>
        <w:t>份，副本</w:t>
      </w:r>
      <w:r>
        <w:rPr>
          <w:rFonts w:hint="eastAsia" w:cs="宋体"/>
          <w:color w:val="auto"/>
          <w:sz w:val="21"/>
          <w:szCs w:val="21"/>
          <w:u w:val="single"/>
        </w:rPr>
        <w:t xml:space="preserve">  </w:t>
      </w:r>
      <w:r>
        <w:rPr>
          <w:rFonts w:hint="eastAsia" w:cs="宋体"/>
          <w:color w:val="auto"/>
          <w:sz w:val="21"/>
          <w:szCs w:val="21"/>
        </w:rPr>
        <w:t>份，合同双方各执正本—份，副本</w:t>
      </w:r>
      <w:r>
        <w:rPr>
          <w:rFonts w:hint="eastAsia" w:cs="宋体"/>
          <w:color w:val="auto"/>
          <w:sz w:val="21"/>
          <w:szCs w:val="21"/>
          <w:u w:val="single"/>
        </w:rPr>
        <w:t xml:space="preserve">  </w:t>
      </w:r>
      <w:r>
        <w:rPr>
          <w:rFonts w:hint="eastAsia" w:cs="宋体"/>
          <w:color w:val="auto"/>
          <w:sz w:val="21"/>
          <w:szCs w:val="21"/>
        </w:rPr>
        <w:t>份，当正本与副本的内容不一致时，以正本为准。</w:t>
      </w:r>
    </w:p>
    <w:p w14:paraId="71365D3D">
      <w:pPr>
        <w:spacing w:line="360" w:lineRule="auto"/>
        <w:rPr>
          <w:rFonts w:cs="宋体"/>
          <w:color w:val="auto"/>
          <w:sz w:val="21"/>
          <w:szCs w:val="21"/>
        </w:rPr>
      </w:pPr>
    </w:p>
    <w:p w14:paraId="6020F25A">
      <w:pPr>
        <w:spacing w:line="360" w:lineRule="auto"/>
        <w:rPr>
          <w:rFonts w:cs="宋体"/>
          <w:color w:val="auto"/>
          <w:sz w:val="21"/>
          <w:szCs w:val="21"/>
        </w:rPr>
      </w:pPr>
    </w:p>
    <w:p w14:paraId="56793059">
      <w:pPr>
        <w:spacing w:line="360" w:lineRule="auto"/>
        <w:rPr>
          <w:rFonts w:cs="宋体"/>
          <w:color w:val="auto"/>
          <w:sz w:val="21"/>
          <w:szCs w:val="21"/>
        </w:rPr>
      </w:pPr>
      <w:r>
        <w:rPr>
          <w:rFonts w:hint="eastAsia" w:cs="宋体"/>
          <w:color w:val="auto"/>
          <w:sz w:val="21"/>
          <w:szCs w:val="21"/>
        </w:rPr>
        <w:t>发包人：</w:t>
      </w:r>
      <w:r>
        <w:rPr>
          <w:rFonts w:hint="eastAsia" w:cs="宋体"/>
          <w:color w:val="auto"/>
          <w:sz w:val="21"/>
          <w:szCs w:val="21"/>
          <w:u w:val="single"/>
        </w:rPr>
        <w:t xml:space="preserve">            </w:t>
      </w:r>
      <w:r>
        <w:rPr>
          <w:rFonts w:hint="eastAsia" w:cs="宋体"/>
          <w:color w:val="auto"/>
          <w:sz w:val="21"/>
          <w:szCs w:val="21"/>
        </w:rPr>
        <w:t>（盖单位章）          承包人：</w:t>
      </w:r>
      <w:r>
        <w:rPr>
          <w:rFonts w:hint="eastAsia" w:cs="宋体"/>
          <w:color w:val="auto"/>
          <w:sz w:val="21"/>
          <w:szCs w:val="21"/>
          <w:u w:val="single"/>
        </w:rPr>
        <w:t xml:space="preserve">        </w:t>
      </w:r>
      <w:r>
        <w:rPr>
          <w:rFonts w:hint="eastAsia" w:cs="宋体"/>
          <w:color w:val="auto"/>
          <w:sz w:val="21"/>
          <w:szCs w:val="21"/>
        </w:rPr>
        <w:t>（盖单位章）</w:t>
      </w:r>
    </w:p>
    <w:p w14:paraId="60820EA1">
      <w:pPr>
        <w:spacing w:line="360" w:lineRule="auto"/>
        <w:rPr>
          <w:rFonts w:cs="宋体"/>
          <w:color w:val="auto"/>
          <w:sz w:val="21"/>
          <w:szCs w:val="21"/>
        </w:rPr>
      </w:pPr>
    </w:p>
    <w:p w14:paraId="293E1FDB">
      <w:pPr>
        <w:spacing w:line="360" w:lineRule="auto"/>
        <w:rPr>
          <w:rFonts w:cs="宋体"/>
          <w:color w:val="auto"/>
          <w:sz w:val="21"/>
          <w:szCs w:val="21"/>
        </w:rPr>
      </w:pPr>
      <w:r>
        <w:rPr>
          <w:rFonts w:hint="eastAsia" w:cs="宋体"/>
          <w:color w:val="auto"/>
          <w:sz w:val="21"/>
          <w:szCs w:val="21"/>
        </w:rPr>
        <w:t>法定代表人或其委托代理人：</w:t>
      </w:r>
      <w:r>
        <w:rPr>
          <w:rFonts w:hint="eastAsia" w:cs="宋体"/>
          <w:color w:val="auto"/>
          <w:sz w:val="21"/>
          <w:szCs w:val="21"/>
          <w:u w:val="single"/>
        </w:rPr>
        <w:t xml:space="preserve">  </w:t>
      </w:r>
      <w:r>
        <w:rPr>
          <w:rFonts w:hint="eastAsia" w:cs="宋体"/>
          <w:color w:val="auto"/>
          <w:sz w:val="21"/>
          <w:szCs w:val="21"/>
        </w:rPr>
        <w:t>（签字）     法定代表人或其委托代理人：</w:t>
      </w:r>
      <w:r>
        <w:rPr>
          <w:rFonts w:hint="eastAsia" w:cs="宋体"/>
          <w:color w:val="auto"/>
          <w:sz w:val="21"/>
          <w:szCs w:val="21"/>
          <w:u w:val="single"/>
        </w:rPr>
        <w:t xml:space="preserve">   </w:t>
      </w:r>
      <w:r>
        <w:rPr>
          <w:rFonts w:hint="eastAsia" w:cs="宋体"/>
          <w:color w:val="auto"/>
          <w:sz w:val="21"/>
          <w:szCs w:val="21"/>
        </w:rPr>
        <w:t>（签字）</w:t>
      </w:r>
    </w:p>
    <w:p w14:paraId="3C4DA5C2">
      <w:pPr>
        <w:spacing w:line="360" w:lineRule="auto"/>
        <w:rPr>
          <w:rFonts w:cs="宋体"/>
          <w:color w:val="auto"/>
          <w:sz w:val="21"/>
          <w:szCs w:val="21"/>
        </w:rPr>
      </w:pPr>
    </w:p>
    <w:p w14:paraId="38AFF82B">
      <w:pPr>
        <w:spacing w:line="360" w:lineRule="auto"/>
        <w:ind w:firstLine="840"/>
        <w:rPr>
          <w:rFonts w:cs="宋体"/>
          <w:color w:val="auto"/>
          <w:sz w:val="21"/>
          <w:szCs w:val="21"/>
        </w:rPr>
      </w:pPr>
      <w:r>
        <w:rPr>
          <w:rFonts w:hint="eastAsia" w:cs="宋体"/>
          <w:color w:val="auto"/>
          <w:sz w:val="21"/>
          <w:szCs w:val="21"/>
          <w:u w:val="single"/>
        </w:rPr>
        <w:t xml:space="preserve">      </w:t>
      </w:r>
      <w:r>
        <w:rPr>
          <w:rFonts w:hint="eastAsia" w:cs="宋体"/>
          <w:color w:val="auto"/>
          <w:sz w:val="21"/>
          <w:szCs w:val="21"/>
        </w:rPr>
        <w:t>年</w:t>
      </w:r>
      <w:r>
        <w:rPr>
          <w:rFonts w:hint="eastAsia" w:cs="宋体"/>
          <w:color w:val="auto"/>
          <w:sz w:val="21"/>
          <w:szCs w:val="21"/>
          <w:u w:val="single"/>
        </w:rPr>
        <w:t xml:space="preserve">    </w:t>
      </w:r>
      <w:r>
        <w:rPr>
          <w:rFonts w:hint="eastAsia" w:cs="宋体"/>
          <w:color w:val="auto"/>
          <w:sz w:val="21"/>
          <w:szCs w:val="21"/>
        </w:rPr>
        <w:t>月</w:t>
      </w:r>
      <w:r>
        <w:rPr>
          <w:rFonts w:hint="eastAsia" w:cs="宋体"/>
          <w:color w:val="auto"/>
          <w:sz w:val="21"/>
          <w:szCs w:val="21"/>
          <w:u w:val="single"/>
        </w:rPr>
        <w:t xml:space="preserve">    </w:t>
      </w:r>
      <w:r>
        <w:rPr>
          <w:rFonts w:hint="eastAsia" w:cs="宋体"/>
          <w:color w:val="auto"/>
          <w:sz w:val="21"/>
          <w:szCs w:val="21"/>
        </w:rPr>
        <w:t xml:space="preserve">日                </w:t>
      </w:r>
      <w:r>
        <w:rPr>
          <w:rFonts w:hint="eastAsia" w:cs="宋体"/>
          <w:color w:val="auto"/>
          <w:sz w:val="21"/>
          <w:szCs w:val="21"/>
          <w:u w:val="single"/>
        </w:rPr>
        <w:t xml:space="preserve">      </w:t>
      </w:r>
      <w:r>
        <w:rPr>
          <w:rFonts w:hint="eastAsia" w:cs="宋体"/>
          <w:color w:val="auto"/>
          <w:sz w:val="21"/>
          <w:szCs w:val="21"/>
        </w:rPr>
        <w:t>年</w:t>
      </w:r>
      <w:r>
        <w:rPr>
          <w:rFonts w:hint="eastAsia" w:cs="宋体"/>
          <w:color w:val="auto"/>
          <w:sz w:val="21"/>
          <w:szCs w:val="21"/>
          <w:u w:val="single"/>
        </w:rPr>
        <w:t xml:space="preserve">    </w:t>
      </w:r>
      <w:r>
        <w:rPr>
          <w:rFonts w:hint="eastAsia" w:cs="宋体"/>
          <w:color w:val="auto"/>
          <w:sz w:val="21"/>
          <w:szCs w:val="21"/>
        </w:rPr>
        <w:t>月</w:t>
      </w:r>
      <w:r>
        <w:rPr>
          <w:rFonts w:hint="eastAsia" w:cs="宋体"/>
          <w:color w:val="auto"/>
          <w:sz w:val="21"/>
          <w:szCs w:val="21"/>
          <w:u w:val="single"/>
        </w:rPr>
        <w:t xml:space="preserve">    </w:t>
      </w:r>
      <w:r>
        <w:rPr>
          <w:rFonts w:hint="eastAsia" w:cs="宋体"/>
          <w:color w:val="auto"/>
          <w:sz w:val="21"/>
          <w:szCs w:val="21"/>
        </w:rPr>
        <w:t>日</w:t>
      </w:r>
    </w:p>
    <w:p w14:paraId="74683A06">
      <w:pPr>
        <w:spacing w:before="312" w:beforeLines="100" w:after="312" w:afterLines="100"/>
        <w:outlineLvl w:val="2"/>
        <w:rPr>
          <w:rFonts w:ascii="Times New Roman" w:eastAsia="黑体"/>
          <w:color w:val="auto"/>
          <w:szCs w:val="24"/>
        </w:rPr>
      </w:pPr>
      <w:r>
        <w:rPr>
          <w:rFonts w:hint="eastAsia" w:cs="宋体"/>
          <w:bCs/>
          <w:color w:val="auto"/>
          <w:kern w:val="44"/>
          <w:sz w:val="21"/>
          <w:szCs w:val="21"/>
        </w:rPr>
        <w:br w:type="page"/>
      </w:r>
      <w:bookmarkStart w:id="698" w:name="_Toc128950249"/>
      <w:r>
        <w:rPr>
          <w:rFonts w:hint="eastAsia" w:ascii="Times New Roman" w:eastAsia="黑体"/>
          <w:color w:val="auto"/>
          <w:szCs w:val="24"/>
        </w:rPr>
        <w:t>附件14：项目经理质量终身责任制承诺</w:t>
      </w:r>
      <w:bookmarkEnd w:id="698"/>
    </w:p>
    <w:p w14:paraId="15F79302">
      <w:pPr>
        <w:spacing w:before="156" w:beforeLines="50" w:after="156" w:afterLines="50" w:line="360" w:lineRule="auto"/>
        <w:jc w:val="center"/>
        <w:rPr>
          <w:rFonts w:cs="宋体"/>
          <w:b/>
          <w:color w:val="auto"/>
          <w:sz w:val="32"/>
          <w:szCs w:val="32"/>
        </w:rPr>
      </w:pPr>
      <w:bookmarkStart w:id="699" w:name="_Toc14540"/>
      <w:bookmarkStart w:id="700" w:name="_Toc128950250"/>
      <w:bookmarkStart w:id="701" w:name="_Toc19417"/>
      <w:r>
        <w:rPr>
          <w:rFonts w:hint="eastAsia" w:cs="宋体"/>
          <w:b/>
          <w:color w:val="auto"/>
          <w:sz w:val="32"/>
          <w:szCs w:val="32"/>
        </w:rPr>
        <w:t>项目经理质量终身责任制承诺</w:t>
      </w:r>
      <w:bookmarkEnd w:id="699"/>
      <w:bookmarkEnd w:id="700"/>
      <w:bookmarkEnd w:id="701"/>
    </w:p>
    <w:p w14:paraId="60665750">
      <w:pPr>
        <w:spacing w:line="360" w:lineRule="auto"/>
        <w:rPr>
          <w:rFonts w:cs="宋体"/>
          <w:bCs/>
          <w:color w:val="auto"/>
          <w:sz w:val="21"/>
          <w:szCs w:val="21"/>
        </w:rPr>
      </w:pPr>
      <w:r>
        <w:rPr>
          <w:rFonts w:hint="eastAsia" w:cs="宋体"/>
          <w:bCs/>
          <w:color w:val="auto"/>
          <w:sz w:val="21"/>
          <w:szCs w:val="21"/>
        </w:rPr>
        <w:t>致：</w:t>
      </w:r>
      <w:r>
        <w:rPr>
          <w:rFonts w:hint="eastAsia" w:cs="宋体"/>
          <w:bCs/>
          <w:color w:val="auto"/>
          <w:sz w:val="21"/>
          <w:szCs w:val="21"/>
          <w:u w:val="single"/>
        </w:rPr>
        <w:t>（采购人）</w:t>
      </w:r>
    </w:p>
    <w:p w14:paraId="09B66897">
      <w:pPr>
        <w:spacing w:line="360" w:lineRule="auto"/>
        <w:ind w:firstLine="420" w:firstLineChars="200"/>
        <w:rPr>
          <w:rFonts w:cs="宋体"/>
          <w:bCs/>
          <w:color w:val="auto"/>
          <w:sz w:val="21"/>
          <w:szCs w:val="21"/>
        </w:rPr>
      </w:pPr>
      <w:r>
        <w:rPr>
          <w:rFonts w:hint="eastAsia" w:cs="宋体"/>
          <w:bCs/>
          <w:color w:val="auto"/>
          <w:sz w:val="21"/>
          <w:szCs w:val="21"/>
        </w:rPr>
        <w:t>本人作为施工项目经理，承担相关质量终身责任，现郑重承诺如下：</w:t>
      </w:r>
    </w:p>
    <w:p w14:paraId="5B36AB65">
      <w:pPr>
        <w:spacing w:line="360" w:lineRule="auto"/>
        <w:ind w:firstLine="420" w:firstLineChars="200"/>
        <w:rPr>
          <w:rFonts w:cs="宋体"/>
          <w:bCs/>
          <w:color w:val="auto"/>
          <w:sz w:val="21"/>
          <w:szCs w:val="21"/>
        </w:rPr>
      </w:pPr>
      <w:r>
        <w:rPr>
          <w:rFonts w:hint="eastAsia" w:cs="宋体"/>
          <w:bCs/>
          <w:color w:val="auto"/>
          <w:sz w:val="21"/>
          <w:szCs w:val="21"/>
        </w:rPr>
        <w:t>一、在取得施工许可证后进行施工。</w:t>
      </w:r>
    </w:p>
    <w:p w14:paraId="4404A957">
      <w:pPr>
        <w:spacing w:line="360" w:lineRule="auto"/>
        <w:ind w:firstLine="420" w:firstLineChars="200"/>
        <w:rPr>
          <w:rFonts w:cs="宋体"/>
          <w:bCs/>
          <w:color w:val="auto"/>
          <w:sz w:val="21"/>
          <w:szCs w:val="21"/>
        </w:rPr>
      </w:pPr>
      <w:r>
        <w:rPr>
          <w:rFonts w:hint="eastAsia" w:cs="宋体"/>
          <w:bCs/>
          <w:color w:val="auto"/>
          <w:sz w:val="21"/>
          <w:szCs w:val="21"/>
        </w:rPr>
        <w:t>二、严格执行施工规范及标准。</w:t>
      </w:r>
    </w:p>
    <w:p w14:paraId="6DD55D85">
      <w:pPr>
        <w:spacing w:line="360" w:lineRule="auto"/>
        <w:ind w:firstLine="420" w:firstLineChars="200"/>
        <w:rPr>
          <w:rFonts w:cs="宋体"/>
          <w:bCs/>
          <w:color w:val="auto"/>
          <w:sz w:val="21"/>
          <w:szCs w:val="21"/>
        </w:rPr>
      </w:pPr>
      <w:r>
        <w:rPr>
          <w:rFonts w:hint="eastAsia" w:cs="宋体"/>
          <w:bCs/>
          <w:color w:val="auto"/>
          <w:sz w:val="21"/>
          <w:szCs w:val="21"/>
        </w:rPr>
        <w:t>三、严格按规定配备施工项目部关键岗位人员，并确保所有人员到岗履职。</w:t>
      </w:r>
    </w:p>
    <w:p w14:paraId="17E649FF">
      <w:pPr>
        <w:spacing w:line="360" w:lineRule="auto"/>
        <w:ind w:firstLine="420" w:firstLineChars="200"/>
        <w:rPr>
          <w:rFonts w:cs="宋体"/>
          <w:bCs/>
          <w:color w:val="auto"/>
          <w:sz w:val="21"/>
          <w:szCs w:val="21"/>
        </w:rPr>
      </w:pPr>
      <w:r>
        <w:rPr>
          <w:rFonts w:hint="eastAsia" w:cs="宋体"/>
          <w:bCs/>
          <w:color w:val="auto"/>
          <w:sz w:val="21"/>
          <w:szCs w:val="21"/>
        </w:rPr>
        <w:t>四、严格按照经施工图审查机构审查合格的工程设计文件及合同约定的质量标准精心组织施工。</w:t>
      </w:r>
    </w:p>
    <w:p w14:paraId="420EFAAD">
      <w:pPr>
        <w:spacing w:line="360" w:lineRule="auto"/>
        <w:ind w:firstLine="420" w:firstLineChars="200"/>
        <w:rPr>
          <w:rFonts w:cs="宋体"/>
          <w:bCs/>
          <w:color w:val="auto"/>
          <w:sz w:val="21"/>
          <w:szCs w:val="21"/>
        </w:rPr>
      </w:pPr>
      <w:r>
        <w:rPr>
          <w:rFonts w:hint="eastAsia" w:cs="宋体"/>
          <w:bCs/>
          <w:color w:val="auto"/>
          <w:sz w:val="21"/>
          <w:szCs w:val="21"/>
        </w:rPr>
        <w:t>五、施工中采用合格的建筑材料、建筑构配件和设备等，并严格按规定执行见证取样制度。</w:t>
      </w:r>
    </w:p>
    <w:p w14:paraId="1910646A">
      <w:pPr>
        <w:spacing w:line="360" w:lineRule="auto"/>
        <w:ind w:firstLine="420" w:firstLineChars="200"/>
        <w:rPr>
          <w:rFonts w:cs="宋体"/>
          <w:bCs/>
          <w:color w:val="auto"/>
          <w:sz w:val="21"/>
          <w:szCs w:val="21"/>
        </w:rPr>
      </w:pPr>
      <w:r>
        <w:rPr>
          <w:rFonts w:hint="eastAsia" w:cs="宋体"/>
          <w:bCs/>
          <w:color w:val="auto"/>
          <w:sz w:val="21"/>
          <w:szCs w:val="21"/>
        </w:rPr>
        <w:t>六、建立、健全质量检查、验收制度，严格工序管理，做好隐蔽工程质量的检查和记录。</w:t>
      </w:r>
    </w:p>
    <w:p w14:paraId="16F112FC">
      <w:pPr>
        <w:spacing w:line="360" w:lineRule="auto"/>
        <w:ind w:firstLine="420" w:firstLineChars="200"/>
        <w:rPr>
          <w:rFonts w:cs="宋体"/>
          <w:bCs/>
          <w:color w:val="auto"/>
          <w:sz w:val="21"/>
          <w:szCs w:val="21"/>
        </w:rPr>
      </w:pPr>
      <w:r>
        <w:rPr>
          <w:rFonts w:hint="eastAsia" w:cs="宋体"/>
          <w:bCs/>
          <w:color w:val="auto"/>
          <w:sz w:val="21"/>
          <w:szCs w:val="21"/>
        </w:rPr>
        <w:t>七、对施工中出现的质量问题，及时进行整改。严格依法依规履行义务。</w:t>
      </w:r>
    </w:p>
    <w:p w14:paraId="4A4FDD2A">
      <w:pPr>
        <w:spacing w:line="360" w:lineRule="auto"/>
        <w:ind w:firstLine="420" w:firstLineChars="200"/>
        <w:rPr>
          <w:rFonts w:cs="宋体"/>
          <w:bCs/>
          <w:color w:val="auto"/>
          <w:sz w:val="21"/>
          <w:szCs w:val="21"/>
        </w:rPr>
      </w:pPr>
      <w:r>
        <w:rPr>
          <w:rFonts w:hint="eastAsia" w:cs="宋体"/>
          <w:bCs/>
          <w:color w:val="auto"/>
          <w:sz w:val="21"/>
          <w:szCs w:val="21"/>
        </w:rPr>
        <w:t>八、履行相关工程质量检查、验收及事故处理等职责。</w:t>
      </w:r>
    </w:p>
    <w:p w14:paraId="21FD2A01">
      <w:pPr>
        <w:spacing w:line="360" w:lineRule="auto"/>
        <w:ind w:firstLine="420" w:firstLineChars="200"/>
        <w:rPr>
          <w:rFonts w:cs="宋体"/>
          <w:bCs/>
          <w:color w:val="auto"/>
          <w:sz w:val="21"/>
          <w:szCs w:val="21"/>
        </w:rPr>
      </w:pPr>
      <w:r>
        <w:rPr>
          <w:rFonts w:hint="eastAsia" w:cs="宋体"/>
          <w:bCs/>
          <w:color w:val="auto"/>
          <w:sz w:val="21"/>
          <w:szCs w:val="21"/>
        </w:rPr>
        <w:t>九、履行其他法律法规规定的职责。</w:t>
      </w:r>
    </w:p>
    <w:p w14:paraId="671F2D9E">
      <w:pPr>
        <w:spacing w:line="360" w:lineRule="auto"/>
        <w:ind w:left="342" w:leftChars="171" w:firstLine="630" w:firstLineChars="300"/>
        <w:rPr>
          <w:rFonts w:cs="宋体"/>
          <w:bCs/>
          <w:color w:val="auto"/>
          <w:sz w:val="21"/>
          <w:szCs w:val="21"/>
        </w:rPr>
      </w:pPr>
    </w:p>
    <w:p w14:paraId="71EB1BE9">
      <w:pPr>
        <w:spacing w:line="360" w:lineRule="auto"/>
        <w:ind w:left="342" w:leftChars="171" w:firstLine="630" w:firstLineChars="300"/>
        <w:rPr>
          <w:rFonts w:cs="宋体"/>
          <w:bCs/>
          <w:color w:val="auto"/>
          <w:sz w:val="21"/>
          <w:szCs w:val="21"/>
        </w:rPr>
      </w:pPr>
    </w:p>
    <w:p w14:paraId="2F435930">
      <w:pPr>
        <w:spacing w:line="360" w:lineRule="auto"/>
        <w:ind w:left="342" w:leftChars="171" w:firstLine="630" w:firstLineChars="300"/>
        <w:rPr>
          <w:rFonts w:cs="宋体"/>
          <w:bCs/>
          <w:color w:val="auto"/>
          <w:sz w:val="21"/>
          <w:szCs w:val="21"/>
        </w:rPr>
      </w:pPr>
      <w:r>
        <w:rPr>
          <w:rFonts w:hint="eastAsia" w:cs="宋体"/>
          <w:bCs/>
          <w:color w:val="auto"/>
          <w:sz w:val="21"/>
          <w:szCs w:val="21"/>
        </w:rPr>
        <w:t>项目经理：</w:t>
      </w:r>
      <w:r>
        <w:rPr>
          <w:rFonts w:hint="eastAsia" w:cs="宋体"/>
          <w:bCs/>
          <w:color w:val="auto"/>
          <w:sz w:val="21"/>
          <w:szCs w:val="21"/>
          <w:u w:val="single"/>
        </w:rPr>
        <w:t xml:space="preserve">                   </w:t>
      </w:r>
      <w:r>
        <w:rPr>
          <w:rFonts w:hint="eastAsia" w:cs="宋体"/>
          <w:bCs/>
          <w:color w:val="auto"/>
          <w:sz w:val="21"/>
          <w:szCs w:val="21"/>
        </w:rPr>
        <w:t>（签字）</w:t>
      </w:r>
    </w:p>
    <w:p w14:paraId="1EB2ABF8">
      <w:pPr>
        <w:spacing w:line="360" w:lineRule="auto"/>
        <w:ind w:left="342" w:leftChars="171" w:firstLine="630" w:firstLineChars="300"/>
        <w:rPr>
          <w:rFonts w:cs="宋体"/>
          <w:bCs/>
          <w:color w:val="auto"/>
          <w:sz w:val="21"/>
          <w:szCs w:val="21"/>
        </w:rPr>
      </w:pPr>
      <w:r>
        <w:rPr>
          <w:rFonts w:hint="eastAsia" w:cs="宋体"/>
          <w:bCs/>
          <w:color w:val="auto"/>
          <w:sz w:val="21"/>
          <w:szCs w:val="21"/>
        </w:rPr>
        <w:t>日期：_____年____月____日</w:t>
      </w:r>
    </w:p>
    <w:p w14:paraId="0E061A71">
      <w:pPr>
        <w:pStyle w:val="22"/>
        <w:rPr>
          <w:rFonts w:ascii="宋体" w:hAnsi="宋体" w:eastAsia="宋体" w:cs="宋体"/>
          <w:bCs/>
          <w:color w:val="auto"/>
          <w:sz w:val="21"/>
          <w:szCs w:val="21"/>
        </w:rPr>
      </w:pPr>
    </w:p>
    <w:p w14:paraId="439CB289">
      <w:pPr>
        <w:widowControl/>
        <w:jc w:val="left"/>
        <w:rPr>
          <w:b/>
          <w:color w:val="auto"/>
          <w:sz w:val="24"/>
          <w:highlight w:val="none"/>
        </w:rPr>
      </w:pPr>
      <w:r>
        <w:rPr>
          <w:b/>
          <w:color w:val="auto"/>
          <w:sz w:val="24"/>
          <w:highlight w:val="none"/>
        </w:rPr>
        <w:br w:type="page"/>
      </w:r>
    </w:p>
    <w:p w14:paraId="0F4A5968">
      <w:pPr>
        <w:spacing w:line="360" w:lineRule="auto"/>
        <w:jc w:val="center"/>
        <w:outlineLvl w:val="0"/>
        <w:rPr>
          <w:rFonts w:asciiTheme="minorEastAsia" w:hAnsiTheme="minorEastAsia" w:eastAsiaTheme="minorEastAsia"/>
          <w:b/>
          <w:color w:val="auto"/>
          <w:sz w:val="28"/>
          <w:highlight w:val="none"/>
        </w:rPr>
      </w:pPr>
      <w:bookmarkStart w:id="702" w:name="_Toc6303"/>
      <w:r>
        <w:rPr>
          <w:rFonts w:hint="eastAsia" w:asciiTheme="minorEastAsia" w:hAnsiTheme="minorEastAsia" w:eastAsiaTheme="minorEastAsia"/>
          <w:b/>
          <w:color w:val="auto"/>
          <w:sz w:val="28"/>
          <w:highlight w:val="none"/>
        </w:rPr>
        <w:t>第六章  响应文件格式</w:t>
      </w:r>
      <w:bookmarkEnd w:id="702"/>
    </w:p>
    <w:p w14:paraId="3350244C">
      <w:pPr>
        <w:spacing w:line="900" w:lineRule="exact"/>
        <w:jc w:val="center"/>
        <w:rPr>
          <w:rFonts w:asciiTheme="minorEastAsia" w:hAnsiTheme="minorEastAsia" w:eastAsiaTheme="minorEastAsia"/>
          <w:b/>
          <w:color w:val="auto"/>
          <w:sz w:val="72"/>
          <w:highlight w:val="none"/>
        </w:rPr>
      </w:pPr>
    </w:p>
    <w:p w14:paraId="635D06A8">
      <w:pPr>
        <w:spacing w:line="900" w:lineRule="exact"/>
        <w:jc w:val="center"/>
        <w:outlineLvl w:val="2"/>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响</w:t>
      </w:r>
    </w:p>
    <w:p w14:paraId="170B4213">
      <w:pPr>
        <w:spacing w:line="900" w:lineRule="exact"/>
        <w:jc w:val="center"/>
        <w:rPr>
          <w:rFonts w:asciiTheme="minorEastAsia" w:hAnsiTheme="minorEastAsia" w:eastAsiaTheme="minorEastAsia"/>
          <w:b/>
          <w:color w:val="auto"/>
          <w:sz w:val="72"/>
          <w:highlight w:val="none"/>
        </w:rPr>
      </w:pPr>
    </w:p>
    <w:p w14:paraId="7CCDAFB1">
      <w:pPr>
        <w:spacing w:line="900" w:lineRule="exact"/>
        <w:jc w:val="center"/>
        <w:outlineLvl w:val="2"/>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应</w:t>
      </w:r>
    </w:p>
    <w:p w14:paraId="14EA6A6F">
      <w:pPr>
        <w:spacing w:line="900" w:lineRule="exact"/>
        <w:jc w:val="center"/>
        <w:rPr>
          <w:rFonts w:asciiTheme="minorEastAsia" w:hAnsiTheme="minorEastAsia" w:eastAsiaTheme="minorEastAsia"/>
          <w:b/>
          <w:color w:val="auto"/>
          <w:sz w:val="72"/>
          <w:highlight w:val="none"/>
        </w:rPr>
      </w:pPr>
    </w:p>
    <w:p w14:paraId="15D67746">
      <w:pPr>
        <w:spacing w:line="900" w:lineRule="exact"/>
        <w:jc w:val="center"/>
        <w:outlineLvl w:val="2"/>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文</w:t>
      </w:r>
    </w:p>
    <w:p w14:paraId="3F4D72BC">
      <w:pPr>
        <w:spacing w:line="900" w:lineRule="exact"/>
        <w:jc w:val="center"/>
        <w:rPr>
          <w:rFonts w:asciiTheme="minorEastAsia" w:hAnsiTheme="minorEastAsia" w:eastAsiaTheme="minorEastAsia"/>
          <w:b/>
          <w:color w:val="auto"/>
          <w:sz w:val="72"/>
          <w:highlight w:val="none"/>
        </w:rPr>
      </w:pPr>
    </w:p>
    <w:p w14:paraId="101216CA">
      <w:pPr>
        <w:jc w:val="center"/>
        <w:outlineLvl w:val="2"/>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件</w:t>
      </w:r>
    </w:p>
    <w:p w14:paraId="08E18CF7">
      <w:pPr>
        <w:spacing w:after="156" w:afterLines="50"/>
        <w:jc w:val="center"/>
        <w:rPr>
          <w:rFonts w:asciiTheme="minorEastAsia" w:hAnsiTheme="minorEastAsia" w:eastAsiaTheme="minorEastAsia"/>
          <w:b/>
          <w:color w:val="auto"/>
          <w:sz w:val="72"/>
          <w:highlight w:val="none"/>
        </w:rPr>
      </w:pPr>
    </w:p>
    <w:p w14:paraId="25E2282A">
      <w:pPr>
        <w:spacing w:after="156" w:afterLines="50" w:line="500" w:lineRule="exact"/>
        <w:jc w:val="center"/>
        <w:rPr>
          <w:rFonts w:asciiTheme="minorEastAsia" w:hAnsiTheme="minorEastAsia" w:eastAsiaTheme="minorEastAsia"/>
          <w:b/>
          <w:color w:val="auto"/>
          <w:sz w:val="28"/>
          <w:szCs w:val="28"/>
          <w:highlight w:val="none"/>
        </w:rPr>
      </w:pPr>
    </w:p>
    <w:p w14:paraId="2230621E">
      <w:pPr>
        <w:tabs>
          <w:tab w:val="left" w:pos="2410"/>
        </w:tabs>
        <w:autoSpaceDE w:val="0"/>
        <w:autoSpaceDN w:val="0"/>
        <w:adjustRightInd w:val="0"/>
        <w:snapToGrid w:val="0"/>
        <w:spacing w:line="360" w:lineRule="auto"/>
        <w:ind w:firstLine="1928" w:firstLineChars="600"/>
        <w:jc w:val="both"/>
        <w:outlineLvl w:val="9"/>
        <w:rPr>
          <w:rFonts w:hint="default" w:ascii="宋体" w:hAnsi="宋体" w:eastAsia="宋体"/>
          <w:b/>
          <w:color w:val="auto"/>
          <w:spacing w:val="20"/>
          <w:kern w:val="0"/>
          <w:sz w:val="32"/>
          <w:szCs w:val="32"/>
          <w:highlight w:val="none"/>
          <w:lang w:val="en-US" w:eastAsia="zh-CN"/>
        </w:rPr>
      </w:pPr>
      <w:r>
        <w:rPr>
          <w:rFonts w:hint="eastAsia" w:asciiTheme="minorEastAsia" w:hAnsiTheme="minorEastAsia" w:eastAsiaTheme="minorEastAsia"/>
          <w:b/>
          <w:color w:val="auto"/>
          <w:sz w:val="32"/>
          <w:highlight w:val="none"/>
        </w:rPr>
        <w:t>项目名称：</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u w:val="single"/>
        </w:rPr>
        <w:t xml:space="preserve">    </w:t>
      </w:r>
    </w:p>
    <w:p w14:paraId="358DE49B">
      <w:pPr>
        <w:tabs>
          <w:tab w:val="left" w:pos="2410"/>
        </w:tabs>
        <w:autoSpaceDE w:val="0"/>
        <w:autoSpaceDN w:val="0"/>
        <w:adjustRightInd w:val="0"/>
        <w:snapToGrid w:val="0"/>
        <w:spacing w:line="360" w:lineRule="auto"/>
        <w:ind w:firstLine="1928" w:firstLineChars="600"/>
        <w:jc w:val="both"/>
        <w:outlineLvl w:val="9"/>
        <w:rPr>
          <w:rFonts w:hint="eastAsia" w:asciiTheme="minorEastAsia" w:hAnsiTheme="minorEastAsia" w:eastAsiaTheme="minorEastAsia"/>
          <w:b/>
          <w:color w:val="auto"/>
          <w:sz w:val="32"/>
          <w:highlight w:val="none"/>
          <w:u w:val="single"/>
        </w:rPr>
      </w:pPr>
      <w:r>
        <w:rPr>
          <w:rFonts w:hint="eastAsia" w:asciiTheme="minorEastAsia" w:hAnsiTheme="minorEastAsia" w:eastAsiaTheme="minorEastAsia"/>
          <w:b/>
          <w:color w:val="auto"/>
          <w:sz w:val="32"/>
          <w:highlight w:val="none"/>
        </w:rPr>
        <w:t>项目编号：</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u w:val="single"/>
        </w:rPr>
        <w:t xml:space="preserve">  </w:t>
      </w:r>
    </w:p>
    <w:p w14:paraId="2C9CFB6E">
      <w:pPr>
        <w:tabs>
          <w:tab w:val="left" w:pos="2410"/>
        </w:tabs>
        <w:autoSpaceDE w:val="0"/>
        <w:autoSpaceDN w:val="0"/>
        <w:adjustRightInd w:val="0"/>
        <w:snapToGrid w:val="0"/>
        <w:spacing w:line="360" w:lineRule="auto"/>
        <w:ind w:firstLine="1928" w:firstLineChars="600"/>
        <w:jc w:val="both"/>
        <w:outlineLvl w:val="9"/>
        <w:rPr>
          <w:rFonts w:asciiTheme="minorEastAsia" w:hAnsiTheme="minorEastAsia" w:eastAsiaTheme="minorEastAsia"/>
          <w:b/>
          <w:color w:val="auto"/>
          <w:sz w:val="32"/>
          <w:highlight w:val="none"/>
          <w:u w:val="single"/>
        </w:rPr>
      </w:pPr>
      <w:r>
        <w:rPr>
          <w:rFonts w:hint="eastAsia" w:asciiTheme="minorEastAsia" w:hAnsiTheme="minorEastAsia" w:eastAsiaTheme="minorEastAsia"/>
          <w:b/>
          <w:color w:val="auto"/>
          <w:sz w:val="32"/>
          <w:highlight w:val="none"/>
          <w:lang w:val="en-US" w:eastAsia="zh-CN"/>
        </w:rPr>
        <w:t>供 应 商</w:t>
      </w:r>
      <w:r>
        <w:rPr>
          <w:rFonts w:hint="eastAsia" w:asciiTheme="minorEastAsia" w:hAnsiTheme="minorEastAsia" w:eastAsiaTheme="minorEastAsia"/>
          <w:b/>
          <w:color w:val="auto"/>
          <w:sz w:val="32"/>
          <w:highlight w:val="none"/>
        </w:rPr>
        <w:t>：</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u w:val="single"/>
        </w:rPr>
        <w:t xml:space="preserve">    </w:t>
      </w:r>
    </w:p>
    <w:p w14:paraId="05BBA64A">
      <w:pPr>
        <w:spacing w:after="156" w:afterLines="50" w:line="500" w:lineRule="exact"/>
        <w:jc w:val="center"/>
        <w:outlineLvl w:val="1"/>
        <w:rPr>
          <w:rFonts w:asciiTheme="minorEastAsia" w:hAnsiTheme="minorEastAsia" w:eastAsiaTheme="minorEastAsia"/>
          <w:b/>
          <w:color w:val="auto"/>
          <w:sz w:val="32"/>
          <w:highlight w:val="none"/>
        </w:rPr>
      </w:pPr>
      <w:r>
        <w:rPr>
          <w:rFonts w:hint="eastAsia" w:asciiTheme="minorEastAsia" w:hAnsiTheme="minorEastAsia" w:eastAsiaTheme="minorEastAsia"/>
          <w:b/>
          <w:color w:val="auto"/>
          <w:sz w:val="32"/>
          <w:highlight w:val="none"/>
          <w:u w:val="single"/>
        </w:rPr>
        <w:t xml:space="preserve">    </w:t>
      </w:r>
      <w:bookmarkStart w:id="703" w:name="_Toc24911"/>
      <w:bookmarkStart w:id="704" w:name="_Toc19892"/>
      <w:bookmarkStart w:id="705" w:name="_Toc14287"/>
      <w:r>
        <w:rPr>
          <w:rFonts w:hint="eastAsia" w:asciiTheme="minorEastAsia" w:hAnsiTheme="minorEastAsia" w:eastAsiaTheme="minorEastAsia"/>
          <w:b/>
          <w:color w:val="auto"/>
          <w:sz w:val="32"/>
          <w:highlight w:val="none"/>
        </w:rPr>
        <w:t>年</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rPr>
        <w:t>月</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rPr>
        <w:t>日</w:t>
      </w:r>
      <w:bookmarkEnd w:id="703"/>
      <w:bookmarkEnd w:id="704"/>
      <w:bookmarkEnd w:id="705"/>
    </w:p>
    <w:p w14:paraId="427DDA54">
      <w:pPr>
        <w:widowControl/>
        <w:jc w:val="left"/>
        <w:rPr>
          <w:rFonts w:asciiTheme="minorEastAsia" w:hAnsiTheme="minorEastAsia" w:eastAsiaTheme="minorEastAsia"/>
          <w:b/>
          <w:color w:val="auto"/>
          <w:sz w:val="28"/>
          <w:highlight w:val="none"/>
        </w:rPr>
      </w:pPr>
      <w:r>
        <w:rPr>
          <w:rFonts w:asciiTheme="minorEastAsia" w:hAnsiTheme="minorEastAsia" w:eastAsiaTheme="minorEastAsia"/>
          <w:b/>
          <w:color w:val="auto"/>
          <w:sz w:val="28"/>
          <w:highlight w:val="none"/>
        </w:rPr>
        <w:br w:type="page"/>
      </w:r>
    </w:p>
    <w:p w14:paraId="23660967">
      <w:pPr>
        <w:spacing w:line="360" w:lineRule="auto"/>
        <w:jc w:val="center"/>
        <w:outlineLvl w:val="1"/>
        <w:rPr>
          <w:rFonts w:asciiTheme="minorEastAsia" w:hAnsiTheme="minorEastAsia" w:eastAsiaTheme="minorEastAsia"/>
          <w:b/>
          <w:color w:val="auto"/>
          <w:sz w:val="24"/>
          <w:highlight w:val="none"/>
        </w:rPr>
      </w:pPr>
      <w:bookmarkStart w:id="706" w:name="_Toc461053086"/>
      <w:bookmarkStart w:id="707" w:name="_Toc461056631"/>
      <w:bookmarkStart w:id="708" w:name="_Toc28280"/>
      <w:bookmarkStart w:id="709" w:name="_Toc21496"/>
      <w:bookmarkStart w:id="710" w:name="_Toc520983587"/>
      <w:bookmarkStart w:id="711" w:name="_Toc27453"/>
      <w:r>
        <w:rPr>
          <w:rFonts w:hint="eastAsia" w:asciiTheme="minorEastAsia" w:hAnsiTheme="minorEastAsia" w:eastAsiaTheme="minorEastAsia"/>
          <w:b/>
          <w:color w:val="auto"/>
          <w:sz w:val="24"/>
          <w:highlight w:val="none"/>
        </w:rPr>
        <w:t>一</w:t>
      </w:r>
      <w:bookmarkEnd w:id="706"/>
      <w:bookmarkEnd w:id="707"/>
      <w:r>
        <w:rPr>
          <w:rFonts w:hint="eastAsia" w:asciiTheme="minorEastAsia" w:hAnsiTheme="minorEastAsia" w:eastAsiaTheme="minorEastAsia"/>
          <w:b/>
          <w:color w:val="auto"/>
          <w:sz w:val="24"/>
          <w:highlight w:val="none"/>
        </w:rPr>
        <w:t>、报价表格式</w:t>
      </w:r>
      <w:bookmarkEnd w:id="708"/>
      <w:bookmarkEnd w:id="709"/>
      <w:bookmarkEnd w:id="710"/>
      <w:bookmarkEnd w:id="711"/>
    </w:p>
    <w:p w14:paraId="0E51E9DB">
      <w:pPr>
        <w:spacing w:before="156" w:beforeLines="50" w:after="156" w:afterLines="50" w:line="360" w:lineRule="auto"/>
        <w:jc w:val="left"/>
        <w:outlineLvl w:val="2"/>
        <w:rPr>
          <w:rFonts w:cs="@仿宋_GB2312" w:asciiTheme="minorEastAsia" w:hAnsiTheme="minorEastAsia" w:eastAsiaTheme="minorEastAsia"/>
          <w:b/>
          <w:color w:val="auto"/>
          <w:kern w:val="2"/>
          <w:sz w:val="24"/>
          <w:szCs w:val="24"/>
          <w:highlight w:val="none"/>
        </w:rPr>
      </w:pPr>
      <w:r>
        <w:rPr>
          <w:rFonts w:hint="eastAsia" w:cs="@仿宋_GB2312" w:asciiTheme="minorEastAsia" w:hAnsiTheme="minorEastAsia" w:eastAsiaTheme="minorEastAsia"/>
          <w:b/>
          <w:color w:val="auto"/>
          <w:kern w:val="2"/>
          <w:sz w:val="24"/>
          <w:szCs w:val="24"/>
          <w:highlight w:val="none"/>
        </w:rPr>
        <w:t>1-1 报价表</w:t>
      </w:r>
    </w:p>
    <w:p w14:paraId="3895AD9A">
      <w:pPr>
        <w:snapToGrid w:val="0"/>
        <w:spacing w:line="360" w:lineRule="auto"/>
        <w:jc w:val="left"/>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项目名称：</w:t>
      </w:r>
      <w:r>
        <w:rPr>
          <w:rFonts w:hint="eastAsia" w:cs="宋体" w:asciiTheme="minorEastAsia" w:hAnsiTheme="minorEastAsia" w:eastAsiaTheme="minorEastAsia"/>
          <w:b/>
          <w:color w:val="auto"/>
          <w:kern w:val="2"/>
          <w:sz w:val="24"/>
          <w:szCs w:val="24"/>
          <w:highlight w:val="none"/>
          <w:u w:val="single"/>
        </w:rPr>
        <w:t xml:space="preserve"> 某项目    </w:t>
      </w:r>
    </w:p>
    <w:p w14:paraId="4D6597E1">
      <w:pPr>
        <w:snapToGrid w:val="0"/>
        <w:spacing w:after="156" w:afterLines="50" w:line="360" w:lineRule="auto"/>
        <w:jc w:val="left"/>
        <w:rPr>
          <w:rFonts w:cs="宋体" w:asciiTheme="minorEastAsia" w:hAnsiTheme="minorEastAsia" w:eastAsiaTheme="minorEastAsia"/>
          <w:b/>
          <w:bCs/>
          <w:color w:val="auto"/>
          <w:kern w:val="2"/>
          <w:sz w:val="24"/>
          <w:szCs w:val="24"/>
          <w:highlight w:val="none"/>
          <w:u w:val="single"/>
        </w:rPr>
      </w:pPr>
      <w:r>
        <w:rPr>
          <w:rFonts w:hint="eastAsia" w:cs="宋体" w:asciiTheme="minorEastAsia" w:hAnsiTheme="minorEastAsia" w:eastAsiaTheme="minorEastAsia"/>
          <w:b/>
          <w:color w:val="auto"/>
          <w:kern w:val="2"/>
          <w:sz w:val="24"/>
          <w:szCs w:val="24"/>
          <w:highlight w:val="none"/>
        </w:rPr>
        <w:t>项目编号：</w:t>
      </w:r>
      <w:r>
        <w:rPr>
          <w:rFonts w:hint="eastAsia" w:cs="宋体" w:asciiTheme="minorEastAsia" w:hAnsiTheme="minorEastAsia" w:eastAsiaTheme="minorEastAsia"/>
          <w:b/>
          <w:color w:val="auto"/>
          <w:kern w:val="2"/>
          <w:sz w:val="24"/>
          <w:szCs w:val="24"/>
          <w:highlight w:val="none"/>
          <w:u w:val="single"/>
        </w:rPr>
        <w:t xml:space="preserve"> 某编号    </w:t>
      </w:r>
    </w:p>
    <w:tbl>
      <w:tblPr>
        <w:tblStyle w:val="5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9"/>
        <w:gridCol w:w="6063"/>
      </w:tblGrid>
      <w:tr w14:paraId="3D3F6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3" w:type="pct"/>
            <w:tcBorders>
              <w:top w:val="single" w:color="auto" w:sz="4" w:space="0"/>
              <w:left w:val="single" w:color="auto" w:sz="4" w:space="0"/>
              <w:bottom w:val="single" w:color="auto" w:sz="4" w:space="0"/>
              <w:right w:val="single" w:color="auto" w:sz="4" w:space="0"/>
            </w:tcBorders>
            <w:vAlign w:val="center"/>
          </w:tcPr>
          <w:p w14:paraId="0C02A494">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供应商名称</w:t>
            </w:r>
          </w:p>
        </w:tc>
        <w:tc>
          <w:tcPr>
            <w:tcW w:w="3557" w:type="pct"/>
            <w:tcBorders>
              <w:left w:val="single" w:color="auto" w:sz="4" w:space="0"/>
            </w:tcBorders>
          </w:tcPr>
          <w:p w14:paraId="38A2EBAC">
            <w:pPr>
              <w:rPr>
                <w:rFonts w:cs="宋体" w:asciiTheme="minorEastAsia" w:hAnsiTheme="minorEastAsia" w:eastAsiaTheme="minorEastAsia"/>
                <w:b/>
                <w:color w:val="auto"/>
                <w:kern w:val="2"/>
                <w:sz w:val="24"/>
                <w:szCs w:val="24"/>
                <w:highlight w:val="none"/>
              </w:rPr>
            </w:pPr>
          </w:p>
        </w:tc>
      </w:tr>
      <w:tr w14:paraId="4AC69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443" w:type="pct"/>
            <w:tcBorders>
              <w:top w:val="single" w:color="auto" w:sz="4" w:space="0"/>
              <w:left w:val="single" w:color="auto" w:sz="4" w:space="0"/>
              <w:bottom w:val="single" w:color="auto" w:sz="4" w:space="0"/>
              <w:right w:val="single" w:color="auto" w:sz="4" w:space="0"/>
            </w:tcBorders>
            <w:vAlign w:val="center"/>
          </w:tcPr>
          <w:p w14:paraId="75249EF6">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磋商</w:t>
            </w:r>
            <w:r>
              <w:rPr>
                <w:rFonts w:hint="eastAsia" w:cs="宋体" w:asciiTheme="minorEastAsia" w:hAnsiTheme="minorEastAsia" w:eastAsiaTheme="minorEastAsia"/>
                <w:b/>
                <w:color w:val="auto"/>
                <w:kern w:val="2"/>
                <w:sz w:val="24"/>
                <w:szCs w:val="24"/>
                <w:highlight w:val="none"/>
              </w:rPr>
              <w:t>范围</w:t>
            </w:r>
          </w:p>
        </w:tc>
        <w:tc>
          <w:tcPr>
            <w:tcW w:w="3557" w:type="pct"/>
            <w:tcBorders>
              <w:left w:val="single" w:color="auto" w:sz="4" w:space="0"/>
            </w:tcBorders>
            <w:vAlign w:val="center"/>
          </w:tcPr>
          <w:p w14:paraId="48645A8C">
            <w:pPr>
              <w:widowControl/>
              <w:rPr>
                <w:rFonts w:cs="宋体" w:asciiTheme="minorEastAsia" w:hAnsiTheme="minorEastAsia" w:eastAsiaTheme="minorEastAsia"/>
                <w:b/>
                <w:color w:val="auto"/>
                <w:kern w:val="2"/>
                <w:sz w:val="24"/>
                <w:szCs w:val="24"/>
                <w:highlight w:val="none"/>
              </w:rPr>
            </w:pPr>
            <w:r>
              <w:rPr>
                <w:rFonts w:hint="eastAsia" w:cs="@仿宋_GB2312" w:asciiTheme="minorEastAsia" w:hAnsiTheme="minorEastAsia" w:eastAsiaTheme="minorEastAsia"/>
                <w:color w:val="auto"/>
                <w:kern w:val="2"/>
                <w:sz w:val="24"/>
                <w:szCs w:val="28"/>
                <w:highlight w:val="none"/>
              </w:rPr>
              <w:t>全部 / 第</w:t>
            </w:r>
            <w:r>
              <w:rPr>
                <w:rFonts w:hint="eastAsia" w:cs="@仿宋_GB2312" w:asciiTheme="minorEastAsia" w:hAnsiTheme="minorEastAsia" w:eastAsiaTheme="minorEastAsia"/>
                <w:color w:val="auto"/>
                <w:kern w:val="2"/>
                <w:sz w:val="24"/>
                <w:szCs w:val="28"/>
                <w:highlight w:val="none"/>
                <w:u w:val="single"/>
              </w:rPr>
              <w:t xml:space="preserve">   </w:t>
            </w:r>
            <w:r>
              <w:rPr>
                <w:rFonts w:hint="eastAsia" w:cs="@仿宋_GB2312" w:asciiTheme="minorEastAsia" w:hAnsiTheme="minorEastAsia" w:eastAsiaTheme="minorEastAsia"/>
                <w:color w:val="auto"/>
                <w:kern w:val="2"/>
                <w:sz w:val="24"/>
                <w:szCs w:val="28"/>
                <w:highlight w:val="none"/>
              </w:rPr>
              <w:t>包</w:t>
            </w:r>
          </w:p>
        </w:tc>
      </w:tr>
      <w:tr w14:paraId="0183B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443" w:type="pct"/>
            <w:tcBorders>
              <w:top w:val="single" w:color="auto" w:sz="4" w:space="0"/>
            </w:tcBorders>
            <w:vAlign w:val="center"/>
          </w:tcPr>
          <w:p w14:paraId="67D26EE8">
            <w:pPr>
              <w:spacing w:line="360" w:lineRule="auto"/>
              <w:jc w:val="center"/>
              <w:rPr>
                <w:rFonts w:cs="@仿宋_GB2312"/>
                <w:b/>
                <w:color w:val="auto"/>
                <w:kern w:val="2"/>
                <w:sz w:val="24"/>
                <w:highlight w:val="none"/>
              </w:rPr>
            </w:pPr>
            <w:r>
              <w:rPr>
                <w:rFonts w:hint="eastAsia" w:cs="@仿宋_GB2312"/>
                <w:b/>
                <w:color w:val="auto"/>
                <w:kern w:val="2"/>
                <w:sz w:val="24"/>
                <w:highlight w:val="none"/>
              </w:rPr>
              <w:t>报价</w:t>
            </w:r>
          </w:p>
          <w:p w14:paraId="58D0D013">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（详见备注说明）</w:t>
            </w:r>
          </w:p>
        </w:tc>
        <w:tc>
          <w:tcPr>
            <w:tcW w:w="3557" w:type="pct"/>
            <w:vAlign w:val="center"/>
          </w:tcPr>
          <w:p w14:paraId="5D85AB31">
            <w:pPr>
              <w:snapToGrid w:val="0"/>
              <w:rPr>
                <w:rFonts w:cs="宋体" w:asciiTheme="minorEastAsia" w:hAnsiTheme="minorEastAsia" w:eastAsiaTheme="minorEastAsia"/>
                <w:color w:val="auto"/>
                <w:kern w:val="2"/>
                <w:sz w:val="24"/>
                <w:szCs w:val="24"/>
                <w:highlight w:val="none"/>
              </w:rPr>
            </w:pPr>
          </w:p>
          <w:p w14:paraId="13161E32">
            <w:pPr>
              <w:snapToGrid w:val="0"/>
              <w:spacing w:line="360" w:lineRule="auto"/>
              <w:jc w:val="left"/>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大写：</w:t>
            </w:r>
            <w:r>
              <w:rPr>
                <w:rFonts w:hint="eastAsia" w:ascii="宋体" w:hAnsi="宋体" w:eastAsia="宋体" w:cs="宋体"/>
                <w:bCs/>
                <w:color w:val="auto"/>
                <w:sz w:val="24"/>
                <w:szCs w:val="24"/>
                <w:highlight w:val="none"/>
                <w:u w:val="single"/>
              </w:rPr>
              <w:t xml:space="preserve">                     </w:t>
            </w:r>
          </w:p>
          <w:p w14:paraId="7BB19606">
            <w:pPr>
              <w:spacing w:line="360" w:lineRule="auto"/>
              <w:ind w:right="-670"/>
              <w:rPr>
                <w:rFonts w:hint="eastAsia" w:asciiTheme="minorEastAsia" w:hAnsiTheme="minorEastAsia" w:eastAsiaTheme="minorEastAsia"/>
                <w:color w:val="auto"/>
                <w:sz w:val="24"/>
                <w:highlight w:val="none"/>
              </w:rPr>
            </w:pPr>
            <w:r>
              <w:rPr>
                <w:rFonts w:hint="eastAsia" w:ascii="宋体" w:hAnsi="宋体" w:eastAsia="宋体" w:cs="宋体"/>
                <w:bCs/>
                <w:color w:val="auto"/>
                <w:sz w:val="24"/>
                <w:szCs w:val="24"/>
                <w:highlight w:val="none"/>
              </w:rPr>
              <w:t>小写：</w:t>
            </w:r>
            <w:r>
              <w:rPr>
                <w:rFonts w:hint="eastAsia" w:ascii="宋体" w:hAnsi="宋体" w:eastAsia="宋体" w:cs="宋体"/>
                <w:bCs/>
                <w:color w:val="auto"/>
                <w:sz w:val="24"/>
                <w:szCs w:val="24"/>
                <w:highlight w:val="none"/>
                <w:u w:val="single"/>
              </w:rPr>
              <w:t xml:space="preserve">                     </w:t>
            </w:r>
          </w:p>
          <w:p w14:paraId="306A79A0">
            <w:pPr>
              <w:snapToGrid w:val="0"/>
              <w:rPr>
                <w:rFonts w:cs="宋体" w:asciiTheme="minorEastAsia" w:hAnsiTheme="minorEastAsia" w:eastAsiaTheme="minorEastAsia"/>
                <w:b/>
                <w:color w:val="auto"/>
                <w:kern w:val="2"/>
                <w:sz w:val="24"/>
                <w:szCs w:val="24"/>
                <w:highlight w:val="none"/>
              </w:rPr>
            </w:pPr>
          </w:p>
        </w:tc>
      </w:tr>
      <w:tr w14:paraId="34481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43" w:type="pct"/>
            <w:tcBorders>
              <w:top w:val="single" w:color="auto" w:sz="4" w:space="0"/>
            </w:tcBorders>
            <w:vAlign w:val="center"/>
          </w:tcPr>
          <w:p w14:paraId="4DC35986">
            <w:pPr>
              <w:snapToGrid w:val="0"/>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质量标准</w:t>
            </w:r>
          </w:p>
        </w:tc>
        <w:tc>
          <w:tcPr>
            <w:tcW w:w="3557" w:type="pct"/>
            <w:vAlign w:val="center"/>
          </w:tcPr>
          <w:p w14:paraId="2B6D2005">
            <w:pPr>
              <w:snapToGrid w:val="0"/>
              <w:rPr>
                <w:rFonts w:cs="宋体" w:asciiTheme="minorEastAsia" w:hAnsiTheme="minorEastAsia" w:eastAsiaTheme="minorEastAsia"/>
                <w:b/>
                <w:color w:val="auto"/>
                <w:kern w:val="2"/>
                <w:sz w:val="24"/>
                <w:szCs w:val="24"/>
                <w:highlight w:val="none"/>
              </w:rPr>
            </w:pPr>
          </w:p>
        </w:tc>
      </w:tr>
      <w:tr w14:paraId="76354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43" w:type="pct"/>
            <w:tcBorders>
              <w:top w:val="single" w:color="auto" w:sz="4" w:space="0"/>
            </w:tcBorders>
            <w:vAlign w:val="center"/>
          </w:tcPr>
          <w:p w14:paraId="198E8A0B">
            <w:pPr>
              <w:snapToGrid w:val="0"/>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工    期</w:t>
            </w:r>
          </w:p>
        </w:tc>
        <w:tc>
          <w:tcPr>
            <w:tcW w:w="3557" w:type="pct"/>
            <w:vAlign w:val="center"/>
          </w:tcPr>
          <w:p w14:paraId="5987314D">
            <w:pPr>
              <w:snapToGrid w:val="0"/>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Cs/>
                <w:color w:val="auto"/>
                <w:kern w:val="2"/>
                <w:sz w:val="24"/>
                <w:szCs w:val="24"/>
                <w:highlight w:val="none"/>
              </w:rPr>
              <w:t>接开工令后</w:t>
            </w:r>
            <w:r>
              <w:rPr>
                <w:rFonts w:hint="eastAsia" w:cs="宋体" w:asciiTheme="minorEastAsia" w:hAnsiTheme="minorEastAsia" w:eastAsiaTheme="minorEastAsia"/>
                <w:bCs/>
                <w:color w:val="auto"/>
                <w:kern w:val="2"/>
                <w:sz w:val="24"/>
                <w:szCs w:val="24"/>
                <w:highlight w:val="none"/>
                <w:u w:val="single"/>
              </w:rPr>
              <w:t xml:space="preserve">        </w:t>
            </w:r>
            <w:r>
              <w:rPr>
                <w:rFonts w:hint="eastAsia" w:cs="宋体" w:asciiTheme="minorEastAsia" w:hAnsiTheme="minorEastAsia" w:eastAsiaTheme="minorEastAsia"/>
                <w:bCs/>
                <w:color w:val="auto"/>
                <w:kern w:val="2"/>
                <w:sz w:val="24"/>
                <w:szCs w:val="24"/>
                <w:highlight w:val="none"/>
              </w:rPr>
              <w:t>日历天完工</w:t>
            </w:r>
          </w:p>
        </w:tc>
      </w:tr>
      <w:tr w14:paraId="66E1A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43" w:type="pct"/>
            <w:tcBorders>
              <w:top w:val="single" w:color="auto" w:sz="4" w:space="0"/>
            </w:tcBorders>
            <w:vAlign w:val="center"/>
          </w:tcPr>
          <w:p w14:paraId="0256D5D8">
            <w:pPr>
              <w:snapToGrid w:val="0"/>
              <w:jc w:val="center"/>
              <w:rPr>
                <w:rFonts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是否响应付款方式</w:t>
            </w:r>
          </w:p>
        </w:tc>
        <w:tc>
          <w:tcPr>
            <w:tcW w:w="3557" w:type="pct"/>
            <w:vAlign w:val="center"/>
          </w:tcPr>
          <w:p w14:paraId="7E80873B">
            <w:pPr>
              <w:snapToGrid w:val="0"/>
              <w:rPr>
                <w:rFonts w:cs="宋体" w:asciiTheme="minorEastAsia" w:hAnsiTheme="minorEastAsia" w:eastAsiaTheme="minorEastAsia"/>
                <w:bCs/>
                <w:color w:val="auto"/>
                <w:kern w:val="2"/>
                <w:sz w:val="24"/>
                <w:szCs w:val="24"/>
                <w:highlight w:val="none"/>
              </w:rPr>
            </w:pPr>
            <w:r>
              <w:rPr>
                <w:rFonts w:hint="eastAsia" w:cs="宋体" w:asciiTheme="minorEastAsia" w:hAnsiTheme="minorEastAsia" w:eastAsiaTheme="minorEastAsia"/>
                <w:color w:val="auto"/>
                <w:kern w:val="2"/>
                <w:sz w:val="24"/>
                <w:szCs w:val="24"/>
                <w:highlight w:val="none"/>
              </w:rPr>
              <w:t>是□    否□   （划√）</w:t>
            </w:r>
          </w:p>
        </w:tc>
      </w:tr>
      <w:tr w14:paraId="75928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2" w:hRule="atLeast"/>
          <w:jc w:val="center"/>
        </w:trPr>
        <w:tc>
          <w:tcPr>
            <w:tcW w:w="1443" w:type="pct"/>
            <w:vAlign w:val="center"/>
          </w:tcPr>
          <w:p w14:paraId="78F5D358">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备注说明</w:t>
            </w:r>
          </w:p>
        </w:tc>
        <w:tc>
          <w:tcPr>
            <w:tcW w:w="3557" w:type="pct"/>
          </w:tcPr>
          <w:p w14:paraId="1B998209">
            <w:pPr>
              <w:rPr>
                <w:rFonts w:cs="宋体" w:asciiTheme="minorEastAsia" w:hAnsiTheme="minorEastAsia" w:eastAsiaTheme="minorEastAsia"/>
                <w:b/>
                <w:color w:val="auto"/>
                <w:kern w:val="2"/>
                <w:sz w:val="24"/>
                <w:szCs w:val="24"/>
                <w:highlight w:val="none"/>
              </w:rPr>
            </w:pPr>
          </w:p>
        </w:tc>
      </w:tr>
    </w:tbl>
    <w:p w14:paraId="7C41E26A">
      <w:pPr>
        <w:spacing w:line="440" w:lineRule="exact"/>
        <w:ind w:firstLine="4800" w:firstLineChars="2000"/>
        <w:rPr>
          <w:rFonts w:cs="@仿宋_GB2312"/>
          <w:color w:val="auto"/>
          <w:kern w:val="2"/>
          <w:sz w:val="24"/>
          <w:szCs w:val="24"/>
          <w:highlight w:val="none"/>
          <w:u w:val="single"/>
        </w:rPr>
      </w:pPr>
      <w:r>
        <w:rPr>
          <w:rFonts w:hint="eastAsia" w:cs="@仿宋_GB2312"/>
          <w:color w:val="auto"/>
          <w:kern w:val="2"/>
          <w:sz w:val="24"/>
          <w:szCs w:val="24"/>
          <w:highlight w:val="none"/>
        </w:rPr>
        <w:t>供应商</w:t>
      </w:r>
      <w:r>
        <w:rPr>
          <w:rFonts w:hint="eastAsia" w:cs="@仿宋_GB2312" w:asciiTheme="minorEastAsia" w:hAnsiTheme="minorEastAsia" w:eastAsiaTheme="minorEastAsia"/>
          <w:bCs/>
          <w:color w:val="auto"/>
          <w:kern w:val="2"/>
          <w:sz w:val="24"/>
          <w:highlight w:val="none"/>
          <w:lang w:val="en-US" w:eastAsia="zh-CN"/>
        </w:rPr>
        <w:t>盖章</w:t>
      </w:r>
      <w:r>
        <w:rPr>
          <w:rFonts w:hint="eastAsia" w:cs="@仿宋_GB2312"/>
          <w:color w:val="auto"/>
          <w:kern w:val="2"/>
          <w:sz w:val="24"/>
          <w:szCs w:val="24"/>
          <w:highlight w:val="none"/>
        </w:rPr>
        <w:t>：</w:t>
      </w:r>
      <w:r>
        <w:rPr>
          <w:rFonts w:hint="eastAsia" w:cs="@仿宋_GB2312"/>
          <w:color w:val="auto"/>
          <w:kern w:val="2"/>
          <w:sz w:val="24"/>
          <w:szCs w:val="24"/>
          <w:highlight w:val="none"/>
          <w:u w:val="single"/>
        </w:rPr>
        <w:t xml:space="preserve">     </w:t>
      </w:r>
      <w:r>
        <w:rPr>
          <w:rFonts w:cs="@仿宋_GB2312"/>
          <w:color w:val="auto"/>
          <w:kern w:val="2"/>
          <w:sz w:val="24"/>
          <w:szCs w:val="24"/>
          <w:highlight w:val="none"/>
          <w:u w:val="single"/>
        </w:rPr>
        <w:t xml:space="preserve">    </w:t>
      </w:r>
      <w:r>
        <w:rPr>
          <w:rFonts w:hint="eastAsia" w:cs="@仿宋_GB2312"/>
          <w:color w:val="auto"/>
          <w:kern w:val="2"/>
          <w:sz w:val="24"/>
          <w:szCs w:val="24"/>
          <w:highlight w:val="none"/>
          <w:u w:val="single"/>
        </w:rPr>
        <w:t xml:space="preserve">    </w:t>
      </w:r>
    </w:p>
    <w:p w14:paraId="6F88006A">
      <w:pPr>
        <w:spacing w:line="440" w:lineRule="exact"/>
        <w:ind w:firstLine="4800" w:firstLineChars="2000"/>
        <w:rPr>
          <w:rFonts w:cs="@仿宋_GB2312"/>
          <w:color w:val="auto"/>
          <w:kern w:val="2"/>
          <w:sz w:val="24"/>
          <w:szCs w:val="24"/>
          <w:highlight w:val="none"/>
          <w:u w:val="single"/>
        </w:rPr>
      </w:pPr>
      <w:r>
        <w:rPr>
          <w:rFonts w:hint="eastAsia" w:cs="@仿宋_GB2312"/>
          <w:color w:val="auto"/>
          <w:kern w:val="2"/>
          <w:sz w:val="24"/>
          <w:szCs w:val="24"/>
          <w:highlight w:val="none"/>
        </w:rPr>
        <w:t xml:space="preserve">日     </w:t>
      </w:r>
      <w:r>
        <w:rPr>
          <w:rFonts w:cs="@仿宋_GB2312"/>
          <w:color w:val="auto"/>
          <w:kern w:val="2"/>
          <w:sz w:val="24"/>
          <w:szCs w:val="24"/>
          <w:highlight w:val="none"/>
        </w:rPr>
        <w:t xml:space="preserve">    </w:t>
      </w:r>
      <w:r>
        <w:rPr>
          <w:rFonts w:hint="eastAsia" w:cs="@仿宋_GB2312"/>
          <w:color w:val="auto"/>
          <w:kern w:val="2"/>
          <w:sz w:val="24"/>
          <w:szCs w:val="24"/>
          <w:highlight w:val="none"/>
        </w:rPr>
        <w:t xml:space="preserve"> 期：</w:t>
      </w:r>
      <w:r>
        <w:rPr>
          <w:rFonts w:hint="eastAsia" w:cs="@仿宋_GB2312"/>
          <w:color w:val="auto"/>
          <w:kern w:val="2"/>
          <w:sz w:val="24"/>
          <w:szCs w:val="24"/>
          <w:highlight w:val="none"/>
          <w:u w:val="single"/>
        </w:rPr>
        <w:t xml:space="preserve">             </w:t>
      </w:r>
    </w:p>
    <w:p w14:paraId="060A5C97">
      <w:pPr>
        <w:adjustRightInd w:val="0"/>
        <w:snapToGrid w:val="0"/>
        <w:spacing w:line="360" w:lineRule="auto"/>
        <w:rPr>
          <w:rFonts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注：</w:t>
      </w:r>
    </w:p>
    <w:p w14:paraId="5C688CCC">
      <w:pPr>
        <w:adjustRightInd w:val="0"/>
        <w:snapToGrid w:val="0"/>
        <w:spacing w:line="360" w:lineRule="auto"/>
        <w:ind w:firstLine="482" w:firstLineChars="200"/>
        <w:rPr>
          <w:rFonts w:cs="宋体" w:asciiTheme="minorEastAsia" w:hAnsiTheme="minorEastAsia" w:eastAsiaTheme="minorEastAsia"/>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1.本表内容根据磋商文件要求包括了磋商文件要求提供的全部内容的所有费用。</w:t>
      </w:r>
    </w:p>
    <w:p w14:paraId="1CE7B4B2">
      <w:pPr>
        <w:adjustRightInd w:val="0"/>
        <w:snapToGrid w:val="0"/>
        <w:spacing w:line="360" w:lineRule="auto"/>
        <w:ind w:firstLine="482" w:firstLineChars="200"/>
        <w:rPr>
          <w:rFonts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2.特殊事项在备注中注明。</w:t>
      </w:r>
    </w:p>
    <w:p w14:paraId="6545613B">
      <w:pPr>
        <w:adjustRightInd w:val="0"/>
        <w:snapToGrid w:val="0"/>
        <w:spacing w:line="360" w:lineRule="auto"/>
        <w:ind w:firstLine="482" w:firstLineChars="200"/>
        <w:rPr>
          <w:rFonts w:hint="default" w:ascii="宋体" w:hAnsi="宋体" w:eastAsia="宋体"/>
          <w:b/>
          <w:bCs/>
          <w:color w:val="auto"/>
          <w:sz w:val="24"/>
          <w:szCs w:val="28"/>
          <w:highlight w:val="none"/>
          <w:lang w:val="en-US" w:eastAsia="zh-CN"/>
        </w:rPr>
      </w:pPr>
      <w:r>
        <w:rPr>
          <w:rFonts w:hint="eastAsia"/>
          <w:b/>
          <w:bCs/>
          <w:color w:val="auto"/>
          <w:sz w:val="24"/>
          <w:szCs w:val="28"/>
          <w:highlight w:val="none"/>
          <w:lang w:val="en-US" w:eastAsia="zh-CN"/>
        </w:rPr>
        <w:t>3</w:t>
      </w:r>
      <w:r>
        <w:rPr>
          <w:rFonts w:hint="eastAsia" w:ascii="宋体" w:hAnsi="宋体" w:eastAsia="宋体"/>
          <w:b/>
          <w:bCs/>
          <w:color w:val="auto"/>
          <w:sz w:val="24"/>
          <w:szCs w:val="28"/>
          <w:highlight w:val="none"/>
        </w:rPr>
        <w:t>.表中大写金额与小写金额不一致的，以大写金额为准。</w:t>
      </w:r>
    </w:p>
    <w:p w14:paraId="5482741C">
      <w:pPr>
        <w:adjustRightInd w:val="0"/>
        <w:snapToGrid w:val="0"/>
        <w:spacing w:line="360" w:lineRule="auto"/>
        <w:ind w:firstLine="482" w:firstLineChars="200"/>
        <w:rPr>
          <w:rFonts w:cs="宋体" w:asciiTheme="minorEastAsia" w:hAnsiTheme="minorEastAsia" w:eastAsiaTheme="minorEastAsia"/>
          <w:b/>
          <w:bCs/>
          <w:color w:val="auto"/>
          <w:kern w:val="2"/>
          <w:sz w:val="24"/>
          <w:szCs w:val="24"/>
          <w:highlight w:val="none"/>
        </w:rPr>
      </w:pPr>
      <w:r>
        <w:rPr>
          <w:rFonts w:cs="宋体" w:asciiTheme="minorEastAsia" w:hAnsiTheme="minorEastAsia" w:eastAsiaTheme="minorEastAsia"/>
          <w:b/>
          <w:bCs/>
          <w:color w:val="auto"/>
          <w:kern w:val="2"/>
          <w:sz w:val="24"/>
          <w:szCs w:val="24"/>
          <w:highlight w:val="none"/>
        </w:rPr>
        <w:br w:type="page"/>
      </w:r>
    </w:p>
    <w:p w14:paraId="227D48FB">
      <w:pPr>
        <w:adjustRightInd w:val="0"/>
        <w:snapToGrid w:val="0"/>
        <w:spacing w:line="360" w:lineRule="auto"/>
        <w:outlineLvl w:val="2"/>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1-2 工程量清单报价书</w:t>
      </w:r>
    </w:p>
    <w:p w14:paraId="470CE012">
      <w:pPr>
        <w:autoSpaceDE w:val="0"/>
        <w:autoSpaceDN w:val="0"/>
        <w:adjustRightInd w:val="0"/>
        <w:spacing w:before="20" w:after="20" w:line="360" w:lineRule="auto"/>
        <w:jc w:val="center"/>
        <w:rPr>
          <w:rFonts w:cs="宋体" w:asciiTheme="minorEastAsia" w:hAnsiTheme="minorEastAsia" w:eastAsiaTheme="minorEastAsia"/>
          <w:b/>
          <w:color w:val="auto"/>
          <w:sz w:val="24"/>
          <w:szCs w:val="24"/>
          <w:highlight w:val="none"/>
        </w:rPr>
      </w:pPr>
    </w:p>
    <w:p w14:paraId="42049241">
      <w:pPr>
        <w:autoSpaceDE w:val="0"/>
        <w:autoSpaceDN w:val="0"/>
        <w:adjustRightInd w:val="0"/>
        <w:spacing w:before="20" w:after="20" w:line="360" w:lineRule="auto"/>
        <w:jc w:val="center"/>
        <w:outlineLvl w:val="1"/>
        <w:rPr>
          <w:rFonts w:cs="宋体" w:asciiTheme="minorEastAsia" w:hAnsiTheme="minorEastAsia" w:eastAsiaTheme="minorEastAsia"/>
          <w:b/>
          <w:color w:val="auto"/>
          <w:sz w:val="24"/>
          <w:szCs w:val="24"/>
          <w:highlight w:val="none"/>
        </w:rPr>
      </w:pPr>
      <w:bookmarkStart w:id="712" w:name="_Toc1874"/>
      <w:bookmarkStart w:id="713" w:name="_Toc9639"/>
      <w:bookmarkStart w:id="714" w:name="_Toc26702"/>
      <w:r>
        <w:rPr>
          <w:rFonts w:hint="eastAsia" w:cs="宋体" w:asciiTheme="minorEastAsia" w:hAnsiTheme="minorEastAsia" w:eastAsiaTheme="minorEastAsia"/>
          <w:b/>
          <w:color w:val="auto"/>
          <w:sz w:val="24"/>
          <w:szCs w:val="24"/>
          <w:highlight w:val="none"/>
        </w:rPr>
        <w:t>工程量清单报价书</w:t>
      </w:r>
      <w:bookmarkEnd w:id="712"/>
      <w:bookmarkEnd w:id="713"/>
      <w:bookmarkEnd w:id="714"/>
    </w:p>
    <w:p w14:paraId="163E8C02">
      <w:pPr>
        <w:adjustRightInd w:val="0"/>
        <w:snapToGrid w:val="0"/>
        <w:spacing w:line="360" w:lineRule="auto"/>
        <w:ind w:firstLine="422" w:firstLineChars="200"/>
        <w:jc w:val="center"/>
        <w:rPr>
          <w:b/>
          <w:bCs/>
          <w:color w:val="auto"/>
          <w:sz w:val="24"/>
          <w:szCs w:val="28"/>
          <w:highlight w:val="none"/>
        </w:rPr>
      </w:pPr>
      <w:r>
        <w:rPr>
          <w:rFonts w:hint="eastAsia" w:cs="宋体" w:asciiTheme="minorEastAsia" w:hAnsiTheme="minorEastAsia" w:eastAsiaTheme="minorEastAsia"/>
          <w:b/>
          <w:color w:val="auto"/>
          <w:kern w:val="2"/>
          <w:sz w:val="21"/>
          <w:szCs w:val="24"/>
          <w:highlight w:val="none"/>
        </w:rPr>
        <w:t>（格式详见工程量清单）</w:t>
      </w:r>
    </w:p>
    <w:p w14:paraId="42CC4E75">
      <w:pPr>
        <w:widowControl/>
        <w:jc w:val="left"/>
        <w:rPr>
          <w:b/>
          <w:bCs/>
          <w:color w:val="auto"/>
          <w:sz w:val="24"/>
          <w:szCs w:val="28"/>
          <w:highlight w:val="none"/>
        </w:rPr>
      </w:pPr>
      <w:r>
        <w:rPr>
          <w:b/>
          <w:bCs/>
          <w:color w:val="auto"/>
          <w:sz w:val="24"/>
          <w:szCs w:val="28"/>
          <w:highlight w:val="none"/>
        </w:rPr>
        <w:br w:type="page"/>
      </w:r>
    </w:p>
    <w:p w14:paraId="46E51EE6">
      <w:pPr>
        <w:spacing w:line="360" w:lineRule="auto"/>
        <w:jc w:val="center"/>
        <w:outlineLvl w:val="1"/>
        <w:rPr>
          <w:rFonts w:asciiTheme="minorEastAsia" w:hAnsiTheme="minorEastAsia" w:eastAsiaTheme="minorEastAsia"/>
          <w:b/>
          <w:color w:val="auto"/>
          <w:sz w:val="24"/>
          <w:highlight w:val="none"/>
        </w:rPr>
      </w:pPr>
      <w:bookmarkStart w:id="715" w:name="_Toc461053087"/>
      <w:bookmarkStart w:id="716" w:name="_Toc461056632"/>
      <w:bookmarkStart w:id="717" w:name="_Toc22341"/>
      <w:bookmarkStart w:id="718" w:name="_Toc8503"/>
      <w:bookmarkStart w:id="719" w:name="_Toc20879"/>
      <w:bookmarkStart w:id="720" w:name="_Toc520983588"/>
      <w:r>
        <w:rPr>
          <w:rFonts w:hint="eastAsia" w:asciiTheme="minorEastAsia" w:hAnsiTheme="minorEastAsia" w:eastAsiaTheme="minorEastAsia"/>
          <w:b/>
          <w:color w:val="auto"/>
          <w:sz w:val="24"/>
          <w:highlight w:val="none"/>
        </w:rPr>
        <w:t>二</w:t>
      </w:r>
      <w:bookmarkEnd w:id="715"/>
      <w:bookmarkEnd w:id="716"/>
      <w:r>
        <w:rPr>
          <w:rFonts w:hint="eastAsia" w:asciiTheme="minorEastAsia" w:hAnsiTheme="minorEastAsia" w:eastAsiaTheme="minorEastAsia"/>
          <w:b/>
          <w:color w:val="auto"/>
          <w:sz w:val="24"/>
          <w:highlight w:val="none"/>
        </w:rPr>
        <w:t>、最后承诺报价表</w:t>
      </w:r>
      <w:bookmarkEnd w:id="717"/>
      <w:bookmarkEnd w:id="718"/>
      <w:bookmarkEnd w:id="719"/>
      <w:bookmarkEnd w:id="720"/>
    </w:p>
    <w:p w14:paraId="600B7589">
      <w:pPr>
        <w:spacing w:before="156" w:beforeLines="50" w:after="156" w:afterLines="50" w:line="360" w:lineRule="auto"/>
        <w:ind w:firstLine="236" w:firstLineChars="98"/>
        <w:jc w:val="center"/>
        <w:outlineLvl w:val="1"/>
        <w:rPr>
          <w:b/>
          <w:color w:val="auto"/>
          <w:sz w:val="24"/>
          <w:szCs w:val="28"/>
          <w:highlight w:val="none"/>
        </w:rPr>
      </w:pPr>
      <w:bookmarkStart w:id="721" w:name="_Toc13333"/>
      <w:bookmarkStart w:id="722" w:name="_Toc29512"/>
      <w:bookmarkStart w:id="723" w:name="_Toc8562"/>
      <w:r>
        <w:rPr>
          <w:rFonts w:hint="eastAsia"/>
          <w:b/>
          <w:color w:val="auto"/>
          <w:sz w:val="24"/>
          <w:szCs w:val="28"/>
          <w:highlight w:val="none"/>
        </w:rPr>
        <w:t>（第</w:t>
      </w:r>
      <w:r>
        <w:rPr>
          <w:rFonts w:hint="eastAsia"/>
          <w:b/>
          <w:color w:val="auto"/>
          <w:sz w:val="24"/>
          <w:szCs w:val="28"/>
          <w:highlight w:val="none"/>
          <w:u w:val="single"/>
        </w:rPr>
        <w:t xml:space="preserve">   </w:t>
      </w:r>
      <w:r>
        <w:rPr>
          <w:rFonts w:hint="eastAsia"/>
          <w:b/>
          <w:color w:val="auto"/>
          <w:sz w:val="24"/>
          <w:szCs w:val="28"/>
          <w:highlight w:val="none"/>
        </w:rPr>
        <w:t>次报价书）</w:t>
      </w:r>
      <w:bookmarkEnd w:id="721"/>
      <w:bookmarkEnd w:id="722"/>
      <w:bookmarkEnd w:id="723"/>
    </w:p>
    <w:p w14:paraId="73816CCB">
      <w:pPr>
        <w:snapToGrid w:val="0"/>
        <w:spacing w:line="360" w:lineRule="auto"/>
        <w:jc w:val="left"/>
        <w:rPr>
          <w:rFonts w:hint="default" w:cs="宋体" w:asciiTheme="minorEastAsia" w:hAnsiTheme="minorEastAsia" w:eastAsiaTheme="minorEastAsia"/>
          <w:b/>
          <w:color w:val="auto"/>
          <w:kern w:val="2"/>
          <w:sz w:val="24"/>
          <w:szCs w:val="24"/>
          <w:highlight w:val="none"/>
          <w:lang w:val="en-US" w:eastAsia="zh-CN"/>
        </w:rPr>
      </w:pPr>
      <w:r>
        <w:rPr>
          <w:rFonts w:hint="eastAsia" w:cs="宋体" w:asciiTheme="minorEastAsia" w:hAnsiTheme="minorEastAsia" w:eastAsiaTheme="minorEastAsia"/>
          <w:b/>
          <w:color w:val="auto"/>
          <w:kern w:val="2"/>
          <w:sz w:val="24"/>
          <w:szCs w:val="24"/>
          <w:highlight w:val="none"/>
        </w:rPr>
        <w:t>项目名称：</w:t>
      </w:r>
      <w:r>
        <w:rPr>
          <w:rFonts w:hint="eastAsia" w:cs="宋体" w:asciiTheme="minorEastAsia" w:hAnsiTheme="minorEastAsia" w:eastAsiaTheme="minorEastAsia"/>
          <w:b/>
          <w:color w:val="auto"/>
          <w:kern w:val="2"/>
          <w:sz w:val="24"/>
          <w:szCs w:val="24"/>
          <w:highlight w:val="none"/>
          <w:u w:val="single"/>
        </w:rPr>
        <w:t xml:space="preserve">     </w:t>
      </w:r>
      <w:r>
        <w:rPr>
          <w:rFonts w:hint="eastAsia" w:cs="宋体" w:asciiTheme="minorEastAsia" w:hAnsiTheme="minorEastAsia" w:eastAsiaTheme="minorEastAsia"/>
          <w:b/>
          <w:color w:val="auto"/>
          <w:kern w:val="2"/>
          <w:sz w:val="24"/>
          <w:szCs w:val="24"/>
          <w:highlight w:val="none"/>
          <w:u w:val="single"/>
          <w:lang w:val="en-US" w:eastAsia="zh-CN"/>
        </w:rPr>
        <w:t xml:space="preserve">     </w:t>
      </w:r>
    </w:p>
    <w:p w14:paraId="68B3756C">
      <w:pPr>
        <w:snapToGrid w:val="0"/>
        <w:spacing w:after="156" w:afterLines="50" w:line="360" w:lineRule="auto"/>
        <w:jc w:val="left"/>
        <w:rPr>
          <w:rFonts w:hint="default" w:cs="宋体" w:asciiTheme="minorEastAsia" w:hAnsiTheme="minorEastAsia" w:eastAsiaTheme="minorEastAsia"/>
          <w:b/>
          <w:bCs/>
          <w:color w:val="auto"/>
          <w:kern w:val="2"/>
          <w:sz w:val="24"/>
          <w:szCs w:val="24"/>
          <w:highlight w:val="none"/>
          <w:u w:val="single"/>
          <w:lang w:val="en-US" w:eastAsia="zh-CN"/>
        </w:rPr>
      </w:pPr>
      <w:r>
        <w:rPr>
          <w:rFonts w:hint="eastAsia" w:cs="宋体" w:asciiTheme="minorEastAsia" w:hAnsiTheme="minorEastAsia" w:eastAsiaTheme="minorEastAsia"/>
          <w:b/>
          <w:color w:val="auto"/>
          <w:kern w:val="2"/>
          <w:sz w:val="24"/>
          <w:szCs w:val="24"/>
          <w:highlight w:val="none"/>
        </w:rPr>
        <w:t>项目编号：</w:t>
      </w:r>
      <w:r>
        <w:rPr>
          <w:rFonts w:hint="eastAsia" w:cs="宋体" w:asciiTheme="minorEastAsia" w:hAnsiTheme="minorEastAsia" w:eastAsiaTheme="minorEastAsia"/>
          <w:b/>
          <w:color w:val="auto"/>
          <w:kern w:val="2"/>
          <w:sz w:val="24"/>
          <w:szCs w:val="24"/>
          <w:highlight w:val="none"/>
          <w:u w:val="single"/>
        </w:rPr>
        <w:t xml:space="preserve">     </w:t>
      </w:r>
      <w:r>
        <w:rPr>
          <w:rFonts w:hint="eastAsia" w:cs="宋体" w:asciiTheme="minorEastAsia" w:hAnsiTheme="minorEastAsia" w:eastAsiaTheme="minorEastAsia"/>
          <w:b/>
          <w:color w:val="auto"/>
          <w:kern w:val="2"/>
          <w:sz w:val="24"/>
          <w:szCs w:val="24"/>
          <w:highlight w:val="none"/>
          <w:u w:val="single"/>
          <w:lang w:val="en-US" w:eastAsia="zh-CN"/>
        </w:rPr>
        <w:t xml:space="preserve">     </w:t>
      </w:r>
    </w:p>
    <w:tbl>
      <w:tblPr>
        <w:tblStyle w:val="5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2"/>
        <w:gridCol w:w="5950"/>
      </w:tblGrid>
      <w:tr w14:paraId="7D143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509" w:type="pct"/>
            <w:tcBorders>
              <w:top w:val="single" w:color="auto" w:sz="4" w:space="0"/>
              <w:left w:val="single" w:color="auto" w:sz="4" w:space="0"/>
              <w:bottom w:val="single" w:color="auto" w:sz="4" w:space="0"/>
              <w:right w:val="single" w:color="auto" w:sz="4" w:space="0"/>
            </w:tcBorders>
            <w:vAlign w:val="center"/>
          </w:tcPr>
          <w:p w14:paraId="3FB3BDBB">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供应商名称</w:t>
            </w:r>
          </w:p>
        </w:tc>
        <w:tc>
          <w:tcPr>
            <w:tcW w:w="3491" w:type="pct"/>
            <w:tcBorders>
              <w:left w:val="single" w:color="auto" w:sz="4" w:space="0"/>
            </w:tcBorders>
          </w:tcPr>
          <w:p w14:paraId="7DD7A849">
            <w:pPr>
              <w:rPr>
                <w:rFonts w:cs="宋体" w:asciiTheme="minorEastAsia" w:hAnsiTheme="minorEastAsia" w:eastAsiaTheme="minorEastAsia"/>
                <w:b/>
                <w:color w:val="auto"/>
                <w:kern w:val="2"/>
                <w:sz w:val="24"/>
                <w:szCs w:val="24"/>
                <w:highlight w:val="none"/>
              </w:rPr>
            </w:pPr>
          </w:p>
        </w:tc>
      </w:tr>
      <w:tr w14:paraId="3C9F9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509" w:type="pct"/>
            <w:tcBorders>
              <w:top w:val="single" w:color="auto" w:sz="4" w:space="0"/>
              <w:left w:val="single" w:color="auto" w:sz="4" w:space="0"/>
              <w:bottom w:val="single" w:color="auto" w:sz="4" w:space="0"/>
              <w:right w:val="single" w:color="auto" w:sz="4" w:space="0"/>
            </w:tcBorders>
            <w:vAlign w:val="center"/>
          </w:tcPr>
          <w:p w14:paraId="3B2D8F1D">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磋商</w:t>
            </w:r>
            <w:r>
              <w:rPr>
                <w:rFonts w:hint="eastAsia" w:cs="宋体" w:asciiTheme="minorEastAsia" w:hAnsiTheme="minorEastAsia" w:eastAsiaTheme="minorEastAsia"/>
                <w:b/>
                <w:color w:val="auto"/>
                <w:kern w:val="2"/>
                <w:sz w:val="24"/>
                <w:szCs w:val="24"/>
                <w:highlight w:val="none"/>
              </w:rPr>
              <w:t>范围</w:t>
            </w:r>
          </w:p>
        </w:tc>
        <w:tc>
          <w:tcPr>
            <w:tcW w:w="3491" w:type="pct"/>
            <w:tcBorders>
              <w:left w:val="single" w:color="auto" w:sz="4" w:space="0"/>
            </w:tcBorders>
            <w:vAlign w:val="center"/>
          </w:tcPr>
          <w:p w14:paraId="05C0EC6D">
            <w:pPr>
              <w:widowControl/>
              <w:rPr>
                <w:rFonts w:cs="宋体" w:asciiTheme="minorEastAsia" w:hAnsiTheme="minorEastAsia" w:eastAsiaTheme="minorEastAsia"/>
                <w:b/>
                <w:color w:val="auto"/>
                <w:kern w:val="2"/>
                <w:sz w:val="24"/>
                <w:szCs w:val="24"/>
                <w:highlight w:val="none"/>
              </w:rPr>
            </w:pPr>
            <w:r>
              <w:rPr>
                <w:rFonts w:hint="eastAsia" w:cs="@仿宋_GB2312" w:asciiTheme="minorEastAsia" w:hAnsiTheme="minorEastAsia" w:eastAsiaTheme="minorEastAsia"/>
                <w:color w:val="auto"/>
                <w:kern w:val="2"/>
                <w:sz w:val="24"/>
                <w:szCs w:val="28"/>
                <w:highlight w:val="none"/>
              </w:rPr>
              <w:t>全部 / 第</w:t>
            </w:r>
            <w:r>
              <w:rPr>
                <w:rFonts w:hint="eastAsia" w:cs="@仿宋_GB2312" w:asciiTheme="minorEastAsia" w:hAnsiTheme="minorEastAsia" w:eastAsiaTheme="minorEastAsia"/>
                <w:color w:val="auto"/>
                <w:kern w:val="2"/>
                <w:sz w:val="24"/>
                <w:szCs w:val="28"/>
                <w:highlight w:val="none"/>
                <w:u w:val="single"/>
              </w:rPr>
              <w:t xml:space="preserve">   </w:t>
            </w:r>
            <w:r>
              <w:rPr>
                <w:rFonts w:hint="eastAsia" w:cs="@仿宋_GB2312" w:asciiTheme="minorEastAsia" w:hAnsiTheme="minorEastAsia" w:eastAsiaTheme="minorEastAsia"/>
                <w:color w:val="auto"/>
                <w:kern w:val="2"/>
                <w:sz w:val="24"/>
                <w:szCs w:val="28"/>
                <w:highlight w:val="none"/>
              </w:rPr>
              <w:t>包</w:t>
            </w:r>
          </w:p>
        </w:tc>
      </w:tr>
      <w:tr w14:paraId="14C78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jc w:val="center"/>
        </w:trPr>
        <w:tc>
          <w:tcPr>
            <w:tcW w:w="1509" w:type="pct"/>
            <w:tcBorders>
              <w:top w:val="single" w:color="auto" w:sz="4" w:space="0"/>
            </w:tcBorders>
            <w:vAlign w:val="center"/>
          </w:tcPr>
          <w:p w14:paraId="422E57CF">
            <w:pPr>
              <w:spacing w:line="360" w:lineRule="auto"/>
              <w:jc w:val="center"/>
              <w:rPr>
                <w:rFonts w:cs="@仿宋_GB2312"/>
                <w:b/>
                <w:color w:val="auto"/>
                <w:kern w:val="2"/>
                <w:sz w:val="24"/>
                <w:highlight w:val="none"/>
              </w:rPr>
            </w:pPr>
            <w:r>
              <w:rPr>
                <w:rFonts w:hint="eastAsia" w:cs="@仿宋_GB2312"/>
                <w:b/>
                <w:bCs/>
                <w:color w:val="auto"/>
                <w:kern w:val="2"/>
                <w:sz w:val="24"/>
                <w:szCs w:val="28"/>
                <w:highlight w:val="none"/>
              </w:rPr>
              <w:t>最后报价</w:t>
            </w:r>
          </w:p>
          <w:p w14:paraId="77725C53">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（详见备注说明）</w:t>
            </w:r>
          </w:p>
        </w:tc>
        <w:tc>
          <w:tcPr>
            <w:tcW w:w="3491" w:type="pct"/>
            <w:vAlign w:val="center"/>
          </w:tcPr>
          <w:p w14:paraId="79C6B8C1">
            <w:pPr>
              <w:snapToGrid w:val="0"/>
              <w:spacing w:line="360" w:lineRule="auto"/>
              <w:jc w:val="left"/>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大写：</w:t>
            </w:r>
            <w:r>
              <w:rPr>
                <w:rFonts w:hint="eastAsia" w:ascii="宋体" w:hAnsi="宋体" w:eastAsia="宋体" w:cs="宋体"/>
                <w:bCs/>
                <w:color w:val="auto"/>
                <w:sz w:val="24"/>
                <w:szCs w:val="24"/>
                <w:highlight w:val="none"/>
                <w:u w:val="single"/>
              </w:rPr>
              <w:t xml:space="preserve">                     </w:t>
            </w:r>
          </w:p>
          <w:p w14:paraId="17F16970">
            <w:pPr>
              <w:spacing w:line="360" w:lineRule="auto"/>
              <w:ind w:right="-670"/>
              <w:rPr>
                <w:rFonts w:cs="宋体" w:asciiTheme="minorEastAsia" w:hAnsiTheme="minorEastAsia" w:eastAsiaTheme="minorEastAsia"/>
                <w:b/>
                <w:color w:val="auto"/>
                <w:kern w:val="2"/>
                <w:sz w:val="24"/>
                <w:szCs w:val="24"/>
                <w:highlight w:val="none"/>
              </w:rPr>
            </w:pPr>
            <w:r>
              <w:rPr>
                <w:rFonts w:hint="eastAsia" w:ascii="宋体" w:hAnsi="宋体" w:eastAsia="宋体" w:cs="宋体"/>
                <w:bCs/>
                <w:color w:val="auto"/>
                <w:sz w:val="24"/>
                <w:szCs w:val="24"/>
                <w:highlight w:val="none"/>
              </w:rPr>
              <w:t>小写：</w:t>
            </w:r>
            <w:r>
              <w:rPr>
                <w:rFonts w:hint="eastAsia" w:ascii="宋体" w:hAnsi="宋体" w:eastAsia="宋体" w:cs="宋体"/>
                <w:bCs/>
                <w:color w:val="auto"/>
                <w:sz w:val="24"/>
                <w:szCs w:val="24"/>
                <w:highlight w:val="none"/>
                <w:u w:val="single"/>
              </w:rPr>
              <w:t xml:space="preserve">                     </w:t>
            </w:r>
          </w:p>
        </w:tc>
      </w:tr>
      <w:tr w14:paraId="2DF05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509" w:type="pct"/>
            <w:tcBorders>
              <w:top w:val="single" w:color="auto" w:sz="4" w:space="0"/>
            </w:tcBorders>
            <w:vAlign w:val="center"/>
          </w:tcPr>
          <w:p w14:paraId="199A7040">
            <w:pPr>
              <w:snapToGrid w:val="0"/>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质量标准</w:t>
            </w:r>
          </w:p>
        </w:tc>
        <w:tc>
          <w:tcPr>
            <w:tcW w:w="3491" w:type="pct"/>
            <w:vAlign w:val="center"/>
          </w:tcPr>
          <w:p w14:paraId="771B64DB">
            <w:pPr>
              <w:snapToGrid w:val="0"/>
              <w:rPr>
                <w:rFonts w:cs="宋体" w:asciiTheme="minorEastAsia" w:hAnsiTheme="minorEastAsia" w:eastAsiaTheme="minorEastAsia"/>
                <w:b/>
                <w:color w:val="auto"/>
                <w:kern w:val="2"/>
                <w:sz w:val="24"/>
                <w:szCs w:val="24"/>
                <w:highlight w:val="none"/>
              </w:rPr>
            </w:pPr>
          </w:p>
        </w:tc>
      </w:tr>
      <w:tr w14:paraId="66B49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509" w:type="pct"/>
            <w:tcBorders>
              <w:top w:val="single" w:color="auto" w:sz="4" w:space="0"/>
            </w:tcBorders>
            <w:vAlign w:val="center"/>
          </w:tcPr>
          <w:p w14:paraId="4931AFFD">
            <w:pPr>
              <w:snapToGrid w:val="0"/>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工    期</w:t>
            </w:r>
          </w:p>
        </w:tc>
        <w:tc>
          <w:tcPr>
            <w:tcW w:w="3491" w:type="pct"/>
            <w:vAlign w:val="center"/>
          </w:tcPr>
          <w:p w14:paraId="281A83E2">
            <w:pPr>
              <w:snapToGrid w:val="0"/>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Cs/>
                <w:color w:val="auto"/>
                <w:kern w:val="2"/>
                <w:sz w:val="24"/>
                <w:szCs w:val="24"/>
                <w:highlight w:val="none"/>
              </w:rPr>
              <w:t>接开工令后</w:t>
            </w:r>
            <w:r>
              <w:rPr>
                <w:rFonts w:hint="eastAsia" w:cs="宋体" w:asciiTheme="minorEastAsia" w:hAnsiTheme="minorEastAsia" w:eastAsiaTheme="minorEastAsia"/>
                <w:bCs/>
                <w:color w:val="auto"/>
                <w:kern w:val="2"/>
                <w:sz w:val="24"/>
                <w:szCs w:val="24"/>
                <w:highlight w:val="none"/>
                <w:u w:val="single"/>
              </w:rPr>
              <w:t xml:space="preserve">      </w:t>
            </w:r>
            <w:r>
              <w:rPr>
                <w:rFonts w:hint="eastAsia" w:cs="宋体" w:asciiTheme="minorEastAsia" w:hAnsiTheme="minorEastAsia" w:eastAsiaTheme="minorEastAsia"/>
                <w:bCs/>
                <w:color w:val="auto"/>
                <w:kern w:val="2"/>
                <w:sz w:val="24"/>
                <w:szCs w:val="24"/>
                <w:highlight w:val="none"/>
              </w:rPr>
              <w:t>日历天完工</w:t>
            </w:r>
          </w:p>
        </w:tc>
      </w:tr>
      <w:tr w14:paraId="571F1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509" w:type="pct"/>
            <w:tcBorders>
              <w:top w:val="single" w:color="auto" w:sz="4" w:space="0"/>
            </w:tcBorders>
            <w:vAlign w:val="center"/>
          </w:tcPr>
          <w:p w14:paraId="0B3E3DA7">
            <w:pPr>
              <w:snapToGrid w:val="0"/>
              <w:jc w:val="center"/>
              <w:rPr>
                <w:rFonts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是否响应付款方式</w:t>
            </w:r>
          </w:p>
        </w:tc>
        <w:tc>
          <w:tcPr>
            <w:tcW w:w="3491" w:type="pct"/>
            <w:vAlign w:val="center"/>
          </w:tcPr>
          <w:p w14:paraId="0EED114C">
            <w:pPr>
              <w:snapToGrid w:val="0"/>
              <w:rPr>
                <w:rFonts w:cs="宋体" w:asciiTheme="minorEastAsia" w:hAnsiTheme="minorEastAsia" w:eastAsiaTheme="minorEastAsia"/>
                <w:bCs/>
                <w:color w:val="auto"/>
                <w:kern w:val="2"/>
                <w:sz w:val="24"/>
                <w:szCs w:val="24"/>
                <w:highlight w:val="none"/>
              </w:rPr>
            </w:pPr>
            <w:r>
              <w:rPr>
                <w:rFonts w:hint="eastAsia" w:cs="宋体" w:asciiTheme="minorEastAsia" w:hAnsiTheme="minorEastAsia" w:eastAsiaTheme="minorEastAsia"/>
                <w:color w:val="auto"/>
                <w:kern w:val="2"/>
                <w:sz w:val="24"/>
                <w:szCs w:val="24"/>
                <w:highlight w:val="none"/>
              </w:rPr>
              <w:t>是□    否□   （划√）</w:t>
            </w:r>
          </w:p>
        </w:tc>
      </w:tr>
      <w:tr w14:paraId="57850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jc w:val="center"/>
        </w:trPr>
        <w:tc>
          <w:tcPr>
            <w:tcW w:w="1509" w:type="pct"/>
            <w:vAlign w:val="center"/>
          </w:tcPr>
          <w:p w14:paraId="0F794AF4">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备注说明</w:t>
            </w:r>
          </w:p>
        </w:tc>
        <w:tc>
          <w:tcPr>
            <w:tcW w:w="3491" w:type="pct"/>
          </w:tcPr>
          <w:p w14:paraId="636ADCE8">
            <w:pP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i/>
                <w:color w:val="auto"/>
                <w:kern w:val="2"/>
                <w:sz w:val="24"/>
                <w:szCs w:val="24"/>
                <w:highlight w:val="none"/>
              </w:rPr>
              <w:t>（此处可补充磋商小组根据与供应商磋商情况变动的磋商文件的内容，包括采购需求中的技术、服务要求以及合同草案条款。）</w:t>
            </w:r>
          </w:p>
        </w:tc>
      </w:tr>
      <w:tr w14:paraId="7F1AF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1509" w:type="pct"/>
            <w:vAlign w:val="center"/>
          </w:tcPr>
          <w:p w14:paraId="525E0D7D">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磋商小组签字</w:t>
            </w:r>
          </w:p>
        </w:tc>
        <w:tc>
          <w:tcPr>
            <w:tcW w:w="3491" w:type="pct"/>
          </w:tcPr>
          <w:p w14:paraId="26B3E868">
            <w:pPr>
              <w:rPr>
                <w:rFonts w:cs="宋体" w:asciiTheme="minorEastAsia" w:hAnsiTheme="minorEastAsia" w:eastAsiaTheme="minorEastAsia"/>
                <w:b/>
                <w:color w:val="auto"/>
                <w:kern w:val="2"/>
                <w:sz w:val="24"/>
                <w:szCs w:val="24"/>
                <w:highlight w:val="none"/>
              </w:rPr>
            </w:pPr>
          </w:p>
        </w:tc>
      </w:tr>
    </w:tbl>
    <w:p w14:paraId="099E3813">
      <w:pPr>
        <w:spacing w:line="440" w:lineRule="exact"/>
        <w:ind w:firstLine="3600" w:firstLineChars="1500"/>
        <w:rPr>
          <w:rFonts w:cs="@仿宋_GB2312"/>
          <w:color w:val="auto"/>
          <w:kern w:val="2"/>
          <w:sz w:val="24"/>
          <w:szCs w:val="24"/>
          <w:highlight w:val="none"/>
          <w:u w:val="single"/>
        </w:rPr>
      </w:pPr>
      <w:r>
        <w:rPr>
          <w:rFonts w:hint="eastAsia" w:cs="@仿宋_GB2312"/>
          <w:color w:val="auto"/>
          <w:kern w:val="2"/>
          <w:sz w:val="24"/>
          <w:szCs w:val="24"/>
          <w:highlight w:val="none"/>
        </w:rPr>
        <w:t>供应商公章或授权代表签字：</w:t>
      </w:r>
      <w:r>
        <w:rPr>
          <w:rFonts w:hint="eastAsia" w:cs="@仿宋_GB2312"/>
          <w:color w:val="auto"/>
          <w:kern w:val="2"/>
          <w:sz w:val="24"/>
          <w:szCs w:val="24"/>
          <w:highlight w:val="none"/>
          <w:u w:val="single"/>
        </w:rPr>
        <w:t xml:space="preserve">     </w:t>
      </w:r>
      <w:r>
        <w:rPr>
          <w:rFonts w:cs="@仿宋_GB2312"/>
          <w:color w:val="auto"/>
          <w:kern w:val="2"/>
          <w:sz w:val="24"/>
          <w:szCs w:val="24"/>
          <w:highlight w:val="none"/>
          <w:u w:val="single"/>
        </w:rPr>
        <w:t xml:space="preserve">    </w:t>
      </w:r>
      <w:r>
        <w:rPr>
          <w:rFonts w:hint="eastAsia" w:cs="@仿宋_GB2312"/>
          <w:color w:val="auto"/>
          <w:kern w:val="2"/>
          <w:sz w:val="24"/>
          <w:szCs w:val="24"/>
          <w:highlight w:val="none"/>
          <w:u w:val="single"/>
        </w:rPr>
        <w:t xml:space="preserve">    </w:t>
      </w:r>
    </w:p>
    <w:p w14:paraId="46A790F0">
      <w:pPr>
        <w:spacing w:line="440" w:lineRule="exact"/>
        <w:ind w:firstLine="4800" w:firstLineChars="2000"/>
        <w:rPr>
          <w:rFonts w:cs="宋体" w:asciiTheme="minorEastAsia" w:hAnsiTheme="minorEastAsia" w:eastAsiaTheme="minorEastAsia"/>
          <w:b/>
          <w:bCs/>
          <w:color w:val="auto"/>
          <w:kern w:val="2"/>
          <w:sz w:val="24"/>
          <w:szCs w:val="24"/>
          <w:highlight w:val="none"/>
        </w:rPr>
      </w:pPr>
      <w:r>
        <w:rPr>
          <w:rFonts w:hint="eastAsia" w:cs="@仿宋_GB2312"/>
          <w:color w:val="auto"/>
          <w:kern w:val="2"/>
          <w:sz w:val="24"/>
          <w:szCs w:val="24"/>
          <w:highlight w:val="none"/>
        </w:rPr>
        <w:t xml:space="preserve">日     </w:t>
      </w:r>
      <w:r>
        <w:rPr>
          <w:rFonts w:cs="@仿宋_GB2312"/>
          <w:color w:val="auto"/>
          <w:kern w:val="2"/>
          <w:sz w:val="24"/>
          <w:szCs w:val="24"/>
          <w:highlight w:val="none"/>
        </w:rPr>
        <w:t xml:space="preserve">    </w:t>
      </w:r>
      <w:r>
        <w:rPr>
          <w:rFonts w:hint="eastAsia" w:cs="@仿宋_GB2312"/>
          <w:color w:val="auto"/>
          <w:kern w:val="2"/>
          <w:sz w:val="24"/>
          <w:szCs w:val="24"/>
          <w:highlight w:val="none"/>
        </w:rPr>
        <w:t xml:space="preserve"> 期：</w:t>
      </w:r>
      <w:r>
        <w:rPr>
          <w:rFonts w:hint="eastAsia" w:cs="@仿宋_GB2312"/>
          <w:color w:val="auto"/>
          <w:kern w:val="2"/>
          <w:sz w:val="24"/>
          <w:szCs w:val="24"/>
          <w:highlight w:val="none"/>
          <w:u w:val="single"/>
        </w:rPr>
        <w:t xml:space="preserve">             </w:t>
      </w:r>
    </w:p>
    <w:p w14:paraId="0735CD3E">
      <w:pPr>
        <w:spacing w:line="360" w:lineRule="auto"/>
        <w:jc w:val="left"/>
        <w:rPr>
          <w:rFonts w:hint="eastAsia"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注：</w:t>
      </w:r>
    </w:p>
    <w:p w14:paraId="715F2D8B">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bCs/>
          <w:color w:val="auto"/>
          <w:sz w:val="24"/>
          <w:highlight w:val="none"/>
        </w:rPr>
      </w:pPr>
      <w:r>
        <w:rPr>
          <w:rFonts w:hint="eastAsia" w:cs="宋体" w:asciiTheme="minorEastAsia" w:hAnsiTheme="minorEastAsia" w:eastAsiaTheme="minorEastAsia"/>
          <w:b/>
          <w:bCs/>
          <w:color w:val="auto"/>
          <w:kern w:val="2"/>
          <w:sz w:val="24"/>
          <w:szCs w:val="24"/>
          <w:highlight w:val="none"/>
          <w:lang w:val="en-US" w:eastAsia="zh-CN"/>
        </w:rPr>
        <w:t>1.</w:t>
      </w:r>
      <w:r>
        <w:rPr>
          <w:rFonts w:hint="eastAsia" w:cs="@仿宋_GB2312"/>
          <w:b/>
          <w:bCs/>
          <w:color w:val="auto"/>
          <w:kern w:val="2"/>
          <w:sz w:val="24"/>
          <w:highlight w:val="none"/>
        </w:rPr>
        <w:t>本页《报价表》由供应商在接到报价通知后依据磋商情况填写,并在规定时间内提交。</w:t>
      </w:r>
      <w:r>
        <w:rPr>
          <w:rFonts w:hint="eastAsia" w:cs="宋体" w:asciiTheme="minorEastAsia" w:hAnsiTheme="minorEastAsia" w:eastAsiaTheme="minorEastAsia"/>
          <w:color w:val="auto"/>
          <w:kern w:val="2"/>
          <w:sz w:val="24"/>
          <w:szCs w:val="24"/>
          <w:highlight w:val="none"/>
        </w:rPr>
        <w:t>考虑磋商报价的方便，供应商在填写最后承诺报价后，（第一次报价-最后承诺报价）除以第一次报价后得出的优惠率视同为清单中全部分项工程量的优惠浮动值（特定分项优惠除外），而不考虑措施项目清单和规费税金清单的金额改变。</w:t>
      </w:r>
      <w:r>
        <w:rPr>
          <w:rFonts w:hint="eastAsia" w:cs="宋体" w:asciiTheme="minorEastAsia" w:hAnsiTheme="minorEastAsia" w:eastAsiaTheme="minorEastAsia"/>
          <w:bCs/>
          <w:color w:val="auto"/>
          <w:kern w:val="2"/>
          <w:sz w:val="24"/>
          <w:szCs w:val="24"/>
          <w:highlight w:val="none"/>
        </w:rPr>
        <w:t>此优惠率调整原则适用于合同内价格的计算及项目增减、变更时价格的计算。</w:t>
      </w:r>
    </w:p>
    <w:p w14:paraId="13E3867A">
      <w:pPr>
        <w:adjustRightInd w:val="0"/>
        <w:snapToGrid w:val="0"/>
        <w:spacing w:line="360" w:lineRule="auto"/>
        <w:ind w:firstLine="482" w:firstLineChars="200"/>
        <w:rPr>
          <w:rFonts w:hint="default" w:ascii="宋体" w:hAnsi="宋体" w:eastAsia="宋体"/>
          <w:b/>
          <w:bCs/>
          <w:color w:val="auto"/>
          <w:sz w:val="24"/>
          <w:szCs w:val="28"/>
          <w:highlight w:val="none"/>
          <w:lang w:val="en-US" w:eastAsia="zh-CN"/>
        </w:rPr>
      </w:pPr>
      <w:r>
        <w:rPr>
          <w:rFonts w:hint="eastAsia" w:ascii="宋体" w:hAnsi="宋体" w:eastAsia="宋体"/>
          <w:b/>
          <w:bCs/>
          <w:color w:val="auto"/>
          <w:sz w:val="24"/>
          <w:szCs w:val="28"/>
          <w:highlight w:val="none"/>
          <w:lang w:val="en-US" w:eastAsia="zh-CN"/>
        </w:rPr>
        <w:t>2</w:t>
      </w:r>
      <w:r>
        <w:rPr>
          <w:rFonts w:hint="eastAsia" w:ascii="宋体" w:hAnsi="宋体" w:eastAsia="宋体"/>
          <w:b/>
          <w:bCs/>
          <w:color w:val="auto"/>
          <w:sz w:val="24"/>
          <w:szCs w:val="28"/>
          <w:highlight w:val="none"/>
        </w:rPr>
        <w:t>.表中大写金额与小写金额不一致的，以大写金额为准。</w:t>
      </w:r>
    </w:p>
    <w:p w14:paraId="40192C1D">
      <w:pPr>
        <w:widowControl/>
        <w:jc w:val="left"/>
        <w:rPr>
          <w:bCs/>
          <w:color w:val="auto"/>
          <w:sz w:val="24"/>
          <w:highlight w:val="none"/>
        </w:rPr>
      </w:pPr>
      <w:r>
        <w:rPr>
          <w:bCs/>
          <w:color w:val="auto"/>
          <w:sz w:val="24"/>
          <w:highlight w:val="none"/>
        </w:rPr>
        <w:br w:type="page"/>
      </w:r>
    </w:p>
    <w:p w14:paraId="20809A8C">
      <w:pPr>
        <w:keepNext/>
        <w:keepLines/>
        <w:spacing w:before="260" w:after="260" w:line="416" w:lineRule="auto"/>
        <w:jc w:val="center"/>
        <w:outlineLvl w:val="1"/>
        <w:rPr>
          <w:rFonts w:cs="@仿宋_GB2312" w:asciiTheme="minorEastAsia" w:hAnsiTheme="minorEastAsia" w:eastAsiaTheme="minorEastAsia"/>
          <w:b/>
          <w:bCs/>
          <w:color w:val="auto"/>
          <w:kern w:val="2"/>
          <w:sz w:val="24"/>
          <w:szCs w:val="24"/>
          <w:highlight w:val="none"/>
        </w:rPr>
      </w:pPr>
      <w:bookmarkStart w:id="724" w:name="_Toc22429"/>
      <w:bookmarkStart w:id="725" w:name="_Toc7943"/>
      <w:bookmarkStart w:id="726" w:name="_Toc8002"/>
      <w:bookmarkStart w:id="727" w:name="_Toc520983591"/>
      <w:r>
        <w:rPr>
          <w:rFonts w:hint="eastAsia" w:cs="@仿宋_GB2312" w:asciiTheme="minorEastAsia" w:hAnsiTheme="minorEastAsia" w:eastAsiaTheme="minorEastAsia"/>
          <w:b/>
          <w:bCs/>
          <w:color w:val="auto"/>
          <w:kern w:val="2"/>
          <w:sz w:val="24"/>
          <w:szCs w:val="24"/>
          <w:highlight w:val="none"/>
        </w:rPr>
        <w:t>三、供应商综合情况简介</w:t>
      </w:r>
      <w:bookmarkEnd w:id="724"/>
      <w:bookmarkEnd w:id="725"/>
      <w:bookmarkEnd w:id="726"/>
    </w:p>
    <w:p w14:paraId="424DB1E8">
      <w:pPr>
        <w:spacing w:before="156" w:beforeLines="50" w:after="156" w:afterLines="50" w:line="360" w:lineRule="auto"/>
        <w:ind w:firstLine="235" w:firstLineChars="98"/>
        <w:jc w:val="center"/>
        <w:rPr>
          <w:color w:val="auto"/>
          <w:sz w:val="24"/>
          <w:szCs w:val="28"/>
          <w:highlight w:val="none"/>
        </w:rPr>
      </w:pPr>
      <w:r>
        <w:rPr>
          <w:rFonts w:hint="eastAsia"/>
          <w:color w:val="auto"/>
          <w:sz w:val="24"/>
          <w:szCs w:val="28"/>
          <w:highlight w:val="none"/>
        </w:rPr>
        <w:t>（供应商可自行制作格式）</w:t>
      </w:r>
    </w:p>
    <w:p w14:paraId="7D2D1D69">
      <w:pPr>
        <w:widowControl/>
        <w:jc w:val="left"/>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br w:type="page"/>
      </w:r>
    </w:p>
    <w:p w14:paraId="05E40557">
      <w:pPr>
        <w:spacing w:line="360" w:lineRule="auto"/>
        <w:jc w:val="center"/>
        <w:outlineLvl w:val="1"/>
        <w:rPr>
          <w:rFonts w:asciiTheme="minorEastAsia" w:hAnsiTheme="minorEastAsia" w:eastAsiaTheme="minorEastAsia"/>
          <w:b/>
          <w:color w:val="auto"/>
          <w:sz w:val="24"/>
          <w:highlight w:val="none"/>
        </w:rPr>
      </w:pPr>
      <w:bookmarkStart w:id="728" w:name="_Toc9090"/>
      <w:bookmarkStart w:id="729" w:name="_Toc8006"/>
      <w:bookmarkStart w:id="730" w:name="_Toc28160"/>
      <w:r>
        <w:rPr>
          <w:rFonts w:hint="eastAsia" w:asciiTheme="minorEastAsia" w:hAnsiTheme="minorEastAsia" w:eastAsiaTheme="minorEastAsia"/>
          <w:b/>
          <w:color w:val="auto"/>
          <w:sz w:val="24"/>
          <w:highlight w:val="none"/>
        </w:rPr>
        <w:t>四、磋商响应函</w:t>
      </w:r>
      <w:bookmarkEnd w:id="727"/>
      <w:bookmarkEnd w:id="728"/>
      <w:bookmarkEnd w:id="729"/>
      <w:bookmarkEnd w:id="730"/>
    </w:p>
    <w:p w14:paraId="4952E7A0">
      <w:pPr>
        <w:spacing w:line="360" w:lineRule="auto"/>
        <w:rPr>
          <w:rFonts w:hint="eastAsia" w:cs="宋体" w:asciiTheme="minorEastAsia" w:hAnsiTheme="minorEastAsia" w:eastAsiaTheme="minorEastAsia"/>
          <w:b/>
          <w:color w:val="auto"/>
          <w:kern w:val="2"/>
          <w:sz w:val="24"/>
          <w:szCs w:val="24"/>
          <w:highlight w:val="none"/>
          <w:u w:val="single"/>
          <w:lang w:eastAsia="zh-CN"/>
        </w:rPr>
      </w:pPr>
      <w:r>
        <w:rPr>
          <w:rFonts w:hint="eastAsia" w:cs="宋体" w:asciiTheme="minorEastAsia" w:hAnsiTheme="minorEastAsia" w:eastAsiaTheme="minorEastAsia"/>
          <w:b/>
          <w:color w:val="auto"/>
          <w:kern w:val="2"/>
          <w:sz w:val="24"/>
          <w:szCs w:val="24"/>
          <w:highlight w:val="none"/>
        </w:rPr>
        <w:t>致：</w:t>
      </w:r>
      <w:r>
        <w:rPr>
          <w:rFonts w:hint="eastAsia" w:cs="宋体" w:asciiTheme="minorEastAsia" w:hAnsiTheme="minorEastAsia" w:eastAsiaTheme="minorEastAsia"/>
          <w:b/>
          <w:color w:val="auto"/>
          <w:kern w:val="2"/>
          <w:sz w:val="24"/>
          <w:szCs w:val="24"/>
          <w:highlight w:val="none"/>
          <w:u w:val="single"/>
          <w:lang w:eastAsia="zh-CN"/>
        </w:rPr>
        <w:t>采购人</w:t>
      </w:r>
    </w:p>
    <w:p w14:paraId="729578A9">
      <w:pPr>
        <w:spacing w:line="360" w:lineRule="auto"/>
        <w:ind w:firstLine="480" w:firstLineChars="200"/>
        <w:rPr>
          <w:rFonts w:cs="宋体" w:asciiTheme="minorEastAsia" w:hAnsiTheme="minorEastAsia" w:eastAsiaTheme="minorEastAsia"/>
          <w:color w:val="auto"/>
          <w:kern w:val="2"/>
          <w:sz w:val="24"/>
          <w:szCs w:val="24"/>
          <w:highlight w:val="none"/>
        </w:rPr>
      </w:pPr>
      <w:r>
        <w:rPr>
          <w:rFonts w:hint="eastAsia" w:cs="宋体" w:asciiTheme="minorEastAsia" w:hAnsiTheme="minorEastAsia" w:eastAsiaTheme="minorEastAsia"/>
          <w:color w:val="auto"/>
          <w:kern w:val="2"/>
          <w:sz w:val="24"/>
          <w:szCs w:val="24"/>
          <w:highlight w:val="none"/>
        </w:rPr>
        <w:t>根据贵方的竞争性磋商公告和磋商邀请，我方兹宣布同意如下：</w:t>
      </w:r>
    </w:p>
    <w:p w14:paraId="6691E750">
      <w:pPr>
        <w:spacing w:line="360" w:lineRule="auto"/>
        <w:ind w:firstLine="480" w:firstLineChars="200"/>
        <w:rPr>
          <w:rFonts w:cs="宋体" w:asciiTheme="minorEastAsia" w:hAnsiTheme="minorEastAsia" w:eastAsiaTheme="minorEastAsia"/>
          <w:color w:val="auto"/>
          <w:kern w:val="2"/>
          <w:sz w:val="24"/>
          <w:szCs w:val="24"/>
          <w:highlight w:val="none"/>
          <w:u w:val="single"/>
        </w:rPr>
      </w:pPr>
      <w:r>
        <w:rPr>
          <w:rFonts w:hint="eastAsia" w:cs="宋体" w:asciiTheme="minorEastAsia" w:hAnsiTheme="minorEastAsia" w:eastAsiaTheme="minorEastAsia"/>
          <w:color w:val="auto"/>
          <w:kern w:val="2"/>
          <w:sz w:val="24"/>
          <w:szCs w:val="24"/>
          <w:highlight w:val="none"/>
        </w:rPr>
        <w:t>1.经踏勘项目现场和研究上述磋商文件的磋商须知、合同条款、图纸和工程建设技术标准及其他有关文件后，我方接受上述文件要求，并对工程量清单及最高投标限价无异议。我方</w:t>
      </w:r>
      <w:r>
        <w:rPr>
          <w:rFonts w:hint="eastAsia" w:cs="宋体" w:asciiTheme="minorEastAsia" w:hAnsiTheme="minorEastAsia" w:eastAsiaTheme="minorEastAsia"/>
          <w:bCs/>
          <w:color w:val="auto"/>
          <w:kern w:val="2"/>
          <w:sz w:val="24"/>
          <w:szCs w:val="24"/>
          <w:highlight w:val="none"/>
        </w:rPr>
        <w:t>承诺按本磋商文件、施工图纸、合同条款和工程建设技术标准的条件、</w:t>
      </w:r>
      <w:r>
        <w:rPr>
          <w:rFonts w:hint="eastAsia" w:cs="宋体" w:asciiTheme="minorEastAsia" w:hAnsiTheme="minorEastAsia" w:eastAsiaTheme="minorEastAsia"/>
          <w:color w:val="auto"/>
          <w:kern w:val="2"/>
          <w:sz w:val="24"/>
          <w:szCs w:val="24"/>
          <w:highlight w:val="none"/>
        </w:rPr>
        <w:t>承担</w:t>
      </w:r>
      <w:r>
        <w:rPr>
          <w:rFonts w:hint="eastAsia" w:cs="宋体" w:asciiTheme="minorEastAsia" w:hAnsiTheme="minorEastAsia" w:eastAsiaTheme="minorEastAsia"/>
          <w:bCs/>
          <w:color w:val="auto"/>
          <w:kern w:val="2"/>
          <w:sz w:val="24"/>
          <w:szCs w:val="24"/>
          <w:highlight w:val="none"/>
        </w:rPr>
        <w:t>上述工程的施工、竣工，并承担任何质量缺陷保修责任。</w:t>
      </w:r>
    </w:p>
    <w:p w14:paraId="2B6FC9B0">
      <w:pPr>
        <w:spacing w:line="360" w:lineRule="auto"/>
        <w:ind w:firstLine="480" w:firstLineChars="200"/>
        <w:rPr>
          <w:rFonts w:cs="宋体" w:asciiTheme="minorEastAsia" w:hAnsiTheme="minorEastAsia" w:eastAsiaTheme="minorEastAsia"/>
          <w:color w:val="auto"/>
          <w:kern w:val="2"/>
          <w:sz w:val="24"/>
          <w:szCs w:val="24"/>
          <w:highlight w:val="none"/>
        </w:rPr>
      </w:pPr>
      <w:r>
        <w:rPr>
          <w:rFonts w:hint="eastAsia" w:cs="宋体" w:asciiTheme="minorEastAsia" w:hAnsiTheme="minorEastAsia" w:eastAsiaTheme="minorEastAsia"/>
          <w:color w:val="auto"/>
          <w:kern w:val="2"/>
          <w:sz w:val="24"/>
          <w:szCs w:val="24"/>
          <w:highlight w:val="none"/>
        </w:rPr>
        <w:t>2.我方已详细审核并确认全部磋商文件及有关附件，充分理解磋商价格不得低于企业个别成本有关规定。我方经成本核算，所填报的磋商报价不低于企业个别成本。</w:t>
      </w:r>
    </w:p>
    <w:p w14:paraId="66D3A1B2">
      <w:pPr>
        <w:spacing w:line="360" w:lineRule="auto"/>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w:t>
      </w:r>
      <w:r>
        <w:rPr>
          <w:rFonts w:hint="eastAsia" w:ascii="宋体" w:hAnsi="宋体" w:eastAsia="宋体" w:cs="宋体"/>
          <w:color w:val="auto"/>
          <w:sz w:val="24"/>
          <w:szCs w:val="24"/>
          <w:highlight w:val="none"/>
        </w:rPr>
        <w:t>我方保证按磋商文件约定的工期和磋商文件或业主开工令的要求如期开工、工程质量达到合格标准、如期竣工并移交整个工程。</w:t>
      </w:r>
    </w:p>
    <w:p w14:paraId="735EAB56">
      <w:pPr>
        <w:spacing w:line="360" w:lineRule="auto"/>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4</w:t>
      </w:r>
      <w:r>
        <w:rPr>
          <w:rFonts w:hint="eastAsia" w:ascii="宋体" w:hAnsi="宋体" w:eastAsia="宋体" w:cs="宋体"/>
          <w:color w:val="auto"/>
          <w:kern w:val="2"/>
          <w:sz w:val="24"/>
          <w:szCs w:val="24"/>
          <w:highlight w:val="none"/>
        </w:rPr>
        <w:t>.我方同意所提交的响应文件在磋商文件规定的磋商有效期内有效，在此期间内如果成交，我方将受此约束。</w:t>
      </w:r>
    </w:p>
    <w:p w14:paraId="5680F910">
      <w:pPr>
        <w:spacing w:line="360" w:lineRule="auto"/>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rPr>
        <w:t>.除非另外达成协议并生效，你方的成交通知书和本响应文件以及磋商文件、磋商文件澄清、修改、补充将成为约束双方的合同文件的组成部分。</w:t>
      </w:r>
    </w:p>
    <w:p w14:paraId="75E45CF5">
      <w:pPr>
        <w:spacing w:line="360" w:lineRule="auto"/>
        <w:ind w:firstLine="480" w:firstLineChars="200"/>
        <w:rPr>
          <w:rFonts w:cs="宋体" w:asciiTheme="minorEastAsia" w:hAnsiTheme="minorEastAsia" w:eastAsiaTheme="minorEastAsia"/>
          <w:color w:val="auto"/>
          <w:kern w:val="2"/>
          <w:sz w:val="24"/>
          <w:szCs w:val="24"/>
          <w:highlight w:val="none"/>
          <w:u w:val="single"/>
        </w:rPr>
      </w:pPr>
      <w:r>
        <w:rPr>
          <w:rFonts w:hint="eastAsia" w:cs="宋体"/>
          <w:color w:val="auto"/>
          <w:kern w:val="2"/>
          <w:sz w:val="24"/>
          <w:szCs w:val="24"/>
          <w:highlight w:val="none"/>
          <w:lang w:val="en-US" w:eastAsia="zh-CN"/>
        </w:rPr>
        <w:t>6</w:t>
      </w:r>
      <w:r>
        <w:rPr>
          <w:rFonts w:hint="eastAsia" w:ascii="宋体" w:hAnsi="宋体" w:eastAsia="宋体" w:cs="宋体"/>
          <w:color w:val="auto"/>
          <w:kern w:val="2"/>
          <w:sz w:val="24"/>
          <w:szCs w:val="24"/>
          <w:highlight w:val="none"/>
        </w:rPr>
        <w:t>.其他补充说明</w:t>
      </w:r>
      <w:r>
        <w:rPr>
          <w:rFonts w:hint="eastAsia" w:cs="宋体" w:asciiTheme="minorEastAsia" w:hAnsiTheme="minorEastAsia" w:eastAsiaTheme="minorEastAsia"/>
          <w:color w:val="auto"/>
          <w:kern w:val="2"/>
          <w:sz w:val="24"/>
          <w:szCs w:val="24"/>
          <w:highlight w:val="none"/>
        </w:rPr>
        <w:t>：</w:t>
      </w:r>
      <w:r>
        <w:rPr>
          <w:rFonts w:hint="eastAsia" w:cs="宋体" w:asciiTheme="minorEastAsia" w:hAnsiTheme="minorEastAsia" w:eastAsiaTheme="minorEastAsia"/>
          <w:color w:val="auto"/>
          <w:kern w:val="2"/>
          <w:sz w:val="24"/>
          <w:szCs w:val="24"/>
          <w:highlight w:val="none"/>
          <w:u w:val="single"/>
        </w:rPr>
        <w:t xml:space="preserve">  （</w:t>
      </w:r>
      <w:r>
        <w:rPr>
          <w:rFonts w:hint="eastAsia" w:cs="宋体" w:asciiTheme="minorEastAsia" w:hAnsiTheme="minorEastAsia" w:eastAsiaTheme="minorEastAsia"/>
          <w:i/>
          <w:iCs/>
          <w:color w:val="auto"/>
          <w:kern w:val="2"/>
          <w:sz w:val="24"/>
          <w:szCs w:val="24"/>
          <w:highlight w:val="none"/>
          <w:u w:val="single"/>
        </w:rPr>
        <w:t>如有</w:t>
      </w:r>
      <w:r>
        <w:rPr>
          <w:rFonts w:hint="eastAsia" w:cs="宋体" w:asciiTheme="minorEastAsia" w:hAnsiTheme="minorEastAsia" w:eastAsiaTheme="minorEastAsia"/>
          <w:color w:val="auto"/>
          <w:kern w:val="2"/>
          <w:sz w:val="24"/>
          <w:szCs w:val="24"/>
          <w:highlight w:val="none"/>
          <w:u w:val="single"/>
        </w:rPr>
        <w:t xml:space="preserve">）       </w:t>
      </w:r>
    </w:p>
    <w:p w14:paraId="379C7A13">
      <w:pPr>
        <w:pStyle w:val="54"/>
        <w:ind w:firstLine="200"/>
        <w:rPr>
          <w:color w:val="auto"/>
          <w:highlight w:val="none"/>
          <w:lang w:val="en-US"/>
        </w:rPr>
      </w:pPr>
    </w:p>
    <w:p w14:paraId="58B66CDE">
      <w:pPr>
        <w:spacing w:line="360" w:lineRule="auto"/>
        <w:ind w:firstLine="4800" w:firstLineChars="2000"/>
        <w:rPr>
          <w:rFonts w:cs="@仿宋_GB2312"/>
          <w:color w:val="auto"/>
          <w:kern w:val="2"/>
          <w:sz w:val="24"/>
          <w:highlight w:val="none"/>
        </w:rPr>
      </w:pPr>
      <w:r>
        <w:rPr>
          <w:rFonts w:hint="eastAsia" w:cs="@仿宋_GB2312"/>
          <w:color w:val="auto"/>
          <w:kern w:val="2"/>
          <w:sz w:val="24"/>
          <w:highlight w:val="none"/>
        </w:rPr>
        <w:t>供应商</w:t>
      </w:r>
      <w:r>
        <w:rPr>
          <w:rFonts w:hint="eastAsia" w:cs="@仿宋_GB2312" w:asciiTheme="minorEastAsia" w:hAnsiTheme="minorEastAsia" w:eastAsiaTheme="minorEastAsia"/>
          <w:bCs/>
          <w:color w:val="auto"/>
          <w:kern w:val="2"/>
          <w:sz w:val="24"/>
          <w:highlight w:val="none"/>
          <w:lang w:val="en-US" w:eastAsia="zh-CN"/>
        </w:rPr>
        <w:t>盖</w:t>
      </w:r>
      <w:r>
        <w:rPr>
          <w:rFonts w:hint="eastAsia" w:cs="@仿宋_GB2312"/>
          <w:color w:val="auto"/>
          <w:kern w:val="2"/>
          <w:sz w:val="24"/>
          <w:highlight w:val="none"/>
        </w:rPr>
        <w:t>章：</w:t>
      </w:r>
      <w:r>
        <w:rPr>
          <w:rFonts w:hint="eastAsia" w:cs="@仿宋_GB2312"/>
          <w:color w:val="auto"/>
          <w:kern w:val="2"/>
          <w:sz w:val="24"/>
          <w:highlight w:val="none"/>
          <w:u w:val="single"/>
        </w:rPr>
        <w:t xml:space="preserve">             </w:t>
      </w:r>
    </w:p>
    <w:p w14:paraId="2A124A47">
      <w:pPr>
        <w:spacing w:line="360" w:lineRule="auto"/>
        <w:ind w:firstLine="4800" w:firstLineChars="2000"/>
        <w:rPr>
          <w:rFonts w:cs="@仿宋_GB2312"/>
          <w:color w:val="auto"/>
          <w:kern w:val="2"/>
          <w:sz w:val="24"/>
          <w:highlight w:val="none"/>
          <w:u w:val="single"/>
        </w:rPr>
      </w:pPr>
      <w:r>
        <w:rPr>
          <w:rFonts w:hint="eastAsia" w:cs="@仿宋_GB2312"/>
          <w:color w:val="auto"/>
          <w:kern w:val="2"/>
          <w:sz w:val="24"/>
          <w:highlight w:val="none"/>
        </w:rPr>
        <w:t>日          期：</w:t>
      </w:r>
      <w:r>
        <w:rPr>
          <w:rFonts w:hint="eastAsia" w:cs="@仿宋_GB2312"/>
          <w:color w:val="auto"/>
          <w:kern w:val="2"/>
          <w:sz w:val="24"/>
          <w:highlight w:val="none"/>
          <w:u w:val="single"/>
        </w:rPr>
        <w:t xml:space="preserve">             </w:t>
      </w:r>
    </w:p>
    <w:p w14:paraId="1B5186DD">
      <w:pPr>
        <w:widowControl/>
        <w:jc w:val="left"/>
        <w:rPr>
          <w:color w:val="auto"/>
          <w:sz w:val="24"/>
          <w:highlight w:val="none"/>
        </w:rPr>
      </w:pPr>
      <w:r>
        <w:rPr>
          <w:color w:val="auto"/>
          <w:sz w:val="24"/>
          <w:highlight w:val="none"/>
        </w:rPr>
        <w:br w:type="page"/>
      </w:r>
    </w:p>
    <w:p w14:paraId="7F03E5CF">
      <w:pPr>
        <w:spacing w:line="360" w:lineRule="auto"/>
        <w:jc w:val="center"/>
        <w:outlineLvl w:val="1"/>
        <w:rPr>
          <w:b/>
          <w:i/>
          <w:color w:val="auto"/>
          <w:sz w:val="24"/>
          <w:highlight w:val="yellow"/>
        </w:rPr>
      </w:pPr>
      <w:bookmarkStart w:id="731" w:name="_Toc2947"/>
      <w:bookmarkStart w:id="732" w:name="_Toc29228"/>
      <w:bookmarkStart w:id="733" w:name="_Toc20728"/>
      <w:r>
        <w:rPr>
          <w:rFonts w:hint="eastAsia" w:asciiTheme="minorEastAsia" w:hAnsiTheme="minorEastAsia" w:eastAsiaTheme="minorEastAsia"/>
          <w:b/>
          <w:color w:val="auto"/>
          <w:sz w:val="24"/>
          <w:highlight w:val="none"/>
        </w:rPr>
        <w:t>五、</w:t>
      </w:r>
      <w:bookmarkEnd w:id="731"/>
      <w:bookmarkStart w:id="734" w:name="_Toc8658"/>
      <w:r>
        <w:rPr>
          <w:rFonts w:hint="eastAsia" w:asciiTheme="minorEastAsia" w:hAnsiTheme="minorEastAsia" w:eastAsiaTheme="minorEastAsia"/>
          <w:b/>
          <w:color w:val="auto"/>
          <w:sz w:val="24"/>
          <w:highlight w:val="none"/>
          <w:lang w:val="en-US" w:eastAsia="zh-CN"/>
        </w:rPr>
        <w:t>供应商资格声明书</w:t>
      </w:r>
      <w:bookmarkEnd w:id="732"/>
      <w:bookmarkEnd w:id="733"/>
      <w:r>
        <w:rPr>
          <w:rFonts w:hint="eastAsia" w:asciiTheme="minorEastAsia" w:hAnsiTheme="minorEastAsia" w:eastAsiaTheme="minorEastAsia"/>
          <w:b/>
          <w:color w:val="auto"/>
          <w:sz w:val="24"/>
          <w:highlight w:val="none"/>
          <w:lang w:val="en-US" w:eastAsia="zh-CN"/>
        </w:rPr>
        <w:t xml:space="preserve"> </w:t>
      </w:r>
    </w:p>
    <w:p w14:paraId="25DEC77F">
      <w:pPr>
        <w:pStyle w:val="31"/>
        <w:spacing w:line="360" w:lineRule="auto"/>
        <w:rPr>
          <w:rFonts w:hint="eastAsia" w:eastAsia="宋体" w:asciiTheme="minorEastAsia" w:hAnsiTheme="minorEastAsia" w:cstheme="minorEastAsia"/>
          <w:sz w:val="24"/>
          <w:szCs w:val="24"/>
          <w:highlight w:val="none"/>
          <w:lang w:eastAsia="zh-CN"/>
        </w:rPr>
      </w:pPr>
      <w:r>
        <w:rPr>
          <w:rFonts w:hint="eastAsia" w:ascii="宋体" w:hAnsi="宋体"/>
          <w:color w:val="auto"/>
          <w:sz w:val="24"/>
          <w:highlight w:val="none"/>
        </w:rPr>
        <w:t>致：</w:t>
      </w:r>
      <w:r>
        <w:rPr>
          <w:rFonts w:hint="eastAsia" w:ascii="宋体" w:hAnsi="宋体"/>
          <w:color w:val="auto"/>
          <w:sz w:val="24"/>
          <w:highlight w:val="none"/>
          <w:u w:val="single"/>
          <w:lang w:eastAsia="zh-CN"/>
        </w:rPr>
        <w:t>采购人</w:t>
      </w:r>
    </w:p>
    <w:p w14:paraId="563FF47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在参与本次项目磋商中，我单位承诺：</w:t>
      </w:r>
    </w:p>
    <w:p w14:paraId="5C649EB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（一）具有良好的商业信誉和健全的财务会计制度；</w:t>
      </w:r>
    </w:p>
    <w:p w14:paraId="0E885ED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（二）具有履行合同所必需的设备和专业技术能力；</w:t>
      </w:r>
    </w:p>
    <w:p w14:paraId="2FA5066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（三）有依法缴纳税收和社会保障资金的良好记录；</w:t>
      </w:r>
    </w:p>
    <w:p w14:paraId="17231F8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kern w:val="0"/>
          <w:sz w:val="24"/>
          <w:szCs w:val="24"/>
          <w:highlight w:val="no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四）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27AE65E7">
      <w:pPr>
        <w:spacing w:line="360" w:lineRule="auto"/>
        <w:rPr>
          <w:rFonts w:hint="eastAsia" w:ascii="宋体" w:hAnsi="宋体" w:eastAsia="宋体" w:cs="宋体"/>
          <w:color w:val="auto"/>
          <w:kern w:val="2"/>
          <w:sz w:val="24"/>
          <w:szCs w:val="24"/>
          <w:highlight w:val="none"/>
        </w:rPr>
      </w:pP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五</w:t>
      </w: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我单位</w:t>
      </w:r>
      <w:r>
        <w:rPr>
          <w:rFonts w:hint="eastAsia" w:ascii="宋体" w:hAnsi="宋体" w:eastAsia="宋体" w:cs="宋体"/>
          <w:color w:val="auto"/>
          <w:kern w:val="2"/>
          <w:sz w:val="24"/>
          <w:szCs w:val="24"/>
          <w:highlight w:val="none"/>
        </w:rPr>
        <w:t>近三年内，未发生重大质量事故和重大安全事故（以有关行政管理部门的行政处罚决定或司法机关出具的有关法律文书为准），前述行政处罚已完成信用修复的，但自行政处罚作出机关或信用修复主管部门同意修复之日起满一年的，不受三年期限限制；</w:t>
      </w:r>
    </w:p>
    <w:p w14:paraId="49C2C2CC">
      <w:pPr>
        <w:spacing w:line="360" w:lineRule="auto"/>
        <w:rPr>
          <w:rFonts w:hint="eastAsia" w:ascii="宋体" w:hAnsi="宋体" w:eastAsia="宋体" w:cs="宋体"/>
          <w:color w:val="auto"/>
          <w:kern w:val="2"/>
          <w:sz w:val="24"/>
          <w:szCs w:val="24"/>
          <w:highlight w:val="none"/>
        </w:rPr>
      </w:pP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六</w:t>
      </w: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我单位</w:t>
      </w:r>
      <w:r>
        <w:rPr>
          <w:rFonts w:hint="eastAsia" w:ascii="宋体" w:hAnsi="宋体" w:eastAsia="宋体" w:cs="宋体"/>
          <w:color w:val="auto"/>
          <w:kern w:val="2"/>
          <w:sz w:val="24"/>
          <w:szCs w:val="24"/>
          <w:highlight w:val="none"/>
        </w:rPr>
        <w:t>在本项目</w:t>
      </w:r>
      <w:r>
        <w:rPr>
          <w:rFonts w:hint="eastAsia" w:cs="宋体"/>
          <w:color w:val="auto"/>
          <w:kern w:val="2"/>
          <w:sz w:val="24"/>
          <w:szCs w:val="24"/>
          <w:highlight w:val="none"/>
          <w:lang w:val="en-US" w:eastAsia="zh-CN"/>
        </w:rPr>
        <w:t>磋商</w:t>
      </w:r>
      <w:r>
        <w:rPr>
          <w:rFonts w:hint="eastAsia" w:ascii="宋体" w:hAnsi="宋体" w:eastAsia="宋体" w:cs="宋体"/>
          <w:color w:val="auto"/>
          <w:kern w:val="2"/>
          <w:sz w:val="24"/>
          <w:szCs w:val="24"/>
          <w:highlight w:val="none"/>
        </w:rPr>
        <w:t>有效期内，在本项目所在区域未存在因质量事故、安全事故等被限期承包工程或市场不良行为等被限制磋商资格行为，且处于处罚期内的情况；</w:t>
      </w:r>
    </w:p>
    <w:p w14:paraId="7943800B">
      <w:pPr>
        <w:spacing w:line="360" w:lineRule="auto"/>
        <w:rPr>
          <w:rFonts w:hint="eastAsia"/>
          <w:highlight w:val="none"/>
        </w:rPr>
      </w:pP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七</w:t>
      </w: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我单位</w:t>
      </w:r>
      <w:r>
        <w:rPr>
          <w:rFonts w:hint="eastAsia" w:ascii="宋体" w:hAnsi="宋体" w:eastAsia="宋体" w:cs="宋体"/>
          <w:color w:val="auto"/>
          <w:sz w:val="24"/>
          <w:szCs w:val="24"/>
          <w:highlight w:val="none"/>
        </w:rPr>
        <w:t>未被“信用中国”网站列入拖欠农民工工资失信联合惩戒对象名单</w:t>
      </w:r>
      <w:r>
        <w:rPr>
          <w:rFonts w:hint="eastAsia" w:ascii="宋体" w:hAnsi="宋体" w:eastAsia="宋体" w:cs="宋体"/>
          <w:color w:val="auto"/>
          <w:kern w:val="2"/>
          <w:sz w:val="24"/>
          <w:szCs w:val="24"/>
          <w:highlight w:val="none"/>
        </w:rPr>
        <w:t>；</w:t>
      </w:r>
    </w:p>
    <w:p w14:paraId="7DC22E5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（八）我单位不存在为采购项目提供整体设计、规范编制或者项目管理、监理、检测等服务后，再参加该采购项目的其他采购活动的情形（单一来源采购项目除外）；</w:t>
      </w:r>
    </w:p>
    <w:p w14:paraId="6215EB6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kern w:val="0"/>
          <w:sz w:val="24"/>
          <w:szCs w:val="24"/>
          <w:highlight w:val="no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（九）与我单位存在单位负责人为同一人或者存在直接控股、管理关系的其他法人单位信息如下（如有，不论其是否参加同一合同项下的政府采购活动均须填写）：</w:t>
      </w:r>
    </w:p>
    <w:tbl>
      <w:tblPr>
        <w:tblStyle w:val="5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0D17A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55D186FC">
            <w:pPr>
              <w:keepNext w:val="0"/>
              <w:keepLines w:val="0"/>
              <w:pageBreakBefore w:val="0"/>
              <w:widowControl/>
              <w:suppressLineNumbers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序号</w:t>
            </w:r>
          </w:p>
        </w:tc>
        <w:tc>
          <w:tcPr>
            <w:tcW w:w="2841" w:type="dxa"/>
          </w:tcPr>
          <w:p w14:paraId="4CF33716">
            <w:pPr>
              <w:pStyle w:val="2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单位名称</w:t>
            </w:r>
          </w:p>
        </w:tc>
        <w:tc>
          <w:tcPr>
            <w:tcW w:w="2841" w:type="dxa"/>
          </w:tcPr>
          <w:p w14:paraId="03D6F119">
            <w:pPr>
              <w:pStyle w:val="2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相互关系</w:t>
            </w:r>
          </w:p>
        </w:tc>
      </w:tr>
      <w:tr w14:paraId="5D35F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6DEB574B">
            <w:pPr>
              <w:pStyle w:val="2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default"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vertAlign w:val="baseline"/>
                <w:lang w:val="en-US" w:eastAsia="zh-CN" w:bidi="ar"/>
              </w:rPr>
              <w:t>1</w:t>
            </w:r>
          </w:p>
        </w:tc>
        <w:tc>
          <w:tcPr>
            <w:tcW w:w="2841" w:type="dxa"/>
          </w:tcPr>
          <w:p w14:paraId="47509D6E">
            <w:pPr>
              <w:pStyle w:val="2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c>
          <w:tcPr>
            <w:tcW w:w="2841" w:type="dxa"/>
          </w:tcPr>
          <w:p w14:paraId="5F233BE9">
            <w:pPr>
              <w:pStyle w:val="2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r>
      <w:tr w14:paraId="5E92A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4CBF7092">
            <w:pPr>
              <w:pStyle w:val="2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default"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vertAlign w:val="baseline"/>
                <w:lang w:val="en-US" w:eastAsia="zh-CN" w:bidi="ar"/>
              </w:rPr>
              <w:t>2</w:t>
            </w:r>
          </w:p>
        </w:tc>
        <w:tc>
          <w:tcPr>
            <w:tcW w:w="2841" w:type="dxa"/>
          </w:tcPr>
          <w:p w14:paraId="47DD09B1">
            <w:pPr>
              <w:pStyle w:val="2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c>
          <w:tcPr>
            <w:tcW w:w="2841" w:type="dxa"/>
          </w:tcPr>
          <w:p w14:paraId="16F68668">
            <w:pPr>
              <w:pStyle w:val="2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r>
    </w:tbl>
    <w:p w14:paraId="76C5A33E">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rPr>
        <w:t>本单位对</w:t>
      </w:r>
      <w:r>
        <w:rPr>
          <w:rFonts w:hint="eastAsia" w:asciiTheme="minorEastAsia" w:hAnsiTheme="minorEastAsia" w:eastAsiaTheme="minorEastAsia"/>
          <w:color w:val="auto"/>
          <w:sz w:val="24"/>
          <w:highlight w:val="none"/>
        </w:rPr>
        <w:t>上述</w:t>
      </w:r>
      <w:r>
        <w:rPr>
          <w:rFonts w:hint="eastAsia" w:ascii="宋体" w:hAnsi="宋体" w:eastAsia="宋体"/>
          <w:color w:val="auto"/>
          <w:sz w:val="24"/>
          <w:highlight w:val="none"/>
        </w:rPr>
        <w:t>声明的真实性负责。如有虚假，将依法承担相应责任。</w:t>
      </w:r>
    </w:p>
    <w:p w14:paraId="4BAD1058">
      <w:pPr>
        <w:spacing w:line="360" w:lineRule="auto"/>
        <w:ind w:firstLine="4800" w:firstLineChars="2000"/>
        <w:rPr>
          <w:rFonts w:ascii="宋体" w:hAnsi="宋体" w:eastAsia="宋体"/>
          <w:color w:val="auto"/>
          <w:sz w:val="24"/>
          <w:highlight w:val="none"/>
          <w:u w:val="single"/>
        </w:rPr>
      </w:pPr>
      <w:r>
        <w:rPr>
          <w:rFonts w:hint="eastAsia"/>
          <w:color w:val="auto"/>
          <w:sz w:val="24"/>
          <w:highlight w:val="none"/>
          <w:lang w:val="en-US" w:eastAsia="zh-CN"/>
        </w:rPr>
        <w:t>供应商</w:t>
      </w:r>
      <w:r>
        <w:rPr>
          <w:rFonts w:hint="eastAsia" w:cs="@仿宋_GB2312" w:asciiTheme="minorEastAsia" w:hAnsiTheme="minorEastAsia" w:eastAsiaTheme="minorEastAsia"/>
          <w:bCs/>
          <w:color w:val="auto"/>
          <w:kern w:val="2"/>
          <w:sz w:val="24"/>
          <w:highlight w:val="none"/>
          <w:lang w:val="en-US" w:eastAsia="zh-CN"/>
        </w:rPr>
        <w:t>盖章</w:t>
      </w:r>
      <w:r>
        <w:rPr>
          <w:rFonts w:hint="eastAsia" w:ascii="宋体" w:hAnsi="宋体" w:eastAsia="宋体"/>
          <w:color w:val="auto"/>
          <w:sz w:val="24"/>
          <w:highlight w:val="none"/>
        </w:rPr>
        <w:t>：</w:t>
      </w:r>
      <w:r>
        <w:rPr>
          <w:rFonts w:hint="eastAsia" w:ascii="宋体" w:hAnsi="宋体" w:eastAsia="宋体"/>
          <w:color w:val="auto"/>
          <w:sz w:val="24"/>
          <w:highlight w:val="none"/>
          <w:u w:val="single"/>
        </w:rPr>
        <w:t xml:space="preserve">     </w:t>
      </w:r>
      <w:r>
        <w:rPr>
          <w:rFonts w:ascii="宋体" w:hAnsi="宋体" w:eastAsia="宋体"/>
          <w:color w:val="auto"/>
          <w:sz w:val="24"/>
          <w:highlight w:val="none"/>
          <w:u w:val="single"/>
        </w:rPr>
        <w:t xml:space="preserve">    </w:t>
      </w:r>
      <w:r>
        <w:rPr>
          <w:rFonts w:hint="eastAsia" w:ascii="宋体" w:hAnsi="宋体" w:eastAsia="宋体"/>
          <w:color w:val="auto"/>
          <w:sz w:val="24"/>
          <w:highlight w:val="none"/>
          <w:u w:val="single"/>
        </w:rPr>
        <w:t xml:space="preserve">    </w:t>
      </w:r>
    </w:p>
    <w:p w14:paraId="1CE9A1DD">
      <w:pPr>
        <w:spacing w:line="360" w:lineRule="auto"/>
        <w:jc w:val="center"/>
        <w:outlineLvl w:val="9"/>
        <w:rPr>
          <w:rFonts w:hint="eastAsia" w:asciiTheme="minorEastAsia" w:hAnsiTheme="minorEastAsia" w:eastAsiaTheme="minorEastAsia"/>
          <w:b/>
          <w:color w:val="auto"/>
          <w:sz w:val="24"/>
          <w:highlight w:val="none"/>
        </w:rPr>
        <w:sectPr>
          <w:headerReference r:id="rId5" w:type="default"/>
          <w:footerReference r:id="rId6" w:type="default"/>
          <w:pgSz w:w="11906" w:h="16838"/>
          <w:pgMar w:top="1440" w:right="1800" w:bottom="1440" w:left="1800" w:header="851" w:footer="992" w:gutter="0"/>
          <w:pgNumType w:start="1"/>
          <w:cols w:space="425" w:num="1"/>
          <w:docGrid w:type="lines" w:linePitch="312" w:charSpace="0"/>
        </w:sectPr>
      </w:pPr>
      <w:r>
        <w:rPr>
          <w:rFonts w:hint="eastAsia"/>
          <w:color w:val="auto"/>
          <w:sz w:val="24"/>
          <w:highlight w:val="none"/>
          <w:lang w:val="en-US" w:eastAsia="zh-CN"/>
        </w:rPr>
        <w:t xml:space="preserve">                           </w:t>
      </w:r>
      <w:r>
        <w:rPr>
          <w:rFonts w:hint="eastAsia" w:ascii="宋体" w:hAnsi="宋体" w:eastAsia="宋体"/>
          <w:color w:val="auto"/>
          <w:sz w:val="24"/>
          <w:highlight w:val="none"/>
        </w:rPr>
        <w:t>日          期：</w:t>
      </w:r>
      <w:r>
        <w:rPr>
          <w:rFonts w:hint="eastAsia" w:ascii="宋体" w:hAnsi="宋体" w:eastAsia="宋体"/>
          <w:color w:val="auto"/>
          <w:sz w:val="24"/>
          <w:highlight w:val="none"/>
          <w:u w:val="single"/>
        </w:rPr>
        <w:t xml:space="preserve">     </w:t>
      </w:r>
      <w:r>
        <w:rPr>
          <w:rFonts w:ascii="宋体" w:hAnsi="宋体" w:eastAsia="宋体"/>
          <w:color w:val="auto"/>
          <w:sz w:val="24"/>
          <w:highlight w:val="none"/>
          <w:u w:val="single"/>
        </w:rPr>
        <w:t xml:space="preserve">    </w:t>
      </w:r>
      <w:r>
        <w:rPr>
          <w:rFonts w:hint="eastAsia" w:ascii="宋体" w:hAnsi="宋体" w:eastAsia="宋体"/>
          <w:color w:val="auto"/>
          <w:sz w:val="24"/>
          <w:highlight w:val="none"/>
          <w:u w:val="single"/>
        </w:rPr>
        <w:t xml:space="preserve">    </w:t>
      </w:r>
      <w:r>
        <w:rPr>
          <w:rFonts w:hint="eastAsia" w:ascii="宋体" w:hAnsi="宋体" w:eastAsia="宋体"/>
          <w:color w:val="auto"/>
          <w:sz w:val="24"/>
          <w:highlight w:val="none"/>
        </w:rPr>
        <w:t xml:space="preserve">         </w:t>
      </w:r>
      <w:bookmarkEnd w:id="734"/>
    </w:p>
    <w:p w14:paraId="7255DD8A">
      <w:pPr>
        <w:widowControl/>
        <w:jc w:val="center"/>
        <w:outlineLvl w:val="1"/>
        <w:rPr>
          <w:rFonts w:asciiTheme="minorEastAsia" w:hAnsiTheme="minorEastAsia" w:eastAsiaTheme="minorEastAsia"/>
          <w:b/>
          <w:color w:val="auto"/>
          <w:sz w:val="24"/>
          <w:highlight w:val="none"/>
          <w:u w:val="none"/>
        </w:rPr>
      </w:pPr>
      <w:bookmarkStart w:id="735" w:name="_Toc909"/>
      <w:bookmarkStart w:id="736" w:name="_Toc520983594"/>
      <w:bookmarkStart w:id="737" w:name="_Toc22556"/>
      <w:bookmarkStart w:id="738" w:name="_Toc516969106"/>
      <w:bookmarkStart w:id="739" w:name="_Toc204594911"/>
      <w:bookmarkStart w:id="740" w:name="_Toc121626298"/>
      <w:bookmarkStart w:id="741" w:name="_Toc25503"/>
      <w:r>
        <w:rPr>
          <w:rFonts w:hint="eastAsia" w:asciiTheme="minorEastAsia" w:hAnsiTheme="minorEastAsia" w:eastAsiaTheme="minorEastAsia"/>
          <w:b/>
          <w:color w:val="auto"/>
          <w:sz w:val="24"/>
          <w:highlight w:val="none"/>
          <w:u w:val="none"/>
        </w:rPr>
        <w:t>六、授权书</w:t>
      </w:r>
      <w:bookmarkEnd w:id="735"/>
      <w:bookmarkEnd w:id="736"/>
      <w:bookmarkEnd w:id="737"/>
      <w:bookmarkEnd w:id="738"/>
      <w:bookmarkEnd w:id="739"/>
      <w:bookmarkEnd w:id="740"/>
      <w:bookmarkEnd w:id="741"/>
    </w:p>
    <w:p w14:paraId="11270535">
      <w:pPr>
        <w:spacing w:line="360" w:lineRule="auto"/>
        <w:jc w:val="center"/>
        <w:rPr>
          <w:rFonts w:asciiTheme="minorEastAsia" w:hAnsiTheme="minorEastAsia" w:eastAsiaTheme="minorEastAsia"/>
          <w:b/>
          <w:color w:val="auto"/>
          <w:sz w:val="24"/>
          <w:highlight w:val="none"/>
        </w:rPr>
      </w:pPr>
    </w:p>
    <w:p w14:paraId="26E49620">
      <w:pPr>
        <w:pStyle w:val="29"/>
        <w:snapToGrid w:val="0"/>
        <w:spacing w:line="360" w:lineRule="auto"/>
        <w:ind w:firstLine="480" w:firstLineChars="200"/>
        <w:jc w:val="left"/>
        <w:rPr>
          <w:rFonts w:hAnsi="宋体" w:eastAsia="宋体"/>
          <w:color w:val="auto"/>
          <w:sz w:val="24"/>
          <w:szCs w:val="28"/>
          <w:highlight w:val="none"/>
        </w:rPr>
      </w:pPr>
      <w:r>
        <w:rPr>
          <w:rFonts w:hint="eastAsia" w:hAnsi="宋体" w:eastAsia="宋体"/>
          <w:color w:val="auto"/>
          <w:sz w:val="24"/>
          <w:szCs w:val="28"/>
          <w:highlight w:val="none"/>
        </w:rPr>
        <w:t>本授权书声明：</w:t>
      </w:r>
      <w:r>
        <w:rPr>
          <w:rFonts w:hint="eastAsia" w:hAnsi="宋体" w:eastAsia="宋体"/>
          <w:color w:val="auto"/>
          <w:sz w:val="24"/>
          <w:szCs w:val="28"/>
          <w:highlight w:val="none"/>
          <w:u w:val="single"/>
        </w:rPr>
        <w:t xml:space="preserve">           </w:t>
      </w:r>
      <w:r>
        <w:rPr>
          <w:rFonts w:hint="eastAsia" w:hAnsi="宋体" w:eastAsia="宋体"/>
          <w:color w:val="auto"/>
          <w:sz w:val="24"/>
          <w:szCs w:val="28"/>
          <w:highlight w:val="none"/>
        </w:rPr>
        <w:t>（供应商名称）授权</w:t>
      </w:r>
      <w:r>
        <w:rPr>
          <w:rFonts w:hint="eastAsia" w:hAnsi="宋体" w:eastAsia="宋体"/>
          <w:color w:val="auto"/>
          <w:sz w:val="24"/>
          <w:szCs w:val="28"/>
          <w:highlight w:val="none"/>
          <w:u w:val="single"/>
        </w:rPr>
        <w:t xml:space="preserve">       </w:t>
      </w:r>
      <w:r>
        <w:rPr>
          <w:rFonts w:hint="eastAsia" w:hAnsi="宋体" w:eastAsia="宋体"/>
          <w:color w:val="auto"/>
          <w:sz w:val="24"/>
          <w:szCs w:val="28"/>
          <w:highlight w:val="none"/>
        </w:rPr>
        <w:t>（供应商授权代表姓名）代表我方参加本项目</w:t>
      </w:r>
      <w:r>
        <w:rPr>
          <w:rFonts w:hint="eastAsia" w:hAnsi="宋体" w:eastAsia="宋体"/>
          <w:bCs/>
          <w:color w:val="auto"/>
          <w:sz w:val="24"/>
          <w:szCs w:val="28"/>
          <w:highlight w:val="none"/>
        </w:rPr>
        <w:t>采购活动</w:t>
      </w:r>
      <w:r>
        <w:rPr>
          <w:rFonts w:hint="eastAsia" w:hAnsi="宋体" w:eastAsia="宋体"/>
          <w:color w:val="auto"/>
          <w:sz w:val="24"/>
          <w:szCs w:val="28"/>
          <w:highlight w:val="none"/>
        </w:rPr>
        <w:t>，全权代表我方处理磋商过程的一切事宜，包括但不限于：提交响应文件、参与磋商、签约等。供应商授权代表在采购活动过程中所签署的一切文件和处理与之有关的一切事务，本公司均予以认可并对此承担责任。供应商授权代表无转委托权。特此授权。</w:t>
      </w:r>
    </w:p>
    <w:p w14:paraId="38678EDE">
      <w:pPr>
        <w:pStyle w:val="29"/>
        <w:snapToGrid w:val="0"/>
        <w:spacing w:line="360" w:lineRule="auto"/>
        <w:ind w:firstLine="480" w:firstLineChars="200"/>
        <w:jc w:val="left"/>
        <w:rPr>
          <w:rFonts w:hAnsi="宋体" w:eastAsia="宋体"/>
          <w:color w:val="auto"/>
          <w:sz w:val="24"/>
          <w:szCs w:val="28"/>
          <w:highlight w:val="none"/>
        </w:rPr>
      </w:pPr>
      <w:r>
        <w:rPr>
          <w:rFonts w:hint="eastAsia" w:hAnsi="宋体" w:eastAsia="宋体"/>
          <w:color w:val="auto"/>
          <w:sz w:val="24"/>
          <w:szCs w:val="28"/>
          <w:highlight w:val="none"/>
        </w:rPr>
        <w:t>本授权书自出具之日起生效。</w:t>
      </w:r>
    </w:p>
    <w:p w14:paraId="6ADB2E8D">
      <w:pPr>
        <w:pStyle w:val="29"/>
        <w:snapToGrid w:val="0"/>
        <w:spacing w:line="360" w:lineRule="auto"/>
        <w:ind w:firstLine="480" w:firstLineChars="200"/>
        <w:jc w:val="left"/>
        <w:rPr>
          <w:rFonts w:hAnsi="宋体" w:eastAsia="宋体"/>
          <w:color w:val="auto"/>
          <w:sz w:val="24"/>
          <w:highlight w:val="none"/>
        </w:rPr>
      </w:pPr>
      <w:r>
        <w:rPr>
          <w:rFonts w:hint="eastAsia" w:hAnsi="宋体" w:eastAsia="宋体"/>
          <w:color w:val="auto"/>
          <w:sz w:val="24"/>
          <w:szCs w:val="28"/>
          <w:highlight w:val="none"/>
        </w:rPr>
        <w:t>授权代表</w:t>
      </w:r>
      <w:r>
        <w:rPr>
          <w:rFonts w:hint="eastAsia" w:hAnsi="宋体" w:eastAsia="宋体"/>
          <w:color w:val="auto"/>
          <w:sz w:val="24"/>
          <w:highlight w:val="none"/>
        </w:rPr>
        <w:t>身份证明扫描件：</w:t>
      </w:r>
    </w:p>
    <w:p w14:paraId="2ED6A197">
      <w:pPr>
        <w:pStyle w:val="29"/>
        <w:snapToGrid w:val="0"/>
        <w:spacing w:line="360" w:lineRule="auto"/>
        <w:ind w:firstLine="480" w:firstLineChars="200"/>
        <w:jc w:val="left"/>
        <w:rPr>
          <w:rFonts w:hAnsi="宋体" w:eastAsia="宋体"/>
          <w:color w:val="auto"/>
          <w:sz w:val="24"/>
          <w:highlight w:val="none"/>
        </w:rPr>
      </w:pPr>
    </w:p>
    <w:p w14:paraId="0C67746A">
      <w:pPr>
        <w:pStyle w:val="29"/>
        <w:snapToGrid w:val="0"/>
        <w:spacing w:line="360" w:lineRule="auto"/>
        <w:ind w:firstLine="480" w:firstLineChars="200"/>
        <w:jc w:val="left"/>
        <w:rPr>
          <w:rFonts w:hAnsi="宋体" w:eastAsia="宋体"/>
          <w:color w:val="auto"/>
          <w:sz w:val="24"/>
          <w:highlight w:val="none"/>
        </w:rPr>
      </w:pPr>
    </w:p>
    <w:p w14:paraId="02FEFADF">
      <w:pPr>
        <w:pStyle w:val="29"/>
        <w:snapToGrid w:val="0"/>
        <w:spacing w:line="360" w:lineRule="auto"/>
        <w:ind w:firstLine="480" w:firstLineChars="200"/>
        <w:jc w:val="left"/>
        <w:rPr>
          <w:rFonts w:hAnsi="宋体" w:eastAsia="宋体"/>
          <w:color w:val="auto"/>
          <w:sz w:val="24"/>
          <w:highlight w:val="none"/>
        </w:rPr>
      </w:pPr>
    </w:p>
    <w:p w14:paraId="264FEBE7">
      <w:pPr>
        <w:pStyle w:val="29"/>
        <w:snapToGrid w:val="0"/>
        <w:spacing w:line="360" w:lineRule="auto"/>
        <w:ind w:firstLine="480" w:firstLineChars="200"/>
        <w:jc w:val="left"/>
        <w:rPr>
          <w:rFonts w:hAnsi="宋体" w:eastAsia="宋体"/>
          <w:color w:val="auto"/>
          <w:sz w:val="24"/>
          <w:highlight w:val="none"/>
        </w:rPr>
      </w:pPr>
    </w:p>
    <w:p w14:paraId="4C9051C3">
      <w:pPr>
        <w:pStyle w:val="29"/>
        <w:snapToGrid w:val="0"/>
        <w:spacing w:line="360" w:lineRule="auto"/>
        <w:ind w:firstLine="480" w:firstLineChars="200"/>
        <w:jc w:val="left"/>
        <w:rPr>
          <w:rFonts w:hAnsi="宋体" w:eastAsia="宋体"/>
          <w:color w:val="auto"/>
          <w:sz w:val="24"/>
          <w:szCs w:val="28"/>
          <w:highlight w:val="none"/>
          <w:u w:val="single"/>
        </w:rPr>
      </w:pPr>
      <w:r>
        <w:rPr>
          <w:rFonts w:hint="eastAsia" w:hAnsi="宋体" w:eastAsia="宋体"/>
          <w:color w:val="auto"/>
          <w:sz w:val="24"/>
          <w:szCs w:val="28"/>
          <w:highlight w:val="none"/>
        </w:rPr>
        <w:t>授权代表联系方式：</w:t>
      </w:r>
      <w:r>
        <w:rPr>
          <w:rFonts w:hint="eastAsia" w:hAnsi="宋体" w:eastAsia="宋体"/>
          <w:color w:val="auto"/>
          <w:sz w:val="24"/>
          <w:szCs w:val="28"/>
          <w:highlight w:val="none"/>
          <w:u w:val="single"/>
        </w:rPr>
        <w:t xml:space="preserve">          （请填写手机号码）</w:t>
      </w:r>
    </w:p>
    <w:p w14:paraId="4B746BB4">
      <w:pPr>
        <w:pStyle w:val="29"/>
        <w:snapToGrid w:val="0"/>
        <w:spacing w:line="360" w:lineRule="auto"/>
        <w:ind w:firstLine="480" w:firstLineChars="200"/>
        <w:jc w:val="left"/>
        <w:rPr>
          <w:rFonts w:hAnsi="宋体" w:eastAsia="宋体"/>
          <w:color w:val="auto"/>
          <w:sz w:val="24"/>
          <w:szCs w:val="28"/>
          <w:highlight w:val="none"/>
        </w:rPr>
      </w:pPr>
    </w:p>
    <w:p w14:paraId="275D34ED">
      <w:pPr>
        <w:spacing w:line="360" w:lineRule="auto"/>
        <w:ind w:firstLine="360" w:firstLineChars="150"/>
        <w:rPr>
          <w:color w:val="auto"/>
          <w:sz w:val="24"/>
          <w:szCs w:val="28"/>
          <w:highlight w:val="none"/>
        </w:rPr>
      </w:pPr>
      <w:r>
        <w:rPr>
          <w:rFonts w:hint="eastAsia"/>
          <w:color w:val="auto"/>
          <w:sz w:val="24"/>
          <w:szCs w:val="28"/>
          <w:highlight w:val="none"/>
        </w:rPr>
        <w:t>特此声明。</w:t>
      </w:r>
    </w:p>
    <w:p w14:paraId="7DCD667A">
      <w:pPr>
        <w:spacing w:line="360" w:lineRule="auto"/>
        <w:rPr>
          <w:color w:val="auto"/>
          <w:sz w:val="24"/>
          <w:szCs w:val="28"/>
          <w:highlight w:val="none"/>
        </w:rPr>
      </w:pPr>
    </w:p>
    <w:p w14:paraId="32B21A0E">
      <w:pPr>
        <w:spacing w:line="360" w:lineRule="auto"/>
        <w:jc w:val="center"/>
        <w:rPr>
          <w:bCs/>
          <w:color w:val="auto"/>
          <w:sz w:val="24"/>
          <w:szCs w:val="28"/>
          <w:highlight w:val="none"/>
        </w:rPr>
      </w:pPr>
      <w:r>
        <w:rPr>
          <w:rFonts w:hint="eastAsia"/>
          <w:bCs/>
          <w:color w:val="auto"/>
          <w:sz w:val="24"/>
          <w:szCs w:val="28"/>
          <w:highlight w:val="none"/>
          <w:lang w:val="en-US" w:eastAsia="zh-CN"/>
        </w:rPr>
        <w:t xml:space="preserve">                    </w:t>
      </w:r>
      <w:r>
        <w:rPr>
          <w:rFonts w:hint="eastAsia"/>
          <w:bCs/>
          <w:color w:val="auto"/>
          <w:sz w:val="24"/>
          <w:szCs w:val="28"/>
          <w:highlight w:val="none"/>
        </w:rPr>
        <w:t>供应商</w:t>
      </w:r>
      <w:r>
        <w:rPr>
          <w:rFonts w:hint="eastAsia" w:cs="@仿宋_GB2312" w:asciiTheme="minorEastAsia" w:hAnsiTheme="minorEastAsia" w:eastAsiaTheme="minorEastAsia"/>
          <w:bCs/>
          <w:color w:val="auto"/>
          <w:kern w:val="2"/>
          <w:sz w:val="24"/>
          <w:highlight w:val="none"/>
          <w:lang w:val="en-US" w:eastAsia="zh-CN"/>
        </w:rPr>
        <w:t>盖章</w:t>
      </w:r>
      <w:r>
        <w:rPr>
          <w:rFonts w:hint="eastAsia"/>
          <w:bCs/>
          <w:color w:val="auto"/>
          <w:sz w:val="24"/>
          <w:szCs w:val="28"/>
          <w:highlight w:val="none"/>
        </w:rPr>
        <w:t>：</w:t>
      </w:r>
      <w:r>
        <w:rPr>
          <w:rFonts w:hint="eastAsia"/>
          <w:bCs/>
          <w:color w:val="auto"/>
          <w:sz w:val="24"/>
          <w:szCs w:val="28"/>
          <w:highlight w:val="none"/>
          <w:u w:val="single"/>
        </w:rPr>
        <w:t xml:space="preserve">                    </w:t>
      </w:r>
    </w:p>
    <w:p w14:paraId="2F362CF2">
      <w:pPr>
        <w:spacing w:line="360" w:lineRule="auto"/>
        <w:rPr>
          <w:color w:val="auto"/>
          <w:sz w:val="24"/>
          <w:szCs w:val="28"/>
          <w:highlight w:val="none"/>
        </w:rPr>
      </w:pPr>
      <w:r>
        <w:rPr>
          <w:rFonts w:hint="eastAsia"/>
          <w:color w:val="auto"/>
          <w:sz w:val="24"/>
          <w:szCs w:val="28"/>
          <w:highlight w:val="none"/>
          <w:lang w:val="en-US" w:eastAsia="zh-CN"/>
        </w:rPr>
        <w:t xml:space="preserve">                                        </w:t>
      </w:r>
      <w:r>
        <w:rPr>
          <w:rFonts w:hint="eastAsia"/>
          <w:color w:val="auto"/>
          <w:sz w:val="24"/>
          <w:szCs w:val="28"/>
          <w:highlight w:val="none"/>
        </w:rPr>
        <w:t>日          期：</w:t>
      </w:r>
      <w:r>
        <w:rPr>
          <w:rFonts w:hint="eastAsia"/>
          <w:color w:val="auto"/>
          <w:sz w:val="24"/>
          <w:szCs w:val="28"/>
          <w:highlight w:val="none"/>
          <w:u w:val="single"/>
        </w:rPr>
        <w:t xml:space="preserve">                    </w:t>
      </w:r>
    </w:p>
    <w:p w14:paraId="7E04AFCC">
      <w:pPr>
        <w:spacing w:line="360" w:lineRule="auto"/>
        <w:rPr>
          <w:color w:val="auto"/>
          <w:sz w:val="24"/>
          <w:szCs w:val="28"/>
          <w:highlight w:val="none"/>
        </w:rPr>
      </w:pPr>
    </w:p>
    <w:p w14:paraId="7F52C75A">
      <w:pPr>
        <w:pStyle w:val="29"/>
        <w:snapToGrid w:val="0"/>
        <w:spacing w:line="360" w:lineRule="auto"/>
        <w:jc w:val="left"/>
        <w:rPr>
          <w:rFonts w:hAnsi="宋体" w:eastAsia="宋体"/>
          <w:color w:val="auto"/>
          <w:sz w:val="24"/>
          <w:szCs w:val="28"/>
          <w:highlight w:val="none"/>
        </w:rPr>
      </w:pPr>
      <w:r>
        <w:rPr>
          <w:rFonts w:hint="eastAsia" w:hAnsi="宋体" w:eastAsia="宋体"/>
          <w:color w:val="auto"/>
          <w:sz w:val="24"/>
          <w:szCs w:val="28"/>
          <w:highlight w:val="none"/>
        </w:rPr>
        <w:t>注：</w:t>
      </w:r>
    </w:p>
    <w:p w14:paraId="5CDA2C8B">
      <w:pPr>
        <w:pStyle w:val="29"/>
        <w:snapToGrid w:val="0"/>
        <w:spacing w:line="360" w:lineRule="auto"/>
        <w:jc w:val="left"/>
        <w:rPr>
          <w:rFonts w:hAnsi="宋体" w:eastAsia="宋体"/>
          <w:color w:val="auto"/>
          <w:sz w:val="24"/>
          <w:szCs w:val="28"/>
          <w:highlight w:val="none"/>
        </w:rPr>
      </w:pPr>
      <w:r>
        <w:rPr>
          <w:rFonts w:hint="eastAsia" w:hAnsi="宋体" w:eastAsia="宋体"/>
          <w:color w:val="auto"/>
          <w:sz w:val="24"/>
          <w:szCs w:val="28"/>
          <w:highlight w:val="none"/>
        </w:rPr>
        <w:t>1.本项目只允许有唯一的供应商授权代表，提供身份证明扫描件；</w:t>
      </w:r>
    </w:p>
    <w:p w14:paraId="4745C4C6">
      <w:pPr>
        <w:spacing w:line="360" w:lineRule="auto"/>
        <w:jc w:val="left"/>
        <w:rPr>
          <w:color w:val="auto"/>
          <w:sz w:val="24"/>
          <w:highlight w:val="none"/>
        </w:rPr>
      </w:pPr>
      <w:r>
        <w:rPr>
          <w:rFonts w:hint="eastAsia"/>
          <w:color w:val="auto"/>
          <w:sz w:val="24"/>
          <w:highlight w:val="none"/>
        </w:rPr>
        <w:t>2.法定代表人参加磋商的无需提供授权书，仅提供身份证明扫描件。</w:t>
      </w:r>
    </w:p>
    <w:p w14:paraId="3C2E55A4">
      <w:pPr>
        <w:widowControl/>
        <w:jc w:val="left"/>
        <w:rPr>
          <w:color w:val="auto"/>
          <w:sz w:val="24"/>
          <w:highlight w:val="none"/>
        </w:rPr>
      </w:pPr>
      <w:r>
        <w:rPr>
          <w:color w:val="auto"/>
          <w:sz w:val="24"/>
          <w:highlight w:val="none"/>
        </w:rPr>
        <w:br w:type="page"/>
      </w:r>
    </w:p>
    <w:p w14:paraId="7C8504D9">
      <w:pPr>
        <w:keepNext/>
        <w:keepLines/>
        <w:spacing w:before="260" w:after="260" w:line="416" w:lineRule="auto"/>
        <w:jc w:val="center"/>
        <w:outlineLvl w:val="1"/>
        <w:rPr>
          <w:rFonts w:cs="@仿宋_GB2312" w:asciiTheme="minorEastAsia" w:hAnsiTheme="minorEastAsia" w:eastAsiaTheme="minorEastAsia"/>
          <w:b/>
          <w:bCs/>
          <w:color w:val="auto"/>
          <w:kern w:val="2"/>
          <w:sz w:val="24"/>
          <w:szCs w:val="24"/>
          <w:highlight w:val="none"/>
        </w:rPr>
      </w:pPr>
      <w:bookmarkStart w:id="742" w:name="_Toc17394"/>
      <w:bookmarkStart w:id="743" w:name="_Toc12223"/>
      <w:bookmarkStart w:id="744" w:name="_Toc32351"/>
      <w:r>
        <w:rPr>
          <w:rFonts w:hint="eastAsia" w:cs="@仿宋_GB2312" w:asciiTheme="minorEastAsia" w:hAnsiTheme="minorEastAsia" w:eastAsiaTheme="minorEastAsia"/>
          <w:b/>
          <w:bCs/>
          <w:color w:val="auto"/>
          <w:kern w:val="2"/>
          <w:sz w:val="24"/>
          <w:szCs w:val="24"/>
          <w:highlight w:val="none"/>
        </w:rPr>
        <w:t>七、法定代表人身份证明书</w:t>
      </w:r>
      <w:bookmarkEnd w:id="742"/>
      <w:bookmarkEnd w:id="743"/>
      <w:bookmarkEnd w:id="744"/>
    </w:p>
    <w:p w14:paraId="600ACFEE">
      <w:pPr>
        <w:autoSpaceDE w:val="0"/>
        <w:autoSpaceDN w:val="0"/>
        <w:adjustRightInd w:val="0"/>
        <w:spacing w:line="360" w:lineRule="auto"/>
        <w:jc w:val="center"/>
        <w:rPr>
          <w:rFonts w:ascii="@仿宋_GB2312" w:eastAsia="@仿宋_GB2312" w:cs="宋体"/>
          <w:b/>
          <w:color w:val="auto"/>
          <w:kern w:val="2"/>
          <w:sz w:val="21"/>
          <w:szCs w:val="24"/>
          <w:highlight w:val="none"/>
          <w:lang w:val="zh-CN"/>
        </w:rPr>
      </w:pPr>
    </w:p>
    <w:p w14:paraId="4952D8DF">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单位名称：</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14:paraId="364297B0">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单位性质：</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14:paraId="50B2CE2D">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地    址：</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14:paraId="519489EA">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成立时间：</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年</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月</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日</w:t>
      </w:r>
    </w:p>
    <w:p w14:paraId="7B46A28F">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经营期限：</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14:paraId="6F394529">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姓    名：</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 性 </w:t>
      </w:r>
      <w:r>
        <w:rPr>
          <w:rFonts w:ascii="Calibri" w:hAnsi="Calibri" w:cs="Times New Roman"/>
          <w:color w:val="auto"/>
          <w:kern w:val="2"/>
          <w:sz w:val="24"/>
          <w:szCs w:val="28"/>
          <w:highlight w:val="none"/>
        </w:rPr>
        <w:t xml:space="preserve">  </w:t>
      </w:r>
      <w:r>
        <w:rPr>
          <w:rFonts w:hint="eastAsia" w:ascii="Calibri" w:hAnsi="Calibri" w:cs="Times New Roman"/>
          <w:color w:val="auto"/>
          <w:kern w:val="2"/>
          <w:sz w:val="24"/>
          <w:szCs w:val="28"/>
          <w:highlight w:val="none"/>
        </w:rPr>
        <w:t xml:space="preserve"> 别：</w:t>
      </w:r>
      <w:r>
        <w:rPr>
          <w:rFonts w:hint="eastAsia" w:ascii="Calibri" w:hAnsi="Calibri" w:cs="Times New Roman"/>
          <w:color w:val="auto"/>
          <w:kern w:val="2"/>
          <w:sz w:val="24"/>
          <w:szCs w:val="28"/>
          <w:highlight w:val="none"/>
          <w:u w:val="single"/>
        </w:rPr>
        <w:t xml:space="preserve">             </w:t>
      </w:r>
    </w:p>
    <w:p w14:paraId="4D4D2E36">
      <w:pPr>
        <w:snapToGrid w:val="0"/>
        <w:spacing w:line="360" w:lineRule="auto"/>
        <w:ind w:firstLine="480" w:firstLineChars="200"/>
        <w:jc w:val="left"/>
        <w:rPr>
          <w:rFonts w:ascii="Calibri" w:hAnsi="Calibri" w:cs="Times New Roman"/>
          <w:color w:val="auto"/>
          <w:kern w:val="2"/>
          <w:sz w:val="24"/>
          <w:szCs w:val="28"/>
          <w:highlight w:val="none"/>
          <w:u w:val="single"/>
        </w:rPr>
      </w:pPr>
      <w:r>
        <w:rPr>
          <w:rFonts w:hint="eastAsia" w:ascii="Calibri" w:hAnsi="Calibri" w:cs="Times New Roman"/>
          <w:color w:val="auto"/>
          <w:kern w:val="2"/>
          <w:sz w:val="24"/>
          <w:szCs w:val="28"/>
          <w:highlight w:val="none"/>
        </w:rPr>
        <w:t>年    龄：</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 职    务：</w:t>
      </w:r>
      <w:r>
        <w:rPr>
          <w:rFonts w:hint="eastAsia" w:ascii="Calibri" w:hAnsi="Calibri" w:cs="Times New Roman"/>
          <w:color w:val="auto"/>
          <w:kern w:val="2"/>
          <w:sz w:val="24"/>
          <w:szCs w:val="28"/>
          <w:highlight w:val="none"/>
          <w:u w:val="single"/>
        </w:rPr>
        <w:t xml:space="preserve">             </w:t>
      </w:r>
    </w:p>
    <w:p w14:paraId="0149B6B2">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联系</w:t>
      </w:r>
      <w:r>
        <w:rPr>
          <w:rFonts w:ascii="Calibri" w:hAnsi="Calibri" w:cs="Times New Roman"/>
          <w:color w:val="auto"/>
          <w:kern w:val="2"/>
          <w:sz w:val="24"/>
          <w:szCs w:val="28"/>
          <w:highlight w:val="none"/>
        </w:rPr>
        <w:t>电话</w:t>
      </w:r>
      <w:r>
        <w:rPr>
          <w:rFonts w:hint="eastAsia" w:ascii="Calibri" w:hAnsi="Calibri" w:cs="Times New Roman"/>
          <w:color w:val="auto"/>
          <w:kern w:val="2"/>
          <w:sz w:val="24"/>
          <w:szCs w:val="28"/>
          <w:highlight w:val="none"/>
        </w:rPr>
        <w:t>：</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 手机号码：</w:t>
      </w:r>
      <w:r>
        <w:rPr>
          <w:rFonts w:hint="eastAsia" w:ascii="Calibri" w:hAnsi="Calibri" w:cs="Times New Roman"/>
          <w:color w:val="auto"/>
          <w:kern w:val="2"/>
          <w:sz w:val="24"/>
          <w:szCs w:val="28"/>
          <w:highlight w:val="none"/>
          <w:u w:val="single"/>
        </w:rPr>
        <w:t xml:space="preserve">             </w:t>
      </w:r>
    </w:p>
    <w:p w14:paraId="0324F649">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系  </w:t>
      </w:r>
      <w:r>
        <w:rPr>
          <w:rFonts w:hint="eastAsia" w:ascii="Calibri" w:hAnsi="Calibri" w:cs="Times New Roman"/>
          <w:color w:val="auto"/>
          <w:kern w:val="2"/>
          <w:sz w:val="24"/>
          <w:szCs w:val="28"/>
          <w:highlight w:val="none"/>
          <w:u w:val="single"/>
        </w:rPr>
        <w:t xml:space="preserve">   （供应商单位名称）       </w:t>
      </w:r>
      <w:r>
        <w:rPr>
          <w:rFonts w:hint="eastAsia" w:ascii="Calibri" w:hAnsi="Calibri" w:cs="Times New Roman"/>
          <w:color w:val="auto"/>
          <w:kern w:val="2"/>
          <w:sz w:val="24"/>
          <w:szCs w:val="28"/>
          <w:highlight w:val="none"/>
        </w:rPr>
        <w:t>的法定代表人。</w:t>
      </w:r>
    </w:p>
    <w:p w14:paraId="69BABDA2">
      <w:pPr>
        <w:spacing w:before="62" w:beforeLines="20" w:after="62" w:afterLines="20" w:line="540" w:lineRule="exact"/>
        <w:ind w:firstLine="610"/>
        <w:rPr>
          <w:rFonts w:ascii="@仿宋_GB2312" w:hAnsi="Calibri" w:eastAsia="@仿宋_GB2312" w:cs="宋体"/>
          <w:color w:val="auto"/>
          <w:kern w:val="2"/>
          <w:sz w:val="24"/>
          <w:szCs w:val="24"/>
          <w:highlight w:val="none"/>
        </w:rPr>
      </w:pPr>
    </w:p>
    <w:p w14:paraId="2D84545D">
      <w:pPr>
        <w:spacing w:before="62" w:beforeLines="20" w:after="62" w:afterLines="20" w:line="540" w:lineRule="exact"/>
        <w:ind w:left="400" w:leftChars="200" w:firstLine="240" w:firstLineChars="100"/>
        <w:rPr>
          <w:rFonts w:ascii="Calibri" w:hAnsi="Calibri" w:cs="宋体"/>
          <w:color w:val="auto"/>
          <w:kern w:val="2"/>
          <w:sz w:val="24"/>
          <w:szCs w:val="24"/>
          <w:highlight w:val="none"/>
        </w:rPr>
      </w:pPr>
      <w:r>
        <w:rPr>
          <w:rFonts w:hint="eastAsia" w:ascii="Calibri" w:hAnsi="Calibri" w:cs="宋体"/>
          <w:color w:val="auto"/>
          <w:kern w:val="2"/>
          <w:sz w:val="24"/>
          <w:szCs w:val="24"/>
          <w:highlight w:val="none"/>
        </w:rPr>
        <w:t>特此证明。</w:t>
      </w:r>
    </w:p>
    <w:p w14:paraId="231EF99E">
      <w:pPr>
        <w:tabs>
          <w:tab w:val="left" w:pos="720"/>
          <w:tab w:val="left" w:pos="900"/>
        </w:tabs>
        <w:spacing w:before="62" w:beforeLines="20" w:after="62" w:afterLines="20" w:line="540" w:lineRule="exact"/>
        <w:ind w:firstLine="480" w:firstLineChars="200"/>
        <w:rPr>
          <w:rFonts w:ascii="Calibri" w:hAnsi="Calibri" w:cs="宋体"/>
          <w:color w:val="auto"/>
          <w:kern w:val="2"/>
          <w:sz w:val="24"/>
          <w:szCs w:val="24"/>
          <w:highlight w:val="none"/>
        </w:rPr>
      </w:pPr>
      <w:r>
        <w:rPr>
          <w:rFonts w:hint="eastAsia" w:ascii="Calibri" w:hAnsi="Calibri" w:cs="宋体"/>
          <w:color w:val="auto"/>
          <w:kern w:val="2"/>
          <w:sz w:val="24"/>
          <w:szCs w:val="24"/>
          <w:highlight w:val="none"/>
        </w:rPr>
        <w:t>附：法定代表人身份证扫描件</w:t>
      </w:r>
    </w:p>
    <w:p w14:paraId="36C12F2E">
      <w:pPr>
        <w:tabs>
          <w:tab w:val="left" w:pos="720"/>
          <w:tab w:val="left" w:pos="900"/>
        </w:tabs>
        <w:spacing w:before="62" w:beforeLines="20" w:after="62" w:afterLines="20" w:line="540" w:lineRule="exact"/>
        <w:ind w:firstLine="480" w:firstLineChars="200"/>
        <w:rPr>
          <w:rFonts w:ascii="@仿宋_GB2312" w:hAnsi="Calibri" w:eastAsia="@仿宋_GB2312" w:cs="宋体"/>
          <w:color w:val="auto"/>
          <w:kern w:val="2"/>
          <w:sz w:val="24"/>
          <w:szCs w:val="24"/>
          <w:highlight w:val="none"/>
        </w:rPr>
      </w:pPr>
    </w:p>
    <w:p w14:paraId="19A5DC61">
      <w:pPr>
        <w:tabs>
          <w:tab w:val="left" w:pos="720"/>
          <w:tab w:val="left" w:pos="900"/>
        </w:tabs>
        <w:spacing w:before="62" w:beforeLines="20" w:after="62" w:afterLines="20" w:line="540" w:lineRule="exact"/>
        <w:ind w:firstLine="4560" w:firstLineChars="1900"/>
        <w:rPr>
          <w:rFonts w:ascii="@仿宋_GB2312" w:hAnsi="Calibri" w:eastAsia="@仿宋_GB2312" w:cs="宋体"/>
          <w:color w:val="auto"/>
          <w:kern w:val="2"/>
          <w:sz w:val="24"/>
          <w:szCs w:val="24"/>
          <w:highlight w:val="none"/>
        </w:rPr>
      </w:pPr>
    </w:p>
    <w:p w14:paraId="66F8438F">
      <w:pPr>
        <w:spacing w:line="360" w:lineRule="auto"/>
        <w:ind w:firstLine="3840" w:firstLineChars="1600"/>
        <w:rPr>
          <w:rFonts w:cs="宋体"/>
          <w:color w:val="auto"/>
          <w:kern w:val="2"/>
          <w:sz w:val="24"/>
          <w:szCs w:val="24"/>
          <w:highlight w:val="none"/>
        </w:rPr>
      </w:pPr>
      <w:r>
        <w:rPr>
          <w:rFonts w:hint="eastAsia" w:cs="宋体"/>
          <w:color w:val="auto"/>
          <w:kern w:val="2"/>
          <w:sz w:val="24"/>
          <w:szCs w:val="24"/>
          <w:highlight w:val="none"/>
        </w:rPr>
        <w:t>供应商</w:t>
      </w:r>
      <w:r>
        <w:rPr>
          <w:rFonts w:hint="eastAsia" w:cs="@仿宋_GB2312" w:asciiTheme="minorEastAsia" w:hAnsiTheme="minorEastAsia" w:eastAsiaTheme="minorEastAsia"/>
          <w:bCs/>
          <w:color w:val="auto"/>
          <w:kern w:val="2"/>
          <w:sz w:val="24"/>
          <w:highlight w:val="none"/>
          <w:lang w:val="en-US" w:eastAsia="zh-CN"/>
        </w:rPr>
        <w:t>盖章</w:t>
      </w:r>
      <w:r>
        <w:rPr>
          <w:rFonts w:hint="eastAsia" w:cs="宋体"/>
          <w:color w:val="auto"/>
          <w:kern w:val="2"/>
          <w:sz w:val="24"/>
          <w:szCs w:val="24"/>
          <w:highlight w:val="none"/>
        </w:rPr>
        <w:t>：</w:t>
      </w:r>
      <w:r>
        <w:rPr>
          <w:rFonts w:cs="宋体"/>
          <w:color w:val="auto"/>
          <w:kern w:val="2"/>
          <w:sz w:val="24"/>
          <w:szCs w:val="24"/>
          <w:highlight w:val="none"/>
          <w:u w:val="single"/>
        </w:rPr>
        <w:t xml:space="preserve">        </w:t>
      </w:r>
      <w:r>
        <w:rPr>
          <w:rFonts w:hint="eastAsia" w:cs="宋体"/>
          <w:color w:val="auto"/>
          <w:kern w:val="2"/>
          <w:sz w:val="24"/>
          <w:szCs w:val="24"/>
          <w:highlight w:val="none"/>
          <w:u w:val="single"/>
        </w:rPr>
        <w:t xml:space="preserve">      </w:t>
      </w:r>
      <w:r>
        <w:rPr>
          <w:rFonts w:cs="宋体"/>
          <w:color w:val="auto"/>
          <w:kern w:val="2"/>
          <w:sz w:val="24"/>
          <w:szCs w:val="24"/>
          <w:highlight w:val="none"/>
          <w:u w:val="single"/>
        </w:rPr>
        <w:t xml:space="preserve">       </w:t>
      </w:r>
    </w:p>
    <w:p w14:paraId="682133E8">
      <w:pPr>
        <w:spacing w:line="360" w:lineRule="auto"/>
        <w:ind w:firstLine="3840" w:firstLineChars="1600"/>
        <w:rPr>
          <w:rFonts w:cs="宋体"/>
          <w:color w:val="auto"/>
          <w:kern w:val="2"/>
          <w:sz w:val="24"/>
          <w:szCs w:val="24"/>
          <w:highlight w:val="none"/>
        </w:rPr>
      </w:pPr>
      <w:r>
        <w:rPr>
          <w:rFonts w:hint="eastAsia" w:cs="宋体"/>
          <w:color w:val="auto"/>
          <w:kern w:val="2"/>
          <w:sz w:val="24"/>
          <w:szCs w:val="24"/>
          <w:highlight w:val="none"/>
        </w:rPr>
        <w:t>日</w:t>
      </w:r>
      <w:r>
        <w:rPr>
          <w:rFonts w:cs="宋体"/>
          <w:color w:val="auto"/>
          <w:kern w:val="2"/>
          <w:sz w:val="24"/>
          <w:szCs w:val="24"/>
          <w:highlight w:val="none"/>
        </w:rPr>
        <w:t xml:space="preserve">   </w:t>
      </w:r>
      <w:r>
        <w:rPr>
          <w:rFonts w:hint="eastAsia" w:cs="宋体"/>
          <w:color w:val="auto"/>
          <w:kern w:val="2"/>
          <w:sz w:val="24"/>
          <w:szCs w:val="24"/>
          <w:highlight w:val="none"/>
        </w:rPr>
        <w:t xml:space="preserve">    </w:t>
      </w:r>
      <w:r>
        <w:rPr>
          <w:rFonts w:cs="宋体"/>
          <w:color w:val="auto"/>
          <w:kern w:val="2"/>
          <w:sz w:val="24"/>
          <w:szCs w:val="24"/>
          <w:highlight w:val="none"/>
        </w:rPr>
        <w:t xml:space="preserve">   </w:t>
      </w:r>
      <w:r>
        <w:rPr>
          <w:rFonts w:hint="eastAsia" w:cs="宋体"/>
          <w:color w:val="auto"/>
          <w:kern w:val="2"/>
          <w:sz w:val="24"/>
          <w:szCs w:val="24"/>
          <w:highlight w:val="none"/>
        </w:rPr>
        <w:t>期：</w:t>
      </w:r>
      <w:r>
        <w:rPr>
          <w:rFonts w:cs="宋体"/>
          <w:color w:val="auto"/>
          <w:kern w:val="2"/>
          <w:sz w:val="24"/>
          <w:szCs w:val="24"/>
          <w:highlight w:val="none"/>
          <w:u w:val="single"/>
        </w:rPr>
        <w:t xml:space="preserve">           </w:t>
      </w:r>
      <w:r>
        <w:rPr>
          <w:rFonts w:hint="eastAsia" w:cs="宋体"/>
          <w:color w:val="auto"/>
          <w:kern w:val="2"/>
          <w:sz w:val="24"/>
          <w:szCs w:val="24"/>
          <w:highlight w:val="none"/>
          <w:u w:val="single"/>
        </w:rPr>
        <w:t xml:space="preserve"> </w:t>
      </w:r>
      <w:r>
        <w:rPr>
          <w:rFonts w:cs="宋体"/>
          <w:color w:val="auto"/>
          <w:kern w:val="2"/>
          <w:sz w:val="24"/>
          <w:szCs w:val="24"/>
          <w:highlight w:val="none"/>
          <w:u w:val="single"/>
        </w:rPr>
        <w:t xml:space="preserve">    </w:t>
      </w:r>
      <w:r>
        <w:rPr>
          <w:rFonts w:hint="eastAsia" w:cs="宋体"/>
          <w:color w:val="auto"/>
          <w:kern w:val="2"/>
          <w:sz w:val="24"/>
          <w:szCs w:val="24"/>
          <w:highlight w:val="none"/>
          <w:u w:val="single"/>
        </w:rPr>
        <w:t xml:space="preserve">  </w:t>
      </w:r>
      <w:r>
        <w:rPr>
          <w:rFonts w:cs="宋体"/>
          <w:color w:val="auto"/>
          <w:kern w:val="2"/>
          <w:sz w:val="24"/>
          <w:szCs w:val="24"/>
          <w:highlight w:val="none"/>
          <w:u w:val="single"/>
        </w:rPr>
        <w:t xml:space="preserve">   </w:t>
      </w:r>
    </w:p>
    <w:p w14:paraId="15C5112A">
      <w:pPr>
        <w:widowControl/>
        <w:jc w:val="left"/>
        <w:rPr>
          <w:rFonts w:cs="@仿宋_GB2312" w:asciiTheme="minorEastAsia" w:hAnsiTheme="minorEastAsia" w:eastAsiaTheme="minorEastAsia"/>
          <w:b/>
          <w:bCs/>
          <w:color w:val="auto"/>
          <w:kern w:val="2"/>
          <w:sz w:val="24"/>
          <w:szCs w:val="24"/>
          <w:highlight w:val="none"/>
        </w:rPr>
      </w:pPr>
      <w:r>
        <w:rPr>
          <w:rFonts w:cs="@仿宋_GB2312" w:asciiTheme="minorEastAsia" w:hAnsiTheme="minorEastAsia" w:eastAsiaTheme="minorEastAsia"/>
          <w:color w:val="auto"/>
          <w:kern w:val="2"/>
          <w:sz w:val="24"/>
          <w:szCs w:val="24"/>
          <w:highlight w:val="none"/>
        </w:rPr>
        <w:br w:type="page"/>
      </w:r>
    </w:p>
    <w:p w14:paraId="358236A4">
      <w:pPr>
        <w:keepNext/>
        <w:keepLines/>
        <w:spacing w:before="260" w:after="260" w:line="416" w:lineRule="auto"/>
        <w:jc w:val="center"/>
        <w:outlineLvl w:val="1"/>
        <w:rPr>
          <w:rFonts w:hint="eastAsia" w:cs="@仿宋_GB2312" w:asciiTheme="minorEastAsia" w:hAnsiTheme="minorEastAsia" w:eastAsiaTheme="minorEastAsia"/>
          <w:b/>
          <w:bCs/>
          <w:color w:val="auto"/>
          <w:kern w:val="2"/>
          <w:sz w:val="24"/>
          <w:szCs w:val="24"/>
          <w:highlight w:val="none"/>
        </w:rPr>
      </w:pPr>
      <w:bookmarkStart w:id="745" w:name="_Toc11567"/>
      <w:bookmarkStart w:id="746" w:name="_Toc4373"/>
      <w:bookmarkStart w:id="747" w:name="_Toc20099"/>
      <w:r>
        <w:rPr>
          <w:rFonts w:hint="eastAsia" w:cs="@仿宋_GB2312" w:asciiTheme="minorEastAsia" w:hAnsiTheme="minorEastAsia" w:eastAsiaTheme="minorEastAsia"/>
          <w:b/>
          <w:bCs/>
          <w:color w:val="auto"/>
          <w:kern w:val="2"/>
          <w:sz w:val="24"/>
          <w:szCs w:val="24"/>
          <w:highlight w:val="none"/>
          <w:lang w:val="en-US" w:eastAsia="zh-CN"/>
        </w:rPr>
        <w:t>八</w:t>
      </w:r>
      <w:r>
        <w:rPr>
          <w:rFonts w:hint="eastAsia" w:cs="@仿宋_GB2312" w:asciiTheme="minorEastAsia" w:hAnsiTheme="minorEastAsia" w:eastAsiaTheme="minorEastAsia"/>
          <w:b/>
          <w:bCs/>
          <w:color w:val="auto"/>
          <w:kern w:val="2"/>
          <w:sz w:val="24"/>
          <w:szCs w:val="24"/>
          <w:highlight w:val="none"/>
        </w:rPr>
        <w:t>、项目经理承诺书</w:t>
      </w:r>
      <w:bookmarkEnd w:id="745"/>
      <w:bookmarkEnd w:id="746"/>
      <w:bookmarkEnd w:id="747"/>
    </w:p>
    <w:p w14:paraId="483CCFA8">
      <w:pPr>
        <w:spacing w:line="360" w:lineRule="auto"/>
        <w:rPr>
          <w:rFonts w:hint="eastAsia" w:cs="宋体" w:asciiTheme="minorEastAsia" w:hAnsiTheme="minorEastAsia" w:eastAsiaTheme="minorEastAsia"/>
          <w:color w:val="auto"/>
          <w:kern w:val="2"/>
          <w:sz w:val="24"/>
          <w:szCs w:val="24"/>
          <w:highlight w:val="none"/>
          <w:lang w:eastAsia="zh-CN"/>
        </w:rPr>
      </w:pPr>
      <w:r>
        <w:rPr>
          <w:rFonts w:hint="eastAsia" w:cs="宋体" w:asciiTheme="minorEastAsia" w:hAnsiTheme="minorEastAsia" w:eastAsiaTheme="minorEastAsia"/>
          <w:b/>
          <w:color w:val="auto"/>
          <w:kern w:val="2"/>
          <w:sz w:val="24"/>
          <w:szCs w:val="24"/>
          <w:highlight w:val="none"/>
        </w:rPr>
        <w:t>致：</w:t>
      </w:r>
      <w:r>
        <w:rPr>
          <w:rFonts w:hint="eastAsia" w:cs="宋体" w:asciiTheme="minorEastAsia" w:hAnsiTheme="minorEastAsia" w:eastAsiaTheme="minorEastAsia"/>
          <w:b/>
          <w:color w:val="auto"/>
          <w:kern w:val="2"/>
          <w:sz w:val="24"/>
          <w:szCs w:val="24"/>
          <w:highlight w:val="none"/>
          <w:u w:val="none"/>
          <w:lang w:eastAsia="zh-CN"/>
        </w:rPr>
        <w:t>采购人</w:t>
      </w:r>
    </w:p>
    <w:p w14:paraId="79BE4FED">
      <w:pPr>
        <w:spacing w:line="360" w:lineRule="auto"/>
        <w:ind w:firstLine="480" w:firstLineChars="200"/>
        <w:rPr>
          <w:rFonts w:cs="宋体"/>
          <w:color w:val="auto"/>
          <w:kern w:val="2"/>
          <w:sz w:val="24"/>
          <w:szCs w:val="24"/>
          <w:highlight w:val="none"/>
        </w:rPr>
      </w:pPr>
      <w:r>
        <w:rPr>
          <w:rFonts w:hint="eastAsia" w:cs="宋体"/>
          <w:color w:val="auto"/>
          <w:kern w:val="2"/>
          <w:sz w:val="24"/>
          <w:szCs w:val="24"/>
          <w:highlight w:val="none"/>
        </w:rPr>
        <w:t>本人作为我单位在本项目磋商担任的项目经理，郑重承诺：</w:t>
      </w:r>
    </w:p>
    <w:p w14:paraId="1D30755E">
      <w:pPr>
        <w:spacing w:line="360" w:lineRule="auto"/>
        <w:ind w:firstLine="480" w:firstLineChars="200"/>
        <w:rPr>
          <w:rFonts w:cs="宋体"/>
          <w:color w:val="auto"/>
          <w:kern w:val="2"/>
          <w:sz w:val="24"/>
          <w:szCs w:val="24"/>
          <w:highlight w:val="none"/>
        </w:rPr>
      </w:pPr>
      <w:r>
        <w:rPr>
          <w:rFonts w:hint="eastAsia" w:cs="宋体"/>
          <w:color w:val="auto"/>
          <w:kern w:val="2"/>
          <w:sz w:val="24"/>
          <w:szCs w:val="24"/>
          <w:highlight w:val="none"/>
        </w:rPr>
        <w:t>一、本项目提供的项目经理业绩已经本人核实，工程实施过程中项目经理确为本人，合同（或竣工相关资料证明）的本人签字均为该工程实施时段所签，真实无误，不存在虚假和挂靠现象，也不存在为磋商而造假的行为。</w:t>
      </w:r>
    </w:p>
    <w:p w14:paraId="7D56EFE2">
      <w:pPr>
        <w:spacing w:line="360" w:lineRule="auto"/>
        <w:ind w:firstLine="480" w:firstLineChars="200"/>
        <w:rPr>
          <w:rFonts w:cs="宋体"/>
          <w:color w:val="auto"/>
          <w:kern w:val="2"/>
          <w:sz w:val="24"/>
          <w:szCs w:val="24"/>
          <w:highlight w:val="none"/>
        </w:rPr>
      </w:pPr>
      <w:r>
        <w:rPr>
          <w:rFonts w:hint="eastAsia" w:cs="宋体"/>
          <w:color w:val="auto"/>
          <w:kern w:val="2"/>
          <w:sz w:val="24"/>
          <w:szCs w:val="24"/>
          <w:highlight w:val="none"/>
          <w:lang w:val="en-US" w:eastAsia="zh-CN"/>
        </w:rPr>
        <w:t>二</w:t>
      </w:r>
      <w:r>
        <w:rPr>
          <w:rFonts w:hint="eastAsia" w:cs="宋体"/>
          <w:color w:val="auto"/>
          <w:kern w:val="2"/>
          <w:sz w:val="24"/>
          <w:szCs w:val="24"/>
          <w:highlight w:val="none"/>
        </w:rPr>
        <w:t>、本人承诺，一旦成交，将严格按照磋商文件规定履约。</w:t>
      </w:r>
    </w:p>
    <w:p w14:paraId="570C023A">
      <w:pPr>
        <w:spacing w:line="360" w:lineRule="auto"/>
        <w:ind w:firstLine="480" w:firstLineChars="200"/>
        <w:rPr>
          <w:rFonts w:hint="eastAsia" w:cs="宋体"/>
          <w:color w:val="auto"/>
          <w:kern w:val="2"/>
          <w:sz w:val="24"/>
          <w:szCs w:val="24"/>
          <w:highlight w:val="none"/>
        </w:rPr>
      </w:pPr>
      <w:r>
        <w:rPr>
          <w:rFonts w:hint="eastAsia" w:cs="宋体"/>
          <w:color w:val="auto"/>
          <w:kern w:val="2"/>
          <w:sz w:val="24"/>
          <w:szCs w:val="24"/>
          <w:highlight w:val="none"/>
          <w:lang w:val="en-US" w:eastAsia="zh-CN"/>
        </w:rPr>
        <w:t>三</w:t>
      </w:r>
      <w:r>
        <w:rPr>
          <w:rFonts w:hint="eastAsia" w:cs="宋体"/>
          <w:color w:val="auto"/>
          <w:kern w:val="2"/>
          <w:sz w:val="24"/>
          <w:szCs w:val="24"/>
          <w:highlight w:val="none"/>
        </w:rPr>
        <w:t>、本人声明，对以上承诺，一旦发现虚假现象，本人愿意承担相应法律责任，并随时无条件配合监管部门调查取证。</w:t>
      </w:r>
    </w:p>
    <w:p w14:paraId="11627AAA">
      <w:pPr>
        <w:spacing w:line="360" w:lineRule="auto"/>
        <w:ind w:firstLine="480" w:firstLineChars="200"/>
        <w:rPr>
          <w:rFonts w:hint="eastAsia" w:cs="宋体"/>
          <w:color w:val="auto"/>
          <w:kern w:val="2"/>
          <w:sz w:val="24"/>
          <w:szCs w:val="24"/>
          <w:highlight w:val="none"/>
          <w:lang w:val="en-US" w:eastAsia="zh-CN"/>
        </w:rPr>
      </w:pPr>
      <w:r>
        <w:rPr>
          <w:rFonts w:hint="eastAsia" w:cs="宋体"/>
          <w:color w:val="auto"/>
          <w:kern w:val="2"/>
          <w:sz w:val="24"/>
          <w:szCs w:val="24"/>
          <w:highlight w:val="none"/>
          <w:lang w:val="en-US" w:eastAsia="zh-CN"/>
        </w:rPr>
        <w:t>四、</w:t>
      </w:r>
      <w:r>
        <w:rPr>
          <w:rFonts w:hint="eastAsia" w:cs="宋体"/>
          <w:color w:val="auto"/>
          <w:kern w:val="2"/>
          <w:sz w:val="24"/>
          <w:szCs w:val="24"/>
          <w:highlight w:val="none"/>
          <w:u w:val="single"/>
        </w:rPr>
        <w:t xml:space="preserve">                   </w:t>
      </w:r>
    </w:p>
    <w:p w14:paraId="5763251A">
      <w:pPr>
        <w:spacing w:line="360" w:lineRule="auto"/>
        <w:ind w:firstLine="480" w:firstLineChars="200"/>
        <w:rPr>
          <w:rFonts w:cs="宋体"/>
          <w:color w:val="auto"/>
          <w:kern w:val="2"/>
          <w:sz w:val="24"/>
          <w:szCs w:val="24"/>
          <w:highlight w:val="none"/>
        </w:rPr>
      </w:pPr>
    </w:p>
    <w:p w14:paraId="7D38230B">
      <w:pPr>
        <w:spacing w:line="360" w:lineRule="auto"/>
        <w:ind w:firstLine="4200" w:firstLineChars="1750"/>
        <w:rPr>
          <w:rFonts w:cs="宋体"/>
          <w:color w:val="auto"/>
          <w:kern w:val="2"/>
          <w:sz w:val="24"/>
          <w:szCs w:val="24"/>
          <w:highlight w:val="none"/>
        </w:rPr>
      </w:pPr>
      <w:r>
        <w:rPr>
          <w:rFonts w:hint="eastAsia" w:cs="宋体"/>
          <w:color w:val="auto"/>
          <w:kern w:val="2"/>
          <w:sz w:val="24"/>
          <w:szCs w:val="24"/>
          <w:highlight w:val="none"/>
        </w:rPr>
        <w:t>项目经理签字：</w:t>
      </w:r>
      <w:r>
        <w:rPr>
          <w:rFonts w:hint="eastAsia" w:cs="宋体"/>
          <w:color w:val="auto"/>
          <w:kern w:val="2"/>
          <w:sz w:val="24"/>
          <w:szCs w:val="24"/>
          <w:highlight w:val="none"/>
          <w:u w:val="single"/>
        </w:rPr>
        <w:t xml:space="preserve">                   </w:t>
      </w:r>
    </w:p>
    <w:p w14:paraId="3B73F7B2">
      <w:pPr>
        <w:spacing w:line="360" w:lineRule="auto"/>
        <w:ind w:firstLine="4200" w:firstLineChars="1750"/>
        <w:rPr>
          <w:rFonts w:cs="宋体"/>
          <w:color w:val="auto"/>
          <w:kern w:val="2"/>
          <w:sz w:val="24"/>
          <w:szCs w:val="24"/>
          <w:highlight w:val="none"/>
        </w:rPr>
      </w:pPr>
      <w:r>
        <w:rPr>
          <w:rFonts w:hint="eastAsia" w:cs="宋体"/>
          <w:color w:val="auto"/>
          <w:kern w:val="2"/>
          <w:sz w:val="24"/>
          <w:szCs w:val="24"/>
          <w:highlight w:val="none"/>
        </w:rPr>
        <w:t>身份证号：</w:t>
      </w:r>
      <w:r>
        <w:rPr>
          <w:rFonts w:hint="eastAsia" w:cs="宋体"/>
          <w:color w:val="auto"/>
          <w:kern w:val="2"/>
          <w:sz w:val="24"/>
          <w:szCs w:val="24"/>
          <w:highlight w:val="none"/>
          <w:u w:val="single"/>
        </w:rPr>
        <w:t xml:space="preserve">                       </w:t>
      </w:r>
    </w:p>
    <w:p w14:paraId="7AD1B946">
      <w:pPr>
        <w:spacing w:line="360" w:lineRule="auto"/>
        <w:ind w:firstLine="4200" w:firstLineChars="1750"/>
        <w:rPr>
          <w:rFonts w:cs="宋体"/>
          <w:color w:val="auto"/>
          <w:kern w:val="2"/>
          <w:sz w:val="24"/>
          <w:szCs w:val="24"/>
          <w:highlight w:val="none"/>
        </w:rPr>
      </w:pPr>
      <w:r>
        <w:rPr>
          <w:rFonts w:hint="eastAsia" w:cs="宋体"/>
          <w:color w:val="auto"/>
          <w:kern w:val="2"/>
          <w:sz w:val="24"/>
          <w:szCs w:val="24"/>
          <w:highlight w:val="none"/>
        </w:rPr>
        <w:t>日    期：</w:t>
      </w:r>
      <w:r>
        <w:rPr>
          <w:rFonts w:hint="eastAsia" w:cs="宋体"/>
          <w:color w:val="auto"/>
          <w:kern w:val="2"/>
          <w:sz w:val="24"/>
          <w:szCs w:val="24"/>
          <w:highlight w:val="none"/>
          <w:u w:val="single"/>
        </w:rPr>
        <w:t xml:space="preserve"> </w:t>
      </w:r>
      <w:r>
        <w:rPr>
          <w:rFonts w:cs="宋体"/>
          <w:color w:val="auto"/>
          <w:kern w:val="2"/>
          <w:sz w:val="24"/>
          <w:szCs w:val="24"/>
          <w:highlight w:val="none"/>
          <w:u w:val="single"/>
        </w:rPr>
        <w:t xml:space="preserve"> </w:t>
      </w:r>
      <w:r>
        <w:rPr>
          <w:rFonts w:hint="eastAsia" w:cs="宋体"/>
          <w:color w:val="auto"/>
          <w:kern w:val="2"/>
          <w:sz w:val="24"/>
          <w:szCs w:val="24"/>
          <w:highlight w:val="none"/>
          <w:u w:val="single"/>
        </w:rPr>
        <w:t xml:space="preserve">                     </w:t>
      </w:r>
    </w:p>
    <w:p w14:paraId="0BF832AD">
      <w:pPr>
        <w:spacing w:line="360" w:lineRule="auto"/>
        <w:ind w:firstLine="480" w:firstLineChars="200"/>
        <w:rPr>
          <w:rFonts w:cs="宋体"/>
          <w:color w:val="auto"/>
          <w:kern w:val="2"/>
          <w:sz w:val="24"/>
          <w:szCs w:val="24"/>
          <w:highlight w:val="none"/>
        </w:rPr>
      </w:pPr>
    </w:p>
    <w:p w14:paraId="384EFA7E">
      <w:pPr>
        <w:spacing w:line="360" w:lineRule="auto"/>
        <w:ind w:firstLine="480" w:firstLineChars="200"/>
        <w:rPr>
          <w:rFonts w:cs="宋体" w:asciiTheme="minorEastAsia" w:hAnsiTheme="minorEastAsia" w:eastAsiaTheme="minorEastAsia"/>
          <w:color w:val="auto"/>
          <w:kern w:val="2"/>
          <w:sz w:val="24"/>
          <w:szCs w:val="24"/>
          <w:highlight w:val="none"/>
        </w:rPr>
      </w:pPr>
      <w:r>
        <w:rPr>
          <w:rFonts w:hint="eastAsia" w:cs="宋体"/>
          <w:color w:val="auto"/>
          <w:kern w:val="2"/>
          <w:sz w:val="24"/>
          <w:szCs w:val="24"/>
          <w:highlight w:val="none"/>
        </w:rPr>
        <w:t>注：本页后附项目经理身份证明扫描件。</w:t>
      </w:r>
    </w:p>
    <w:p w14:paraId="1005DE9D">
      <w:pPr>
        <w:autoSpaceDE w:val="0"/>
        <w:autoSpaceDN w:val="0"/>
        <w:adjustRightInd w:val="0"/>
        <w:spacing w:line="360" w:lineRule="auto"/>
        <w:jc w:val="center"/>
        <w:rPr>
          <w:rFonts w:ascii="@仿宋_GB2312" w:eastAsia="@仿宋_GB2312" w:cs="宋体"/>
          <w:color w:val="auto"/>
          <w:kern w:val="2"/>
          <w:sz w:val="24"/>
          <w:szCs w:val="24"/>
          <w:highlight w:val="none"/>
          <w:lang w:val="zh-CN"/>
        </w:rPr>
      </w:pPr>
      <w:bookmarkStart w:id="748" w:name="_Toc438648628"/>
      <w:r>
        <w:rPr>
          <w:rFonts w:hint="eastAsia" w:ascii="@仿宋_GB2312" w:eastAsia="@仿宋_GB2312" w:cs="宋体"/>
          <w:b/>
          <w:color w:val="auto"/>
          <w:kern w:val="2"/>
          <w:sz w:val="24"/>
          <w:szCs w:val="24"/>
          <w:highlight w:val="none"/>
        </w:rPr>
        <w:br w:type="page"/>
      </w:r>
      <w:bookmarkEnd w:id="748"/>
    </w:p>
    <w:p w14:paraId="145F3C6A">
      <w:pPr>
        <w:spacing w:line="360" w:lineRule="auto"/>
        <w:jc w:val="center"/>
        <w:outlineLvl w:val="1"/>
        <w:rPr>
          <w:rFonts w:asciiTheme="minorEastAsia" w:hAnsiTheme="minorEastAsia" w:eastAsiaTheme="minorEastAsia"/>
          <w:b/>
          <w:color w:val="auto"/>
          <w:sz w:val="24"/>
          <w:highlight w:val="none"/>
        </w:rPr>
      </w:pPr>
      <w:bookmarkStart w:id="749" w:name="_Toc3604"/>
      <w:bookmarkStart w:id="750" w:name="_Toc6698"/>
      <w:bookmarkStart w:id="751" w:name="_Toc31386"/>
      <w:r>
        <w:rPr>
          <w:rFonts w:hint="eastAsia" w:asciiTheme="minorEastAsia" w:hAnsiTheme="minorEastAsia" w:eastAsiaTheme="minorEastAsia"/>
          <w:b/>
          <w:color w:val="auto"/>
          <w:sz w:val="24"/>
          <w:highlight w:val="none"/>
          <w:lang w:val="en-US" w:eastAsia="zh-CN"/>
        </w:rPr>
        <w:t>九</w:t>
      </w:r>
      <w:r>
        <w:rPr>
          <w:rFonts w:hint="eastAsia" w:asciiTheme="minorEastAsia" w:hAnsiTheme="minorEastAsia" w:eastAsiaTheme="minorEastAsia"/>
          <w:b/>
          <w:color w:val="auto"/>
          <w:sz w:val="24"/>
          <w:highlight w:val="none"/>
        </w:rPr>
        <w:t>、联合协议</w:t>
      </w:r>
      <w:bookmarkEnd w:id="749"/>
      <w:bookmarkEnd w:id="750"/>
      <w:bookmarkEnd w:id="751"/>
    </w:p>
    <w:p w14:paraId="0F7E1FA9">
      <w:pPr>
        <w:pStyle w:val="40"/>
        <w:spacing w:line="360" w:lineRule="auto"/>
        <w:rPr>
          <w:rFonts w:hint="eastAsia" w:ascii="宋体" w:hAnsi="宋体" w:eastAsia="宋体"/>
          <w:b w:val="0"/>
          <w:i/>
          <w:color w:val="FF0000"/>
          <w:sz w:val="24"/>
          <w:highlight w:val="none"/>
        </w:rPr>
      </w:pPr>
      <w:r>
        <w:rPr>
          <w:rFonts w:hint="eastAsia" w:ascii="宋体" w:hAnsi="宋体" w:eastAsia="宋体"/>
          <w:b w:val="0"/>
          <w:i/>
          <w:color w:val="FF0000"/>
          <w:sz w:val="24"/>
          <w:highlight w:val="none"/>
        </w:rPr>
        <w:t>（不允许联合体参加磋商或未组成联合体的，不需此件</w:t>
      </w:r>
      <w:r>
        <w:rPr>
          <w:rFonts w:hint="eastAsia" w:ascii="宋体" w:hAnsi="宋体" w:eastAsia="宋体"/>
          <w:b w:val="0"/>
          <w:i/>
          <w:color w:val="FF0000"/>
          <w:sz w:val="24"/>
          <w:highlight w:val="none"/>
          <w:lang w:eastAsia="zh-CN"/>
        </w:rPr>
        <w:t>，</w:t>
      </w:r>
      <w:r>
        <w:rPr>
          <w:rFonts w:hint="eastAsia" w:ascii="宋体" w:hAnsi="宋体" w:eastAsia="宋体" w:cs="@仿宋_GB2312"/>
          <w:b w:val="0"/>
          <w:bCs w:val="0"/>
          <w:i/>
          <w:iCs/>
          <w:color w:val="FF0000"/>
          <w:kern w:val="2"/>
          <w:sz w:val="24"/>
          <w:szCs w:val="18"/>
          <w:highlight w:val="none"/>
          <w:lang w:val="en-US" w:eastAsia="zh-CN" w:bidi="ar-SA"/>
        </w:rPr>
        <w:t>请删去“联合协议”</w:t>
      </w:r>
      <w:r>
        <w:rPr>
          <w:rFonts w:hint="eastAsia" w:ascii="宋体" w:hAnsi="宋体" w:eastAsia="宋体"/>
          <w:b w:val="0"/>
          <w:i/>
          <w:color w:val="FF0000"/>
          <w:sz w:val="24"/>
          <w:highlight w:val="none"/>
        </w:rPr>
        <w:t>；允许联</w:t>
      </w:r>
    </w:p>
    <w:p w14:paraId="2972895A">
      <w:pPr>
        <w:pStyle w:val="40"/>
        <w:spacing w:line="360" w:lineRule="auto"/>
        <w:jc w:val="both"/>
        <w:rPr>
          <w:rFonts w:hint="eastAsia" w:ascii="宋体" w:hAnsi="宋体" w:eastAsia="宋体"/>
          <w:b w:val="0"/>
          <w:i/>
          <w:color w:val="FF0000"/>
          <w:sz w:val="24"/>
          <w:highlight w:val="none"/>
          <w:lang w:eastAsia="zh-CN"/>
        </w:rPr>
      </w:pPr>
      <w:r>
        <w:rPr>
          <w:rFonts w:hint="eastAsia" w:ascii="宋体" w:hAnsi="宋体" w:eastAsia="宋体"/>
          <w:b w:val="0"/>
          <w:i/>
          <w:color w:val="FF0000"/>
          <w:sz w:val="24"/>
          <w:highlight w:val="none"/>
        </w:rPr>
        <w:t>合体参加磋商且供应商为联合体参加磋商的，请将此件制成扫描件上传</w:t>
      </w:r>
      <w:r>
        <w:rPr>
          <w:rFonts w:hint="eastAsia" w:ascii="宋体" w:hAnsi="宋体" w:eastAsia="宋体"/>
          <w:b w:val="0"/>
          <w:i/>
          <w:color w:val="FF0000"/>
          <w:sz w:val="24"/>
          <w:highlight w:val="none"/>
          <w:lang w:eastAsia="zh-CN"/>
        </w:rPr>
        <w:t>，</w:t>
      </w:r>
    </w:p>
    <w:p w14:paraId="3BCF356B">
      <w:pPr>
        <w:pStyle w:val="40"/>
        <w:spacing w:line="360" w:lineRule="auto"/>
        <w:jc w:val="both"/>
        <w:rPr>
          <w:rFonts w:ascii="宋体" w:hAnsi="宋体" w:eastAsia="宋体"/>
          <w:b w:val="0"/>
          <w:i/>
          <w:color w:val="FF0000"/>
          <w:sz w:val="24"/>
          <w:highlight w:val="none"/>
        </w:rPr>
      </w:pPr>
      <w:r>
        <w:rPr>
          <w:rFonts w:hint="eastAsia" w:ascii="宋体" w:hAnsi="宋体" w:eastAsia="宋体"/>
          <w:b w:val="0"/>
          <w:i/>
          <w:color w:val="FF0000"/>
          <w:sz w:val="24"/>
          <w:highlight w:val="none"/>
          <w:lang w:val="en-US" w:eastAsia="zh-CN"/>
        </w:rPr>
        <w:t>同时删去本提示内容</w:t>
      </w:r>
      <w:r>
        <w:rPr>
          <w:rFonts w:hint="eastAsia" w:ascii="宋体" w:hAnsi="宋体" w:eastAsia="宋体"/>
          <w:b w:val="0"/>
          <w:i/>
          <w:color w:val="FF0000"/>
          <w:sz w:val="24"/>
          <w:highlight w:val="none"/>
        </w:rPr>
        <w:t>）</w:t>
      </w:r>
    </w:p>
    <w:p w14:paraId="7E129249">
      <w:pPr>
        <w:spacing w:line="360" w:lineRule="auto"/>
        <w:ind w:firstLine="435"/>
        <w:rPr>
          <w:rFonts w:asciiTheme="minorEastAsia" w:hAnsiTheme="minorEastAsia" w:eastAsiaTheme="minorEastAsia"/>
          <w:color w:val="auto"/>
          <w:sz w:val="24"/>
          <w:highlight w:val="none"/>
        </w:rPr>
      </w:pPr>
    </w:p>
    <w:p w14:paraId="1BAED44C">
      <w:pPr>
        <w:spacing w:line="360" w:lineRule="auto"/>
        <w:ind w:firstLine="435"/>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联合体成员一名称：</w:t>
      </w:r>
      <w:r>
        <w:rPr>
          <w:rFonts w:hint="eastAsia" w:asciiTheme="minorEastAsia" w:hAnsiTheme="minorEastAsia" w:eastAsiaTheme="minorEastAsia"/>
          <w:color w:val="auto"/>
          <w:sz w:val="24"/>
          <w:highlight w:val="none"/>
          <w:u w:val="single"/>
        </w:rPr>
        <w:t xml:space="preserve"> </w:t>
      </w:r>
      <w:r>
        <w:rPr>
          <w:rFonts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w:t>
      </w:r>
    </w:p>
    <w:p w14:paraId="431FC1B2">
      <w:pPr>
        <w:spacing w:line="360" w:lineRule="auto"/>
        <w:ind w:firstLine="435"/>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联合体成员二名称：</w:t>
      </w:r>
      <w:r>
        <w:rPr>
          <w:rFonts w:hint="eastAsia" w:asciiTheme="minorEastAsia" w:hAnsiTheme="minorEastAsia" w:eastAsiaTheme="minorEastAsia"/>
          <w:color w:val="auto"/>
          <w:sz w:val="24"/>
          <w:highlight w:val="none"/>
          <w:u w:val="single"/>
        </w:rPr>
        <w:t xml:space="preserve"> </w:t>
      </w:r>
      <w:r>
        <w:rPr>
          <w:rFonts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w:t>
      </w:r>
    </w:p>
    <w:p w14:paraId="41C9E997">
      <w:pPr>
        <w:spacing w:line="360" w:lineRule="auto"/>
        <w:ind w:firstLine="435"/>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w:t>
      </w:r>
    </w:p>
    <w:p w14:paraId="1B171184">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上述各成员单位经过友好协商，自愿组成</w:t>
      </w:r>
      <w:r>
        <w:rPr>
          <w:rFonts w:asciiTheme="minorEastAsia" w:hAnsiTheme="minorEastAsia" w:eastAsiaTheme="minorEastAsia"/>
          <w:color w:val="auto"/>
          <w:sz w:val="24"/>
          <w:highlight w:val="none"/>
        </w:rPr>
        <w:t>联合体，共同参加</w:t>
      </w:r>
      <w:r>
        <w:rPr>
          <w:rFonts w:hint="eastAsia" w:asciiTheme="minorEastAsia" w:hAnsiTheme="minorEastAsia" w:eastAsiaTheme="minorEastAsia"/>
          <w:color w:val="auto"/>
          <w:sz w:val="24"/>
          <w:highlight w:val="none"/>
        </w:rPr>
        <w:t>本项目的磋商，</w:t>
      </w:r>
      <w:r>
        <w:rPr>
          <w:rFonts w:asciiTheme="minorEastAsia" w:hAnsiTheme="minorEastAsia" w:eastAsiaTheme="minorEastAsia"/>
          <w:color w:val="auto"/>
          <w:sz w:val="24"/>
          <w:highlight w:val="none"/>
        </w:rPr>
        <w:t>现就联合体参加磋商事宜订立如下协议：</w:t>
      </w:r>
    </w:p>
    <w:p w14:paraId="0F163B1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u w:val="single"/>
        </w:rPr>
        <w:t xml:space="preserve">       </w:t>
      </w:r>
      <w:r>
        <w:rPr>
          <w:rFonts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（某成员单位名称）为联合体牵头人。</w:t>
      </w:r>
    </w:p>
    <w:p w14:paraId="5858007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在本项目磋商阶段，联合体牵头人负责磋商项目的一切组织、协调工作，并授权代理人以联合体的名义参加项目的磋商，代理人在磋商、合同签订过程中所签署的一切文件和处理与本次磋商有关的一切事务，联合体各方均予以承认并承担法律责任。联合体成交后，联合体各方共同与采购人签订合同，就本项目对采购人承担连带责任。</w:t>
      </w:r>
    </w:p>
    <w:p w14:paraId="74135B7F">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3</w:t>
      </w:r>
      <w:r>
        <w:rPr>
          <w:rFonts w:asciiTheme="minorEastAsia" w:hAnsiTheme="minorEastAsia" w:eastAsiaTheme="minorEastAsia"/>
          <w:color w:val="auto"/>
          <w:sz w:val="24"/>
          <w:highlight w:val="none"/>
        </w:rPr>
        <w:t>.联合体各成员单位内部的职责分工</w:t>
      </w:r>
      <w:r>
        <w:rPr>
          <w:rFonts w:hint="eastAsia" w:asciiTheme="minorEastAsia" w:hAnsiTheme="minorEastAsia" w:eastAsiaTheme="minorEastAsia"/>
          <w:color w:val="auto"/>
          <w:sz w:val="24"/>
          <w:highlight w:val="none"/>
        </w:rPr>
        <w:t>及各方负责内容的合同金额占总合同金额的百分比</w:t>
      </w:r>
      <w:r>
        <w:rPr>
          <w:rFonts w:asciiTheme="minorEastAsia" w:hAnsiTheme="minorEastAsia" w:eastAsiaTheme="minorEastAsia"/>
          <w:color w:val="auto"/>
          <w:sz w:val="24"/>
          <w:highlight w:val="none"/>
        </w:rPr>
        <w:t>如下：</w:t>
      </w:r>
    </w:p>
    <w:p w14:paraId="4BE83351">
      <w:pPr>
        <w:spacing w:line="360" w:lineRule="auto"/>
        <w:ind w:firstLine="435"/>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联合体成员一名称：</w:t>
      </w:r>
      <w:r>
        <w:rPr>
          <w:rFonts w:hint="eastAsia"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，承担</w:t>
      </w:r>
      <w:r>
        <w:rPr>
          <w:rFonts w:hint="eastAsia"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工作，负责内容的合同金额占总合同金额的百分比：</w:t>
      </w:r>
      <w:r>
        <w:rPr>
          <w:rFonts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w:t>
      </w:r>
    </w:p>
    <w:p w14:paraId="7B07E2B7">
      <w:pPr>
        <w:spacing w:line="360" w:lineRule="auto"/>
        <w:ind w:firstLine="435"/>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联合体成员二名称：</w:t>
      </w:r>
      <w:r>
        <w:rPr>
          <w:rFonts w:hint="eastAsia"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，承担</w:t>
      </w:r>
      <w:r>
        <w:rPr>
          <w:rFonts w:hint="eastAsia"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工作，负责内容的合同金额占总合同金额的百分比：</w:t>
      </w:r>
      <w:r>
        <w:rPr>
          <w:rFonts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w:t>
      </w:r>
    </w:p>
    <w:p w14:paraId="17F387F9">
      <w:pPr>
        <w:spacing w:line="360" w:lineRule="auto"/>
        <w:ind w:firstLine="435"/>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w:t>
      </w:r>
    </w:p>
    <w:p w14:paraId="53C886E8">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4．</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工作和联合体在</w:t>
      </w:r>
      <w:r>
        <w:rPr>
          <w:rFonts w:hint="eastAsia" w:asciiTheme="minorEastAsia" w:hAnsiTheme="minorEastAsia" w:eastAsiaTheme="minorEastAsia"/>
          <w:color w:val="auto"/>
          <w:sz w:val="24"/>
          <w:highlight w:val="none"/>
        </w:rPr>
        <w:t>成交</w:t>
      </w:r>
      <w:r>
        <w:rPr>
          <w:rFonts w:asciiTheme="minorEastAsia" w:hAnsiTheme="minorEastAsia" w:eastAsiaTheme="minorEastAsia"/>
          <w:color w:val="auto"/>
          <w:sz w:val="24"/>
          <w:highlight w:val="none"/>
        </w:rPr>
        <w:t>后</w:t>
      </w:r>
      <w:r>
        <w:rPr>
          <w:rFonts w:hint="eastAsia" w:asciiTheme="minorEastAsia" w:hAnsiTheme="minorEastAsia" w:eastAsiaTheme="minorEastAsia"/>
          <w:color w:val="auto"/>
          <w:sz w:val="24"/>
          <w:highlight w:val="none"/>
        </w:rPr>
        <w:t>项目</w:t>
      </w:r>
      <w:r>
        <w:rPr>
          <w:rFonts w:asciiTheme="minorEastAsia" w:hAnsiTheme="minorEastAsia" w:eastAsiaTheme="minorEastAsia"/>
          <w:color w:val="auto"/>
          <w:sz w:val="24"/>
          <w:highlight w:val="none"/>
        </w:rPr>
        <w:t>实施过程中的有关费用按各自承担的工作量分摊。</w:t>
      </w:r>
    </w:p>
    <w:p w14:paraId="44862FB6">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5．联合体</w:t>
      </w:r>
      <w:r>
        <w:rPr>
          <w:rFonts w:hint="eastAsia" w:asciiTheme="minorEastAsia" w:hAnsiTheme="minorEastAsia" w:eastAsiaTheme="minorEastAsia"/>
          <w:color w:val="auto"/>
          <w:sz w:val="24"/>
          <w:highlight w:val="none"/>
        </w:rPr>
        <w:t>成交</w:t>
      </w:r>
      <w:r>
        <w:rPr>
          <w:rFonts w:asciiTheme="minorEastAsia" w:hAnsiTheme="minorEastAsia" w:eastAsiaTheme="minorEastAsia"/>
          <w:color w:val="auto"/>
          <w:sz w:val="24"/>
          <w:highlight w:val="none"/>
        </w:rPr>
        <w:t>后，本联合协议是合同的附件，对联合体各成员单位有合同约束力。</w:t>
      </w:r>
    </w:p>
    <w:p w14:paraId="24923DB5">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6．本协议书自签署之日起生效，联合体未</w:t>
      </w:r>
      <w:r>
        <w:rPr>
          <w:rFonts w:hint="eastAsia" w:asciiTheme="minorEastAsia" w:hAnsiTheme="minorEastAsia" w:eastAsiaTheme="minorEastAsia"/>
          <w:color w:val="auto"/>
          <w:sz w:val="24"/>
          <w:highlight w:val="none"/>
        </w:rPr>
        <w:t>成交</w:t>
      </w:r>
      <w:r>
        <w:rPr>
          <w:rFonts w:asciiTheme="minorEastAsia" w:hAnsiTheme="minorEastAsia" w:eastAsiaTheme="minorEastAsia"/>
          <w:color w:val="auto"/>
          <w:sz w:val="24"/>
          <w:highlight w:val="none"/>
        </w:rPr>
        <w:t>或者合同履行完毕后自动失效。</w:t>
      </w:r>
    </w:p>
    <w:p w14:paraId="4077A1DF">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联合体成员一：</w:t>
      </w:r>
      <w:r>
        <w:rPr>
          <w:rFonts w:hint="eastAsia"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（公章）</w:t>
      </w:r>
    </w:p>
    <w:p w14:paraId="4F850389">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法定代表人：</w:t>
      </w:r>
      <w:r>
        <w:rPr>
          <w:rFonts w:hint="eastAsia"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（签字或盖章）</w:t>
      </w:r>
    </w:p>
    <w:p w14:paraId="6482A775">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联合体成员二：</w:t>
      </w:r>
      <w:r>
        <w:rPr>
          <w:rFonts w:hint="eastAsia"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（公章）</w:t>
      </w:r>
    </w:p>
    <w:p w14:paraId="11D690B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法定代表人：</w:t>
      </w:r>
      <w:r>
        <w:rPr>
          <w:rFonts w:hint="eastAsia"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（签字或盖章）</w:t>
      </w:r>
    </w:p>
    <w:p w14:paraId="24333339">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p>
    <w:p w14:paraId="65EDE01E">
      <w:pPr>
        <w:pStyle w:val="40"/>
        <w:spacing w:line="360" w:lineRule="auto"/>
        <w:rPr>
          <w:rFonts w:asciiTheme="minorEastAsia" w:hAnsiTheme="minorEastAsia" w:eastAsiaTheme="minorEastAsia"/>
          <w:color w:val="auto"/>
          <w:sz w:val="24"/>
          <w:highlight w:val="none"/>
        </w:rPr>
      </w:pPr>
    </w:p>
    <w:p w14:paraId="4D369417">
      <w:pPr>
        <w:spacing w:line="360" w:lineRule="auto"/>
        <w:ind w:right="480" w:firstLine="4680" w:firstLineChars="19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签订日期:</w:t>
      </w:r>
      <w:r>
        <w:rPr>
          <w:rFonts w:hint="eastAsia"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年</w:t>
      </w:r>
      <w:r>
        <w:rPr>
          <w:rFonts w:hint="eastAsia"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月</w:t>
      </w:r>
      <w:r>
        <w:rPr>
          <w:rFonts w:hint="eastAsia"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日</w:t>
      </w:r>
    </w:p>
    <w:p w14:paraId="10B1837E">
      <w:pPr>
        <w:spacing w:line="360" w:lineRule="auto"/>
        <w:ind w:right="480" w:firstLine="4680" w:firstLineChars="1950"/>
        <w:rPr>
          <w:rFonts w:asciiTheme="minorEastAsia" w:hAnsiTheme="minorEastAsia" w:eastAsiaTheme="minorEastAsia"/>
          <w:color w:val="auto"/>
          <w:sz w:val="24"/>
          <w:highlight w:val="none"/>
        </w:rPr>
      </w:pPr>
    </w:p>
    <w:p w14:paraId="778E2E23">
      <w:pPr>
        <w:spacing w:line="360" w:lineRule="auto"/>
        <w:ind w:right="480" w:firstLine="5460" w:firstLineChars="1950"/>
        <w:rPr>
          <w:rFonts w:asciiTheme="minorEastAsia" w:hAnsiTheme="minorEastAsia" w:eastAsiaTheme="minorEastAsia"/>
          <w:color w:val="auto"/>
          <w:sz w:val="28"/>
          <w:highlight w:val="none"/>
        </w:rPr>
      </w:pPr>
    </w:p>
    <w:p w14:paraId="666C664E">
      <w:pPr>
        <w:widowControl/>
        <w:jc w:val="left"/>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br w:type="page"/>
      </w:r>
    </w:p>
    <w:p w14:paraId="5896E6D0">
      <w:pPr>
        <w:spacing w:line="360" w:lineRule="auto"/>
        <w:jc w:val="center"/>
        <w:outlineLvl w:val="1"/>
        <w:rPr>
          <w:rFonts w:hint="eastAsia" w:asciiTheme="minorEastAsia" w:hAnsiTheme="minorEastAsia" w:eastAsiaTheme="minorEastAsia"/>
          <w:b/>
          <w:color w:val="auto"/>
          <w:sz w:val="24"/>
          <w:highlight w:val="none"/>
          <w:lang w:val="en-US" w:eastAsia="zh-CN"/>
        </w:rPr>
      </w:pPr>
      <w:bookmarkStart w:id="752" w:name="_Toc17887"/>
      <w:bookmarkStart w:id="753" w:name="_Toc3154"/>
      <w:bookmarkStart w:id="754" w:name="_Toc28359"/>
      <w:r>
        <w:rPr>
          <w:rFonts w:hint="eastAsia" w:asciiTheme="minorEastAsia" w:hAnsiTheme="minorEastAsia" w:eastAsiaTheme="minorEastAsia"/>
          <w:b/>
          <w:color w:val="auto"/>
          <w:sz w:val="24"/>
          <w:highlight w:val="none"/>
          <w:lang w:val="en-US" w:eastAsia="zh-CN"/>
        </w:rPr>
        <w:t>十．拟分包情况说明及分包意向协议</w:t>
      </w:r>
      <w:bookmarkEnd w:id="752"/>
      <w:bookmarkEnd w:id="753"/>
    </w:p>
    <w:p w14:paraId="1621D034">
      <w:pPr>
        <w:pStyle w:val="22"/>
        <w:jc w:val="center"/>
        <w:rPr>
          <w:rFonts w:hint="eastAsia" w:ascii="宋体" w:hAnsi="宋体" w:eastAsia="宋体" w:cs="@仿宋_GB2312"/>
          <w:b w:val="0"/>
          <w:bCs w:val="0"/>
          <w:i/>
          <w:iCs/>
          <w:color w:val="FF0000"/>
          <w:kern w:val="2"/>
          <w:sz w:val="24"/>
          <w:szCs w:val="18"/>
          <w:highlight w:val="none"/>
          <w:lang w:val="en-US" w:eastAsia="zh-CN" w:bidi="ar-SA"/>
        </w:rPr>
      </w:pPr>
      <w:r>
        <w:rPr>
          <w:rFonts w:hint="eastAsia" w:ascii="宋体" w:hAnsi="宋体" w:eastAsia="宋体" w:cs="@仿宋_GB2312"/>
          <w:b w:val="0"/>
          <w:bCs w:val="0"/>
          <w:i/>
          <w:iCs/>
          <w:color w:val="FF0000"/>
          <w:kern w:val="2"/>
          <w:sz w:val="24"/>
          <w:szCs w:val="18"/>
          <w:highlight w:val="none"/>
          <w:lang w:val="en-US" w:eastAsia="zh-CN" w:bidi="ar-SA"/>
        </w:rPr>
        <w:t>（</w:t>
      </w:r>
      <w:r>
        <w:rPr>
          <w:rFonts w:hint="eastAsia" w:ascii="宋体" w:hAnsi="宋体" w:eastAsia="宋体"/>
          <w:b w:val="0"/>
          <w:i/>
          <w:color w:val="FF0000"/>
          <w:sz w:val="24"/>
          <w:highlight w:val="none"/>
        </w:rPr>
        <w:t>不允许</w:t>
      </w:r>
      <w:r>
        <w:rPr>
          <w:rFonts w:hint="eastAsia" w:ascii="宋体" w:hAnsi="宋体" w:eastAsia="宋体"/>
          <w:b w:val="0"/>
          <w:i/>
          <w:color w:val="FF0000"/>
          <w:sz w:val="24"/>
          <w:highlight w:val="none"/>
          <w:lang w:val="en-US" w:eastAsia="zh-CN"/>
        </w:rPr>
        <w:t>合同分包</w:t>
      </w:r>
      <w:r>
        <w:rPr>
          <w:rFonts w:hint="eastAsia" w:ascii="宋体" w:hAnsi="宋体" w:eastAsia="宋体"/>
          <w:b w:val="0"/>
          <w:i/>
          <w:color w:val="FF0000"/>
          <w:sz w:val="24"/>
          <w:highlight w:val="none"/>
        </w:rPr>
        <w:t>或未</w:t>
      </w:r>
      <w:r>
        <w:rPr>
          <w:rFonts w:hint="eastAsia" w:ascii="宋体" w:hAnsi="宋体" w:eastAsia="宋体"/>
          <w:b w:val="0"/>
          <w:i/>
          <w:color w:val="FF0000"/>
          <w:sz w:val="24"/>
          <w:highlight w:val="none"/>
          <w:lang w:val="en-US" w:eastAsia="zh-CN"/>
        </w:rPr>
        <w:t>采用合同分包的</w:t>
      </w:r>
      <w:r>
        <w:rPr>
          <w:rFonts w:hint="eastAsia" w:ascii="宋体" w:hAnsi="宋体" w:eastAsia="宋体"/>
          <w:b w:val="0"/>
          <w:i/>
          <w:color w:val="FF0000"/>
          <w:sz w:val="24"/>
          <w:highlight w:val="none"/>
        </w:rPr>
        <w:t>，</w:t>
      </w:r>
      <w:r>
        <w:rPr>
          <w:rFonts w:hint="eastAsia" w:ascii="宋体" w:hAnsi="宋体" w:eastAsia="宋体" w:cs="@仿宋_GB2312"/>
          <w:b w:val="0"/>
          <w:bCs w:val="0"/>
          <w:i/>
          <w:iCs/>
          <w:color w:val="FF0000"/>
          <w:kern w:val="2"/>
          <w:sz w:val="24"/>
          <w:szCs w:val="18"/>
          <w:highlight w:val="none"/>
          <w:lang w:val="en-US" w:eastAsia="zh-CN" w:bidi="ar-SA"/>
        </w:rPr>
        <w:t>不需</w:t>
      </w:r>
      <w:r>
        <w:rPr>
          <w:rFonts w:hint="eastAsia" w:ascii="宋体" w:hAnsi="宋体" w:eastAsia="宋体"/>
          <w:b w:val="0"/>
          <w:i/>
          <w:color w:val="FF0000"/>
          <w:sz w:val="24"/>
          <w:highlight w:val="none"/>
          <w:lang w:val="en-US" w:eastAsia="zh-CN"/>
        </w:rPr>
        <w:t>此件，请删去“拟分包情况说明及分包意向协议”</w:t>
      </w:r>
      <w:r>
        <w:rPr>
          <w:rFonts w:hint="eastAsia" w:ascii="宋体" w:hAnsi="宋体" w:eastAsia="宋体"/>
          <w:b w:val="0"/>
          <w:i/>
          <w:color w:val="FF0000"/>
          <w:sz w:val="24"/>
          <w:highlight w:val="none"/>
        </w:rPr>
        <w:t>；</w:t>
      </w:r>
      <w:r>
        <w:rPr>
          <w:rFonts w:hint="eastAsia" w:ascii="宋体" w:hAnsi="宋体" w:eastAsia="宋体"/>
          <w:b w:val="0"/>
          <w:i/>
          <w:color w:val="FF0000"/>
          <w:sz w:val="24"/>
          <w:highlight w:val="none"/>
          <w:lang w:val="en-US" w:eastAsia="zh-CN"/>
        </w:rPr>
        <w:t>允许合同分包且供应商采用合同分包的，请将此件制成扫描件上传，同时删去本提示内容）</w:t>
      </w:r>
    </w:p>
    <w:p w14:paraId="60E66A37">
      <w:pPr>
        <w:spacing w:line="360" w:lineRule="auto"/>
        <w:jc w:val="center"/>
        <w:outlineLvl w:val="2"/>
        <w:rPr>
          <w:rFonts w:hint="eastAsia" w:asciiTheme="minorEastAsia" w:hAnsiTheme="minorEastAsia" w:eastAsiaTheme="minorEastAsia"/>
          <w:b/>
          <w:color w:val="auto"/>
          <w:sz w:val="24"/>
          <w:highlight w:val="none"/>
          <w:lang w:val="en-US" w:eastAsia="zh-CN"/>
        </w:rPr>
      </w:pPr>
      <w:r>
        <w:rPr>
          <w:rFonts w:hint="eastAsia" w:asciiTheme="minorEastAsia" w:hAnsiTheme="minorEastAsia" w:eastAsiaTheme="minorEastAsia"/>
          <w:b/>
          <w:color w:val="auto"/>
          <w:sz w:val="24"/>
          <w:highlight w:val="none"/>
          <w:lang w:val="en-US" w:eastAsia="zh-CN"/>
        </w:rPr>
        <w:t>（一）拟分包情况说明</w:t>
      </w:r>
    </w:p>
    <w:p w14:paraId="099BBDDF">
      <w:pPr>
        <w:pStyle w:val="31"/>
        <w:spacing w:line="360" w:lineRule="auto"/>
        <w:rPr>
          <w:rFonts w:hint="eastAsia" w:ascii="宋体" w:hAnsi="宋体" w:eastAsia="宋体"/>
          <w:color w:val="auto"/>
          <w:sz w:val="24"/>
          <w:highlight w:val="none"/>
          <w:u w:val="single"/>
          <w:lang w:eastAsia="zh-CN"/>
        </w:rPr>
      </w:pPr>
      <w:r>
        <w:rPr>
          <w:rFonts w:hint="eastAsia" w:ascii="宋体" w:hAnsi="宋体"/>
          <w:color w:val="auto"/>
          <w:sz w:val="24"/>
          <w:highlight w:val="none"/>
        </w:rPr>
        <w:t>致：</w:t>
      </w:r>
      <w:r>
        <w:rPr>
          <w:rFonts w:hint="eastAsia" w:ascii="宋体" w:hAnsi="宋体"/>
          <w:color w:val="auto"/>
          <w:sz w:val="24"/>
          <w:highlight w:val="none"/>
          <w:u w:val="none"/>
          <w:lang w:eastAsia="zh-CN"/>
        </w:rPr>
        <w:t>采购人</w:t>
      </w:r>
    </w:p>
    <w:p w14:paraId="5870158E">
      <w:pPr>
        <w:pStyle w:val="22"/>
        <w:spacing w:before="181" w:line="359" w:lineRule="auto"/>
        <w:ind w:left="9" w:right="54" w:firstLine="481"/>
        <w:jc w:val="both"/>
        <w:rPr>
          <w:rFonts w:hint="eastAsia" w:ascii="宋体" w:hAnsi="宋体" w:eastAsia="宋体" w:cs="宋体"/>
          <w:sz w:val="24"/>
          <w:szCs w:val="24"/>
        </w:rPr>
      </w:pPr>
      <w:r>
        <w:rPr>
          <w:rFonts w:hint="eastAsia" w:ascii="宋体" w:hAnsi="宋体" w:eastAsia="宋体" w:cs="宋体"/>
          <w:spacing w:val="-3"/>
          <w:sz w:val="24"/>
          <w:szCs w:val="24"/>
        </w:rPr>
        <w:t>我单位参加</w:t>
      </w:r>
      <w:r>
        <w:rPr>
          <w:rFonts w:hint="eastAsia" w:ascii="宋体" w:hAnsi="宋体" w:eastAsia="宋体" w:cs="宋体"/>
          <w:spacing w:val="-3"/>
          <w:sz w:val="24"/>
          <w:szCs w:val="24"/>
          <w:lang w:val="en-US" w:eastAsia="zh-CN"/>
        </w:rPr>
        <w:t>本项目</w:t>
      </w:r>
      <w:r>
        <w:rPr>
          <w:rFonts w:hint="eastAsia" w:cs="@仿宋_GB2312" w:asciiTheme="minorEastAsia" w:hAnsiTheme="minorEastAsia" w:eastAsiaTheme="minorEastAsia"/>
          <w:color w:val="auto"/>
          <w:kern w:val="2"/>
          <w:sz w:val="24"/>
          <w:szCs w:val="20"/>
          <w:highlight w:val="none"/>
          <w:lang w:val="en-US" w:eastAsia="zh-CN" w:bidi="ar-SA"/>
        </w:rPr>
        <w:t>磋商，拟签订分包合同的单位情况如下表所示，我单位承诺一旦在该项目中获得采购合同将按下表所列情况进行分包，同时承诺分包承担主体不再次分包。</w:t>
      </w:r>
    </w:p>
    <w:tbl>
      <w:tblPr>
        <w:tblStyle w:val="274"/>
        <w:tblW w:w="9111" w:type="dxa"/>
        <w:tblInd w:w="-7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3"/>
        <w:gridCol w:w="1286"/>
        <w:gridCol w:w="1684"/>
        <w:gridCol w:w="1122"/>
        <w:gridCol w:w="1390"/>
        <w:gridCol w:w="1497"/>
        <w:gridCol w:w="1569"/>
      </w:tblGrid>
      <w:tr w14:paraId="5F8567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563" w:type="dxa"/>
            <w:textDirection w:val="tbRlV"/>
            <w:vAlign w:val="center"/>
          </w:tcPr>
          <w:p w14:paraId="4E4FF65E">
            <w:pPr>
              <w:keepNext w:val="0"/>
              <w:keepLines w:val="0"/>
              <w:pageBreakBefore w:val="0"/>
              <w:widowControl w:val="0"/>
              <w:kinsoku/>
              <w:wordWrap/>
              <w:overflowPunct/>
              <w:topLinePunct w:val="0"/>
              <w:autoSpaceDE/>
              <w:autoSpaceDN/>
              <w:bidi w:val="0"/>
              <w:adjustRightInd/>
              <w:snapToGrid/>
              <w:spacing w:line="240" w:lineRule="auto"/>
              <w:ind w:left="170" w:right="164"/>
              <w:jc w:val="center"/>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序号</w:t>
            </w:r>
          </w:p>
        </w:tc>
        <w:tc>
          <w:tcPr>
            <w:tcW w:w="1286" w:type="dxa"/>
            <w:vAlign w:val="center"/>
          </w:tcPr>
          <w:p w14:paraId="0E032000">
            <w:pPr>
              <w:keepNext w:val="0"/>
              <w:keepLines w:val="0"/>
              <w:pageBreakBefore w:val="0"/>
              <w:widowControl w:val="0"/>
              <w:kinsoku/>
              <w:wordWrap/>
              <w:overflowPunct/>
              <w:topLinePunct w:val="0"/>
              <w:autoSpaceDE/>
              <w:autoSpaceDN/>
              <w:bidi w:val="0"/>
              <w:adjustRightInd/>
              <w:snapToGrid/>
              <w:spacing w:line="240" w:lineRule="auto"/>
              <w:ind w:left="170" w:right="164"/>
              <w:jc w:val="center"/>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分包承担主体名称</w:t>
            </w:r>
          </w:p>
        </w:tc>
        <w:tc>
          <w:tcPr>
            <w:tcW w:w="1684" w:type="dxa"/>
            <w:vAlign w:val="center"/>
          </w:tcPr>
          <w:p w14:paraId="4FEE0FBD">
            <w:pPr>
              <w:keepNext w:val="0"/>
              <w:keepLines w:val="0"/>
              <w:pageBreakBefore w:val="0"/>
              <w:widowControl w:val="0"/>
              <w:kinsoku/>
              <w:wordWrap/>
              <w:overflowPunct/>
              <w:topLinePunct w:val="0"/>
              <w:autoSpaceDE/>
              <w:autoSpaceDN/>
              <w:bidi w:val="0"/>
              <w:adjustRightInd/>
              <w:snapToGrid/>
              <w:spacing w:line="240" w:lineRule="auto"/>
              <w:ind w:left="170" w:right="164"/>
              <w:jc w:val="center"/>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分包承担主体类型（选择）</w:t>
            </w:r>
          </w:p>
        </w:tc>
        <w:tc>
          <w:tcPr>
            <w:tcW w:w="1122" w:type="dxa"/>
            <w:vAlign w:val="center"/>
          </w:tcPr>
          <w:p w14:paraId="10D84AF0">
            <w:pPr>
              <w:keepNext w:val="0"/>
              <w:keepLines w:val="0"/>
              <w:pageBreakBefore w:val="0"/>
              <w:widowControl w:val="0"/>
              <w:kinsoku/>
              <w:wordWrap/>
              <w:overflowPunct/>
              <w:topLinePunct w:val="0"/>
              <w:autoSpaceDE/>
              <w:autoSpaceDN/>
              <w:bidi w:val="0"/>
              <w:adjustRightInd/>
              <w:snapToGrid/>
              <w:spacing w:line="240" w:lineRule="auto"/>
              <w:ind w:left="170" w:right="164"/>
              <w:jc w:val="center"/>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资质等级</w:t>
            </w:r>
          </w:p>
        </w:tc>
        <w:tc>
          <w:tcPr>
            <w:tcW w:w="1390" w:type="dxa"/>
            <w:vAlign w:val="center"/>
          </w:tcPr>
          <w:p w14:paraId="5D2ACB5C">
            <w:pPr>
              <w:keepNext w:val="0"/>
              <w:keepLines w:val="0"/>
              <w:pageBreakBefore w:val="0"/>
              <w:widowControl w:val="0"/>
              <w:kinsoku/>
              <w:wordWrap/>
              <w:overflowPunct/>
              <w:topLinePunct w:val="0"/>
              <w:autoSpaceDE/>
              <w:autoSpaceDN/>
              <w:bidi w:val="0"/>
              <w:adjustRightInd/>
              <w:snapToGrid/>
              <w:spacing w:line="240" w:lineRule="auto"/>
              <w:ind w:left="170" w:right="164"/>
              <w:jc w:val="center"/>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拟分包合同内容</w:t>
            </w:r>
          </w:p>
        </w:tc>
        <w:tc>
          <w:tcPr>
            <w:tcW w:w="1497" w:type="dxa"/>
            <w:vAlign w:val="center"/>
          </w:tcPr>
          <w:p w14:paraId="73EEC851">
            <w:pPr>
              <w:keepNext w:val="0"/>
              <w:keepLines w:val="0"/>
              <w:pageBreakBefore w:val="0"/>
              <w:widowControl w:val="0"/>
              <w:kinsoku/>
              <w:wordWrap/>
              <w:overflowPunct/>
              <w:topLinePunct w:val="0"/>
              <w:autoSpaceDE/>
              <w:autoSpaceDN/>
              <w:bidi w:val="0"/>
              <w:adjustRightInd/>
              <w:snapToGrid/>
              <w:spacing w:line="240" w:lineRule="auto"/>
              <w:ind w:left="170" w:right="164"/>
              <w:jc w:val="center"/>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拟分包合同金额（人民币元）</w:t>
            </w:r>
          </w:p>
        </w:tc>
        <w:tc>
          <w:tcPr>
            <w:tcW w:w="1569" w:type="dxa"/>
            <w:vAlign w:val="center"/>
          </w:tcPr>
          <w:p w14:paraId="0392CEF3">
            <w:pPr>
              <w:keepNext w:val="0"/>
              <w:keepLines w:val="0"/>
              <w:pageBreakBefore w:val="0"/>
              <w:widowControl w:val="0"/>
              <w:kinsoku/>
              <w:wordWrap/>
              <w:overflowPunct/>
              <w:topLinePunct w:val="0"/>
              <w:autoSpaceDE/>
              <w:autoSpaceDN/>
              <w:bidi w:val="0"/>
              <w:adjustRightInd/>
              <w:snapToGrid/>
              <w:spacing w:line="240" w:lineRule="auto"/>
              <w:ind w:left="170" w:right="164"/>
              <w:jc w:val="center"/>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占合同金额的比例（%）</w:t>
            </w:r>
          </w:p>
        </w:tc>
      </w:tr>
      <w:tr w14:paraId="524813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563" w:type="dxa"/>
            <w:vAlign w:val="center"/>
          </w:tcPr>
          <w:p w14:paraId="25836349">
            <w:pPr>
              <w:pStyle w:val="275"/>
              <w:spacing w:before="69" w:line="199"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286" w:type="dxa"/>
            <w:vAlign w:val="center"/>
          </w:tcPr>
          <w:p w14:paraId="44464DC2">
            <w:pPr>
              <w:pStyle w:val="275"/>
              <w:jc w:val="both"/>
              <w:rPr>
                <w:rFonts w:hint="eastAsia" w:ascii="宋体" w:hAnsi="宋体" w:eastAsia="宋体" w:cs="宋体"/>
              </w:rPr>
            </w:pPr>
          </w:p>
        </w:tc>
        <w:tc>
          <w:tcPr>
            <w:tcW w:w="1684" w:type="dxa"/>
            <w:vAlign w:val="center"/>
          </w:tcPr>
          <w:p w14:paraId="3F91B669">
            <w:pPr>
              <w:pStyle w:val="275"/>
              <w:spacing w:before="37" w:line="221" w:lineRule="auto"/>
              <w:ind w:left="134"/>
              <w:jc w:val="both"/>
              <w:rPr>
                <w:rFonts w:hint="eastAsia" w:ascii="宋体" w:hAnsi="宋体" w:eastAsia="宋体" w:cs="宋体"/>
                <w:sz w:val="24"/>
                <w:szCs w:val="24"/>
              </w:rPr>
            </w:pPr>
            <w:r>
              <w:rPr>
                <w:rFonts w:hint="eastAsia" w:ascii="宋体" w:hAnsi="宋体" w:eastAsia="宋体" w:cs="宋体"/>
                <w:spacing w:val="11"/>
                <w:sz w:val="24"/>
                <w:szCs w:val="24"/>
              </w:rPr>
              <w:t>□中型企业</w:t>
            </w:r>
          </w:p>
          <w:p w14:paraId="48D0ED7A">
            <w:pPr>
              <w:pStyle w:val="275"/>
              <w:spacing w:before="22" w:line="223" w:lineRule="auto"/>
              <w:ind w:left="373" w:right="208" w:hanging="239"/>
              <w:jc w:val="both"/>
              <w:rPr>
                <w:rFonts w:hint="eastAsia" w:ascii="宋体" w:hAnsi="宋体" w:eastAsia="宋体" w:cs="宋体"/>
                <w:spacing w:val="11"/>
                <w:sz w:val="24"/>
                <w:szCs w:val="24"/>
                <w:lang w:val="en-US" w:eastAsia="zh-CN"/>
              </w:rPr>
            </w:pPr>
            <w:r>
              <w:rPr>
                <w:rFonts w:hint="eastAsia" w:ascii="宋体" w:hAnsi="宋体" w:eastAsia="宋体" w:cs="宋体"/>
                <w:spacing w:val="11"/>
                <w:sz w:val="24"/>
                <w:szCs w:val="24"/>
              </w:rPr>
              <w:t>□小微企</w:t>
            </w:r>
            <w:r>
              <w:rPr>
                <w:rFonts w:hint="eastAsia" w:ascii="宋体" w:hAnsi="宋体" w:eastAsia="宋体" w:cs="宋体"/>
                <w:spacing w:val="11"/>
                <w:sz w:val="24"/>
                <w:szCs w:val="24"/>
                <w:lang w:val="en-US" w:eastAsia="zh-CN"/>
              </w:rPr>
              <w:t>业</w:t>
            </w:r>
          </w:p>
          <w:p w14:paraId="23AF45C1">
            <w:pPr>
              <w:pStyle w:val="275"/>
              <w:spacing w:before="22" w:line="223" w:lineRule="auto"/>
              <w:ind w:left="373" w:right="208" w:hanging="239"/>
              <w:jc w:val="both"/>
              <w:rPr>
                <w:rFonts w:hint="eastAsia" w:ascii="宋体" w:hAnsi="宋体" w:eastAsia="宋体" w:cs="宋体"/>
                <w:sz w:val="24"/>
                <w:szCs w:val="24"/>
              </w:rPr>
            </w:pPr>
            <w:r>
              <w:rPr>
                <w:rFonts w:hint="eastAsia" w:ascii="宋体" w:hAnsi="宋体" w:eastAsia="宋体" w:cs="宋体"/>
                <w:spacing w:val="19"/>
                <w:sz w:val="24"/>
                <w:szCs w:val="24"/>
              </w:rPr>
              <w:t>□其他</w:t>
            </w:r>
          </w:p>
        </w:tc>
        <w:tc>
          <w:tcPr>
            <w:tcW w:w="1122" w:type="dxa"/>
            <w:vAlign w:val="center"/>
          </w:tcPr>
          <w:p w14:paraId="6B983CE6">
            <w:pPr>
              <w:pStyle w:val="275"/>
              <w:jc w:val="both"/>
              <w:rPr>
                <w:rFonts w:hint="eastAsia" w:ascii="宋体" w:hAnsi="宋体" w:eastAsia="宋体" w:cs="宋体"/>
              </w:rPr>
            </w:pPr>
          </w:p>
        </w:tc>
        <w:tc>
          <w:tcPr>
            <w:tcW w:w="1390" w:type="dxa"/>
            <w:vAlign w:val="center"/>
          </w:tcPr>
          <w:p w14:paraId="37C8B516">
            <w:pPr>
              <w:pStyle w:val="275"/>
              <w:jc w:val="both"/>
              <w:rPr>
                <w:rFonts w:hint="eastAsia" w:ascii="宋体" w:hAnsi="宋体" w:eastAsia="宋体" w:cs="宋体"/>
              </w:rPr>
            </w:pPr>
          </w:p>
        </w:tc>
        <w:tc>
          <w:tcPr>
            <w:tcW w:w="1497" w:type="dxa"/>
            <w:vAlign w:val="center"/>
          </w:tcPr>
          <w:p w14:paraId="32E9800A">
            <w:pPr>
              <w:pStyle w:val="275"/>
              <w:jc w:val="both"/>
              <w:rPr>
                <w:rFonts w:hint="eastAsia" w:ascii="宋体" w:hAnsi="宋体" w:eastAsia="宋体" w:cs="宋体"/>
              </w:rPr>
            </w:pPr>
          </w:p>
        </w:tc>
        <w:tc>
          <w:tcPr>
            <w:tcW w:w="1569" w:type="dxa"/>
            <w:vAlign w:val="center"/>
          </w:tcPr>
          <w:p w14:paraId="2E59FCD7">
            <w:pPr>
              <w:pStyle w:val="275"/>
              <w:jc w:val="both"/>
              <w:rPr>
                <w:rFonts w:hint="eastAsia" w:ascii="宋体" w:hAnsi="宋体" w:eastAsia="宋体" w:cs="宋体"/>
              </w:rPr>
            </w:pPr>
          </w:p>
        </w:tc>
      </w:tr>
      <w:tr w14:paraId="68E068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2" w:hRule="atLeast"/>
        </w:trPr>
        <w:tc>
          <w:tcPr>
            <w:tcW w:w="563" w:type="dxa"/>
            <w:vAlign w:val="center"/>
          </w:tcPr>
          <w:p w14:paraId="4E0E1E96">
            <w:pPr>
              <w:pStyle w:val="275"/>
              <w:spacing w:before="69" w:line="201" w:lineRule="auto"/>
              <w:jc w:val="center"/>
              <w:rPr>
                <w:rFonts w:hint="eastAsia" w:ascii="宋体" w:hAnsi="宋体" w:eastAsia="宋体" w:cs="宋体"/>
                <w:sz w:val="24"/>
                <w:szCs w:val="24"/>
              </w:rPr>
            </w:pPr>
            <w:r>
              <w:rPr>
                <w:rFonts w:hint="eastAsia" w:ascii="宋体" w:hAnsi="宋体" w:eastAsia="宋体" w:cs="宋体"/>
                <w:spacing w:val="1"/>
                <w:sz w:val="24"/>
                <w:szCs w:val="24"/>
              </w:rPr>
              <w:t>2</w:t>
            </w:r>
          </w:p>
        </w:tc>
        <w:tc>
          <w:tcPr>
            <w:tcW w:w="1286" w:type="dxa"/>
            <w:vAlign w:val="center"/>
          </w:tcPr>
          <w:p w14:paraId="7C635713">
            <w:pPr>
              <w:pStyle w:val="275"/>
              <w:jc w:val="both"/>
              <w:rPr>
                <w:rFonts w:hint="eastAsia" w:ascii="宋体" w:hAnsi="宋体" w:eastAsia="宋体" w:cs="宋体"/>
              </w:rPr>
            </w:pPr>
          </w:p>
        </w:tc>
        <w:tc>
          <w:tcPr>
            <w:tcW w:w="1684" w:type="dxa"/>
            <w:vAlign w:val="center"/>
          </w:tcPr>
          <w:p w14:paraId="0725EE9F">
            <w:pPr>
              <w:pStyle w:val="275"/>
              <w:spacing w:before="38" w:line="221" w:lineRule="auto"/>
              <w:ind w:left="134"/>
              <w:jc w:val="both"/>
              <w:rPr>
                <w:rFonts w:hint="eastAsia" w:ascii="宋体" w:hAnsi="宋体" w:eastAsia="宋体" w:cs="宋体"/>
                <w:sz w:val="24"/>
                <w:szCs w:val="24"/>
              </w:rPr>
            </w:pPr>
            <w:r>
              <w:rPr>
                <w:rFonts w:hint="eastAsia" w:ascii="宋体" w:hAnsi="宋体" w:eastAsia="宋体" w:cs="宋体"/>
                <w:spacing w:val="11"/>
                <w:sz w:val="24"/>
                <w:szCs w:val="24"/>
              </w:rPr>
              <w:t>□中型企业</w:t>
            </w:r>
          </w:p>
          <w:p w14:paraId="1241DC2C">
            <w:pPr>
              <w:pStyle w:val="275"/>
              <w:spacing w:before="25" w:line="222" w:lineRule="auto"/>
              <w:ind w:left="373" w:right="208" w:hanging="239"/>
              <w:jc w:val="both"/>
              <w:rPr>
                <w:rFonts w:hint="eastAsia" w:ascii="宋体" w:hAnsi="宋体" w:eastAsia="宋体" w:cs="宋体"/>
                <w:spacing w:val="11"/>
                <w:sz w:val="24"/>
                <w:szCs w:val="24"/>
              </w:rPr>
            </w:pPr>
            <w:r>
              <w:rPr>
                <w:rFonts w:hint="eastAsia" w:ascii="宋体" w:hAnsi="宋体" w:eastAsia="宋体" w:cs="宋体"/>
                <w:spacing w:val="11"/>
                <w:sz w:val="24"/>
                <w:szCs w:val="24"/>
              </w:rPr>
              <w:t>□小微企</w:t>
            </w:r>
            <w:r>
              <w:rPr>
                <w:rFonts w:hint="eastAsia" w:ascii="宋体" w:hAnsi="宋体" w:eastAsia="宋体" w:cs="宋体"/>
                <w:spacing w:val="11"/>
                <w:sz w:val="24"/>
                <w:szCs w:val="24"/>
                <w:lang w:val="en-US" w:eastAsia="zh-CN"/>
              </w:rPr>
              <w:t>业</w:t>
            </w:r>
          </w:p>
          <w:p w14:paraId="64AE9184">
            <w:pPr>
              <w:pStyle w:val="275"/>
              <w:spacing w:before="25" w:line="222" w:lineRule="auto"/>
              <w:ind w:left="373" w:right="208" w:hanging="239"/>
              <w:jc w:val="both"/>
              <w:rPr>
                <w:rFonts w:hint="eastAsia" w:ascii="宋体" w:hAnsi="宋体" w:eastAsia="宋体" w:cs="宋体"/>
                <w:sz w:val="24"/>
                <w:szCs w:val="24"/>
              </w:rPr>
            </w:pPr>
            <w:r>
              <w:rPr>
                <w:rFonts w:hint="eastAsia" w:ascii="宋体" w:hAnsi="宋体" w:eastAsia="宋体" w:cs="宋体"/>
                <w:spacing w:val="19"/>
                <w:sz w:val="24"/>
                <w:szCs w:val="24"/>
              </w:rPr>
              <w:t>□其他</w:t>
            </w:r>
          </w:p>
        </w:tc>
        <w:tc>
          <w:tcPr>
            <w:tcW w:w="1122" w:type="dxa"/>
            <w:vAlign w:val="center"/>
          </w:tcPr>
          <w:p w14:paraId="7CF9DD4B">
            <w:pPr>
              <w:pStyle w:val="275"/>
              <w:jc w:val="both"/>
              <w:rPr>
                <w:rFonts w:hint="eastAsia" w:ascii="宋体" w:hAnsi="宋体" w:eastAsia="宋体" w:cs="宋体"/>
              </w:rPr>
            </w:pPr>
          </w:p>
        </w:tc>
        <w:tc>
          <w:tcPr>
            <w:tcW w:w="1390" w:type="dxa"/>
            <w:vAlign w:val="center"/>
          </w:tcPr>
          <w:p w14:paraId="31D0AAEC">
            <w:pPr>
              <w:pStyle w:val="275"/>
              <w:jc w:val="both"/>
              <w:rPr>
                <w:rFonts w:hint="eastAsia" w:ascii="宋体" w:hAnsi="宋体" w:eastAsia="宋体" w:cs="宋体"/>
              </w:rPr>
            </w:pPr>
          </w:p>
        </w:tc>
        <w:tc>
          <w:tcPr>
            <w:tcW w:w="1497" w:type="dxa"/>
            <w:vAlign w:val="center"/>
          </w:tcPr>
          <w:p w14:paraId="314A573A">
            <w:pPr>
              <w:pStyle w:val="275"/>
              <w:jc w:val="both"/>
              <w:rPr>
                <w:rFonts w:hint="eastAsia" w:ascii="宋体" w:hAnsi="宋体" w:eastAsia="宋体" w:cs="宋体"/>
              </w:rPr>
            </w:pPr>
          </w:p>
        </w:tc>
        <w:tc>
          <w:tcPr>
            <w:tcW w:w="1569" w:type="dxa"/>
            <w:vAlign w:val="center"/>
          </w:tcPr>
          <w:p w14:paraId="042E5358">
            <w:pPr>
              <w:pStyle w:val="275"/>
              <w:jc w:val="both"/>
              <w:rPr>
                <w:rFonts w:hint="eastAsia" w:ascii="宋体" w:hAnsi="宋体" w:eastAsia="宋体" w:cs="宋体"/>
              </w:rPr>
            </w:pPr>
          </w:p>
        </w:tc>
      </w:tr>
      <w:tr w14:paraId="567AC4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563" w:type="dxa"/>
            <w:vAlign w:val="center"/>
          </w:tcPr>
          <w:p w14:paraId="69A2397C">
            <w:pPr>
              <w:pStyle w:val="275"/>
              <w:spacing w:before="69" w:line="81" w:lineRule="exact"/>
              <w:jc w:val="center"/>
              <w:rPr>
                <w:rFonts w:hint="eastAsia" w:ascii="宋体" w:hAnsi="宋体" w:eastAsia="宋体" w:cs="宋体"/>
                <w:sz w:val="24"/>
                <w:szCs w:val="24"/>
              </w:rPr>
            </w:pPr>
            <w:r>
              <w:rPr>
                <w:rFonts w:hint="eastAsia" w:ascii="宋体" w:hAnsi="宋体" w:eastAsia="宋体" w:cs="宋体"/>
                <w:position w:val="1"/>
                <w:sz w:val="24"/>
                <w:szCs w:val="24"/>
              </w:rPr>
              <w:t>…</w:t>
            </w:r>
          </w:p>
        </w:tc>
        <w:tc>
          <w:tcPr>
            <w:tcW w:w="1286" w:type="dxa"/>
            <w:vAlign w:val="center"/>
          </w:tcPr>
          <w:p w14:paraId="28B96E12">
            <w:pPr>
              <w:pStyle w:val="275"/>
              <w:jc w:val="both"/>
              <w:rPr>
                <w:rFonts w:hint="eastAsia" w:ascii="宋体" w:hAnsi="宋体" w:eastAsia="宋体" w:cs="宋体"/>
              </w:rPr>
            </w:pPr>
          </w:p>
        </w:tc>
        <w:tc>
          <w:tcPr>
            <w:tcW w:w="1684" w:type="dxa"/>
            <w:vAlign w:val="center"/>
          </w:tcPr>
          <w:p w14:paraId="32CF8CDB">
            <w:pPr>
              <w:pStyle w:val="275"/>
              <w:jc w:val="both"/>
              <w:rPr>
                <w:rFonts w:hint="eastAsia" w:ascii="宋体" w:hAnsi="宋体" w:eastAsia="宋体" w:cs="宋体"/>
              </w:rPr>
            </w:pPr>
          </w:p>
        </w:tc>
        <w:tc>
          <w:tcPr>
            <w:tcW w:w="1122" w:type="dxa"/>
            <w:vAlign w:val="center"/>
          </w:tcPr>
          <w:p w14:paraId="0DC1722B">
            <w:pPr>
              <w:pStyle w:val="275"/>
              <w:jc w:val="both"/>
              <w:rPr>
                <w:rFonts w:hint="eastAsia" w:ascii="宋体" w:hAnsi="宋体" w:eastAsia="宋体" w:cs="宋体"/>
              </w:rPr>
            </w:pPr>
          </w:p>
        </w:tc>
        <w:tc>
          <w:tcPr>
            <w:tcW w:w="1390" w:type="dxa"/>
            <w:vAlign w:val="center"/>
          </w:tcPr>
          <w:p w14:paraId="3EA9D550">
            <w:pPr>
              <w:pStyle w:val="275"/>
              <w:jc w:val="both"/>
              <w:rPr>
                <w:rFonts w:hint="eastAsia" w:ascii="宋体" w:hAnsi="宋体" w:eastAsia="宋体" w:cs="宋体"/>
              </w:rPr>
            </w:pPr>
          </w:p>
        </w:tc>
        <w:tc>
          <w:tcPr>
            <w:tcW w:w="1497" w:type="dxa"/>
            <w:vAlign w:val="center"/>
          </w:tcPr>
          <w:p w14:paraId="641DC653">
            <w:pPr>
              <w:pStyle w:val="275"/>
              <w:jc w:val="both"/>
              <w:rPr>
                <w:rFonts w:hint="eastAsia" w:ascii="宋体" w:hAnsi="宋体" w:eastAsia="宋体" w:cs="宋体"/>
              </w:rPr>
            </w:pPr>
          </w:p>
        </w:tc>
        <w:tc>
          <w:tcPr>
            <w:tcW w:w="1569" w:type="dxa"/>
            <w:vAlign w:val="center"/>
          </w:tcPr>
          <w:p w14:paraId="380DAC1D">
            <w:pPr>
              <w:pStyle w:val="275"/>
              <w:jc w:val="both"/>
              <w:rPr>
                <w:rFonts w:hint="eastAsia" w:ascii="宋体" w:hAnsi="宋体" w:eastAsia="宋体" w:cs="宋体"/>
              </w:rPr>
            </w:pPr>
          </w:p>
        </w:tc>
      </w:tr>
      <w:tr w14:paraId="799928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045" w:type="dxa"/>
            <w:gridSpan w:val="5"/>
            <w:vAlign w:val="center"/>
          </w:tcPr>
          <w:p w14:paraId="4C233330">
            <w:pPr>
              <w:spacing w:before="193" w:line="222" w:lineRule="auto"/>
              <w:ind w:left="5170"/>
              <w:jc w:val="both"/>
              <w:rPr>
                <w:rFonts w:hint="eastAsia" w:ascii="宋体" w:hAnsi="宋体" w:eastAsia="宋体" w:cs="宋体"/>
                <w:sz w:val="24"/>
                <w:szCs w:val="24"/>
              </w:rPr>
            </w:pPr>
            <w:r>
              <w:rPr>
                <w:rFonts w:hint="eastAsia" w:ascii="宋体" w:hAnsi="宋体" w:eastAsia="宋体" w:cs="宋体"/>
                <w:spacing w:val="-15"/>
                <w:sz w:val="24"/>
                <w:szCs w:val="24"/>
              </w:rPr>
              <w:t>合计：</w:t>
            </w:r>
          </w:p>
        </w:tc>
        <w:tc>
          <w:tcPr>
            <w:tcW w:w="1497" w:type="dxa"/>
            <w:vAlign w:val="center"/>
          </w:tcPr>
          <w:p w14:paraId="0984647B">
            <w:pPr>
              <w:pStyle w:val="275"/>
              <w:jc w:val="both"/>
              <w:rPr>
                <w:rFonts w:hint="eastAsia" w:ascii="宋体" w:hAnsi="宋体" w:eastAsia="宋体" w:cs="宋体"/>
              </w:rPr>
            </w:pPr>
          </w:p>
        </w:tc>
        <w:tc>
          <w:tcPr>
            <w:tcW w:w="1569" w:type="dxa"/>
            <w:vAlign w:val="center"/>
          </w:tcPr>
          <w:p w14:paraId="4ECEF328">
            <w:pPr>
              <w:pStyle w:val="275"/>
              <w:jc w:val="both"/>
              <w:rPr>
                <w:rFonts w:hint="eastAsia" w:ascii="宋体" w:hAnsi="宋体" w:eastAsia="宋体" w:cs="宋体"/>
              </w:rPr>
            </w:pPr>
          </w:p>
        </w:tc>
      </w:tr>
    </w:tbl>
    <w:p w14:paraId="4A2D38B6">
      <w:pPr>
        <w:spacing w:line="272" w:lineRule="auto"/>
        <w:rPr>
          <w:rFonts w:hint="eastAsia" w:ascii="宋体" w:hAnsi="宋体" w:eastAsia="宋体" w:cs="宋体"/>
          <w:sz w:val="21"/>
        </w:rPr>
      </w:pPr>
    </w:p>
    <w:p w14:paraId="79C0B7ED">
      <w:pPr>
        <w:spacing w:line="360" w:lineRule="auto"/>
        <w:ind w:firstLine="4800" w:firstLineChars="2000"/>
        <w:rPr>
          <w:rFonts w:ascii="宋体" w:hAnsi="宋体" w:eastAsia="宋体"/>
          <w:color w:val="auto"/>
          <w:sz w:val="24"/>
          <w:highlight w:val="none"/>
          <w:u w:val="single"/>
        </w:rPr>
      </w:pPr>
      <w:r>
        <w:rPr>
          <w:rFonts w:hint="eastAsia"/>
          <w:color w:val="auto"/>
          <w:sz w:val="24"/>
          <w:highlight w:val="none"/>
          <w:lang w:val="en-US" w:eastAsia="zh-CN"/>
        </w:rPr>
        <w:t>供应商</w:t>
      </w:r>
      <w:r>
        <w:rPr>
          <w:rFonts w:hint="eastAsia" w:cs="@仿宋_GB2312" w:asciiTheme="minorEastAsia" w:hAnsiTheme="minorEastAsia" w:eastAsiaTheme="minorEastAsia"/>
          <w:bCs/>
          <w:color w:val="auto"/>
          <w:kern w:val="2"/>
          <w:sz w:val="24"/>
          <w:highlight w:val="none"/>
          <w:lang w:val="en-US" w:eastAsia="zh-CN"/>
        </w:rPr>
        <w:t>盖章</w:t>
      </w:r>
      <w:r>
        <w:rPr>
          <w:rFonts w:hint="eastAsia" w:ascii="宋体" w:hAnsi="宋体" w:eastAsia="宋体"/>
          <w:color w:val="auto"/>
          <w:sz w:val="24"/>
          <w:highlight w:val="none"/>
        </w:rPr>
        <w:t>：</w:t>
      </w:r>
      <w:r>
        <w:rPr>
          <w:rFonts w:hint="eastAsia" w:ascii="宋体" w:hAnsi="宋体" w:eastAsia="宋体"/>
          <w:color w:val="auto"/>
          <w:sz w:val="24"/>
          <w:highlight w:val="none"/>
          <w:u w:val="single"/>
        </w:rPr>
        <w:t xml:space="preserve">             </w:t>
      </w:r>
    </w:p>
    <w:p w14:paraId="74FC29C4">
      <w:pPr>
        <w:spacing w:line="360" w:lineRule="auto"/>
        <w:ind w:firstLine="4800" w:firstLineChars="2000"/>
        <w:rPr>
          <w:rFonts w:ascii="宋体" w:hAnsi="宋体" w:eastAsia="宋体"/>
          <w:color w:val="auto"/>
          <w:sz w:val="24"/>
          <w:highlight w:val="none"/>
          <w:u w:val="single"/>
        </w:rPr>
      </w:pPr>
      <w:r>
        <w:rPr>
          <w:rFonts w:hint="eastAsia" w:ascii="宋体" w:hAnsi="宋体" w:eastAsia="宋体"/>
          <w:color w:val="auto"/>
          <w:sz w:val="24"/>
          <w:highlight w:val="none"/>
        </w:rPr>
        <w:t>日          期：</w:t>
      </w:r>
      <w:r>
        <w:rPr>
          <w:rFonts w:hint="eastAsia" w:ascii="宋体" w:hAnsi="宋体" w:eastAsia="宋体"/>
          <w:color w:val="auto"/>
          <w:sz w:val="24"/>
          <w:highlight w:val="none"/>
          <w:u w:val="single"/>
        </w:rPr>
        <w:t xml:space="preserve">             </w:t>
      </w:r>
    </w:p>
    <w:p w14:paraId="19B50007">
      <w:pPr>
        <w:pStyle w:val="22"/>
        <w:spacing w:before="1" w:line="224" w:lineRule="auto"/>
        <w:ind w:left="9"/>
        <w:rPr>
          <w:rFonts w:hint="eastAsia" w:ascii="宋体" w:hAnsi="宋体" w:eastAsia="宋体" w:cs="宋体"/>
          <w:sz w:val="24"/>
          <w:szCs w:val="24"/>
        </w:rPr>
      </w:pPr>
      <w:r>
        <w:rPr>
          <w:rFonts w:hint="eastAsia" w:ascii="宋体" w:hAnsi="宋体" w:eastAsia="宋体" w:cs="宋体"/>
          <w:spacing w:val="-17"/>
          <w:sz w:val="24"/>
          <w:szCs w:val="24"/>
        </w:rPr>
        <w:t>注：</w:t>
      </w:r>
    </w:p>
    <w:p w14:paraId="0790EC70">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left"/>
        <w:textAlignment w:val="auto"/>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1.拟分包情况说明仅需加盖供应商公章。</w:t>
      </w:r>
    </w:p>
    <w:p w14:paraId="40FEED23">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left"/>
        <w:textAlignment w:val="auto"/>
        <w:rPr>
          <w:rFonts w:hint="default"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2.考虑拟分包合同金额的方便，供应商在填写最后承诺报价后，（第一次报价-最后承诺报价）除以第一次报价后得出的优惠率视同为上述表中拟分包合同金额的优惠浮动值（特定分项优惠除外），而不考虑措施项目清单和规费税金清单的金额改变。</w:t>
      </w:r>
    </w:p>
    <w:p w14:paraId="110B5F38">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left"/>
        <w:textAlignment w:val="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3.如磋商文件载明本项目分包承担主体应具备的相应资质条件，则供应商须在本表中列明分包承担主体的资质等级，并后附材料扫描件或电子证照，</w:t>
      </w:r>
      <w:r>
        <w:rPr>
          <w:rFonts w:hint="eastAsia" w:asciiTheme="minorEastAsia" w:hAnsiTheme="minorEastAsia" w:eastAsiaTheme="minorEastAsia"/>
          <w:color w:val="auto"/>
          <w:sz w:val="24"/>
          <w:highlight w:val="none"/>
        </w:rPr>
        <w:t>否则</w:t>
      </w:r>
      <w:r>
        <w:rPr>
          <w:rFonts w:hint="eastAsia" w:asciiTheme="minorEastAsia" w:hAnsiTheme="minorEastAsia" w:eastAsiaTheme="minorEastAsia"/>
          <w:b/>
          <w:bCs/>
          <w:color w:val="auto"/>
          <w:sz w:val="24"/>
          <w:highlight w:val="none"/>
          <w:lang w:val="en-US" w:eastAsia="zh-CN"/>
        </w:rPr>
        <w:t>响应</w:t>
      </w:r>
      <w:r>
        <w:rPr>
          <w:rFonts w:hint="eastAsia" w:asciiTheme="minorEastAsia" w:hAnsiTheme="minorEastAsia" w:eastAsiaTheme="minorEastAsia"/>
          <w:b/>
          <w:bCs/>
          <w:color w:val="auto"/>
          <w:sz w:val="24"/>
          <w:highlight w:val="none"/>
        </w:rPr>
        <w:t>无效</w:t>
      </w:r>
      <w:r>
        <w:rPr>
          <w:rFonts w:hint="eastAsia" w:asciiTheme="minorEastAsia" w:hAnsiTheme="minorEastAsia" w:eastAsiaTheme="minorEastAsia"/>
          <w:color w:val="auto"/>
          <w:sz w:val="24"/>
          <w:highlight w:val="none"/>
        </w:rPr>
        <w:t>。</w:t>
      </w:r>
    </w:p>
    <w:p w14:paraId="7CD64D82">
      <w:pPr>
        <w:spacing w:line="220" w:lineRule="auto"/>
        <w:rPr>
          <w:rFonts w:hint="eastAsia" w:ascii="宋体" w:hAnsi="宋体" w:eastAsia="宋体" w:cs="宋体"/>
          <w:sz w:val="24"/>
          <w:szCs w:val="24"/>
        </w:rPr>
        <w:sectPr>
          <w:headerReference r:id="rId7" w:type="default"/>
          <w:footerReference r:id="rId8" w:type="default"/>
          <w:pgSz w:w="11907" w:h="16840"/>
          <w:pgMar w:top="1117" w:right="1078" w:bottom="1060" w:left="1700" w:header="510" w:footer="886" w:gutter="0"/>
          <w:pgNumType w:fmt="decimal"/>
          <w:cols w:space="720" w:num="1"/>
        </w:sectPr>
      </w:pPr>
    </w:p>
    <w:p w14:paraId="06CDC426">
      <w:pPr>
        <w:spacing w:line="360" w:lineRule="auto"/>
        <w:jc w:val="center"/>
        <w:outlineLvl w:val="2"/>
        <w:rPr>
          <w:rFonts w:hint="eastAsia" w:asciiTheme="minorEastAsia" w:hAnsiTheme="minorEastAsia" w:eastAsiaTheme="minorEastAsia"/>
          <w:b/>
          <w:color w:val="auto"/>
          <w:sz w:val="24"/>
          <w:highlight w:val="none"/>
          <w:lang w:val="en-US" w:eastAsia="zh-CN"/>
        </w:rPr>
      </w:pPr>
      <w:r>
        <w:rPr>
          <w:rFonts w:hint="eastAsia" w:asciiTheme="minorEastAsia" w:hAnsiTheme="minorEastAsia" w:eastAsiaTheme="minorEastAsia"/>
          <w:b/>
          <w:color w:val="auto"/>
          <w:sz w:val="24"/>
          <w:highlight w:val="none"/>
          <w:lang w:val="en-US" w:eastAsia="zh-CN"/>
        </w:rPr>
        <w:t>（二）分包意向协议</w:t>
      </w:r>
    </w:p>
    <w:p w14:paraId="24BD1138">
      <w:pPr>
        <w:spacing w:line="360" w:lineRule="auto"/>
        <w:ind w:firstLine="435"/>
        <w:rPr>
          <w:rFonts w:asciiTheme="minorEastAsia" w:hAnsiTheme="minorEastAsia" w:eastAsiaTheme="minorEastAsia"/>
          <w:sz w:val="24"/>
          <w:u w:val="single"/>
        </w:rPr>
      </w:pPr>
      <w:r>
        <w:rPr>
          <w:rFonts w:hint="eastAsia" w:asciiTheme="minorEastAsia" w:hAnsiTheme="minorEastAsia" w:eastAsiaTheme="minorEastAsia"/>
          <w:sz w:val="24"/>
          <w:lang w:val="en-US" w:eastAsia="zh-CN"/>
        </w:rPr>
        <w:t>供应商</w:t>
      </w:r>
      <w:r>
        <w:rPr>
          <w:rFonts w:hint="eastAsia" w:asciiTheme="minorEastAsia" w:hAnsiTheme="minorEastAsia" w:eastAsiaTheme="minorEastAsia"/>
          <w:sz w:val="24"/>
        </w:rPr>
        <w:t>名称：</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r>
        <w:rPr>
          <w:rFonts w:hint="eastAsia" w:asciiTheme="minorEastAsia" w:hAnsiTheme="minorEastAsia" w:eastAsiaTheme="minorEastAsia"/>
          <w:sz w:val="24"/>
          <w:u w:val="single"/>
          <w:lang w:val="en-US" w:eastAsia="zh-CN"/>
        </w:rPr>
        <w:t xml:space="preserve">        </w:t>
      </w:r>
      <w:r>
        <w:rPr>
          <w:rFonts w:asciiTheme="minorEastAsia" w:hAnsiTheme="minorEastAsia" w:eastAsiaTheme="minorEastAsia"/>
          <w:sz w:val="24"/>
          <w:u w:val="single"/>
        </w:rPr>
        <w:t xml:space="preserve">           </w:t>
      </w:r>
      <w:r>
        <w:rPr>
          <w:rFonts w:hint="eastAsia" w:asciiTheme="minorEastAsia" w:hAnsiTheme="minorEastAsia" w:eastAsiaTheme="minorEastAsia"/>
          <w:sz w:val="24"/>
        </w:rPr>
        <w:t>；</w:t>
      </w:r>
    </w:p>
    <w:p w14:paraId="756D2D07">
      <w:pPr>
        <w:spacing w:line="360" w:lineRule="auto"/>
        <w:ind w:firstLine="435"/>
        <w:rPr>
          <w:rFonts w:hint="eastAsia" w:asciiTheme="minorEastAsia" w:hAnsiTheme="minorEastAsia" w:eastAsiaTheme="minorEastAsia"/>
          <w:sz w:val="24"/>
        </w:rPr>
      </w:pPr>
      <w:r>
        <w:rPr>
          <w:rFonts w:hint="eastAsia" w:asciiTheme="minorEastAsia" w:hAnsiTheme="minorEastAsia" w:eastAsiaTheme="minorEastAsia"/>
          <w:sz w:val="24"/>
        </w:rPr>
        <w:t>接受分包企业</w:t>
      </w:r>
      <w:r>
        <w:rPr>
          <w:rFonts w:hint="eastAsia" w:asciiTheme="minorEastAsia" w:hAnsiTheme="minorEastAsia" w:eastAsiaTheme="minorEastAsia"/>
          <w:sz w:val="24"/>
          <w:lang w:val="en-US" w:eastAsia="zh-CN"/>
        </w:rPr>
        <w:t>一</w:t>
      </w:r>
      <w:r>
        <w:rPr>
          <w:rFonts w:hint="eastAsia" w:asciiTheme="minorEastAsia" w:hAnsiTheme="minorEastAsia" w:eastAsiaTheme="minorEastAsia"/>
          <w:sz w:val="24"/>
        </w:rPr>
        <w:t>名称：</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r>
        <w:rPr>
          <w:rFonts w:hint="eastAsia" w:asciiTheme="minorEastAsia" w:hAnsiTheme="minorEastAsia" w:eastAsiaTheme="minorEastAsia"/>
          <w:sz w:val="24"/>
        </w:rPr>
        <w:t>；</w:t>
      </w:r>
    </w:p>
    <w:p w14:paraId="73AB196F">
      <w:pPr>
        <w:spacing w:line="360" w:lineRule="auto"/>
        <w:ind w:firstLine="435"/>
        <w:rPr>
          <w:rFonts w:hint="eastAsia" w:asciiTheme="minorEastAsia" w:hAnsiTheme="minorEastAsia" w:eastAsiaTheme="minorEastAsia"/>
          <w:sz w:val="24"/>
        </w:rPr>
      </w:pPr>
      <w:r>
        <w:rPr>
          <w:rFonts w:hint="eastAsia" w:asciiTheme="minorEastAsia" w:hAnsiTheme="minorEastAsia" w:eastAsiaTheme="minorEastAsia"/>
          <w:sz w:val="24"/>
        </w:rPr>
        <w:t>接受分包企业</w:t>
      </w:r>
      <w:r>
        <w:rPr>
          <w:rFonts w:hint="eastAsia" w:asciiTheme="minorEastAsia" w:hAnsiTheme="minorEastAsia" w:eastAsiaTheme="minorEastAsia"/>
          <w:sz w:val="24"/>
          <w:lang w:val="en-US" w:eastAsia="zh-CN"/>
        </w:rPr>
        <w:t>二</w:t>
      </w:r>
      <w:r>
        <w:rPr>
          <w:rFonts w:hint="eastAsia" w:asciiTheme="minorEastAsia" w:hAnsiTheme="minorEastAsia" w:eastAsiaTheme="minorEastAsia"/>
          <w:sz w:val="24"/>
        </w:rPr>
        <w:t>名称：</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r>
        <w:rPr>
          <w:rFonts w:hint="eastAsia" w:asciiTheme="minorEastAsia" w:hAnsiTheme="minorEastAsia" w:eastAsiaTheme="minorEastAsia"/>
          <w:sz w:val="24"/>
        </w:rPr>
        <w:t>；</w:t>
      </w:r>
    </w:p>
    <w:p w14:paraId="2788F886">
      <w:pPr>
        <w:spacing w:line="360" w:lineRule="auto"/>
        <w:ind w:firstLine="435"/>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w:t>
      </w:r>
    </w:p>
    <w:p w14:paraId="126366B1">
      <w:pPr>
        <w:spacing w:line="360" w:lineRule="auto"/>
        <w:ind w:firstLine="435"/>
        <w:rPr>
          <w:rFonts w:asciiTheme="minorEastAsia" w:hAnsiTheme="minorEastAsia" w:eastAsiaTheme="minorEastAsia"/>
          <w:sz w:val="24"/>
        </w:rPr>
      </w:pPr>
      <w:r>
        <w:rPr>
          <w:rFonts w:hint="eastAsia" w:asciiTheme="minorEastAsia" w:hAnsiTheme="minorEastAsia" w:eastAsiaTheme="minorEastAsia"/>
          <w:sz w:val="24"/>
          <w:lang w:val="en-US" w:eastAsia="zh-CN"/>
        </w:rPr>
        <w:t>依据《</w:t>
      </w:r>
      <w:r>
        <w:rPr>
          <w:rFonts w:hint="eastAsia" w:asciiTheme="minorEastAsia" w:hAnsiTheme="minorEastAsia" w:eastAsiaTheme="minorEastAsia"/>
          <w:sz w:val="24"/>
        </w:rPr>
        <w:t>政府采购促进中小企业发展管理办法</w:t>
      </w:r>
      <w:r>
        <w:rPr>
          <w:rFonts w:hint="eastAsia" w:asciiTheme="minorEastAsia" w:hAnsiTheme="minorEastAsia" w:eastAsiaTheme="minorEastAsia"/>
          <w:sz w:val="24"/>
          <w:lang w:eastAsia="zh-CN"/>
        </w:rPr>
        <w:t>》</w:t>
      </w:r>
      <w:r>
        <w:rPr>
          <w:rFonts w:hint="eastAsia" w:asciiTheme="minorEastAsia" w:hAnsiTheme="minorEastAsia" w:eastAsiaTheme="minorEastAsia"/>
          <w:sz w:val="24"/>
        </w:rPr>
        <w:t>（财库〔2020〕46号）</w:t>
      </w:r>
      <w:r>
        <w:rPr>
          <w:rFonts w:hint="eastAsia" w:asciiTheme="minorEastAsia" w:hAnsiTheme="minorEastAsia" w:eastAsiaTheme="minorEastAsia"/>
          <w:sz w:val="24"/>
          <w:lang w:val="en-US" w:eastAsia="zh-CN"/>
        </w:rPr>
        <w:t>第八条规定，</w:t>
      </w:r>
      <w:r>
        <w:rPr>
          <w:rFonts w:asciiTheme="minorEastAsia" w:hAnsiTheme="minorEastAsia" w:eastAsiaTheme="minorEastAsia"/>
          <w:sz w:val="24"/>
        </w:rPr>
        <w:t>现就</w:t>
      </w:r>
      <w:r>
        <w:rPr>
          <w:rFonts w:hint="eastAsia" w:asciiTheme="minorEastAsia" w:hAnsiTheme="minorEastAsia" w:eastAsiaTheme="minorEastAsia"/>
          <w:sz w:val="24"/>
          <w:lang w:val="en-US" w:eastAsia="zh-CN"/>
        </w:rPr>
        <w:t>分包意向</w:t>
      </w:r>
      <w:r>
        <w:rPr>
          <w:rFonts w:asciiTheme="minorEastAsia" w:hAnsiTheme="minorEastAsia" w:eastAsiaTheme="minorEastAsia"/>
          <w:sz w:val="24"/>
        </w:rPr>
        <w:t>事宜订立如下协议：</w:t>
      </w:r>
    </w:p>
    <w:p w14:paraId="1430B2E8">
      <w:pPr>
        <w:spacing w:line="360" w:lineRule="auto"/>
        <w:ind w:firstLine="435"/>
        <w:rPr>
          <w:rFonts w:asciiTheme="minorEastAsia" w:hAnsiTheme="minorEastAsia" w:eastAsiaTheme="minorEastAsia"/>
          <w:sz w:val="24"/>
        </w:rPr>
      </w:pPr>
      <w:r>
        <w:rPr>
          <w:rFonts w:hint="eastAsia" w:asciiTheme="minorEastAsia" w:hAnsiTheme="minorEastAsia" w:eastAsiaTheme="minorEastAsia"/>
          <w:sz w:val="24"/>
          <w:lang w:val="en-US" w:eastAsia="zh-CN"/>
        </w:rPr>
        <w:t>1.本项目供应商</w:t>
      </w:r>
      <w:r>
        <w:rPr>
          <w:rFonts w:hint="eastAsia" w:asciiTheme="minorEastAsia" w:hAnsiTheme="minorEastAsia" w:eastAsiaTheme="minorEastAsia"/>
          <w:sz w:val="24"/>
        </w:rPr>
        <w:t>为</w:t>
      </w:r>
      <w:r>
        <w:rPr>
          <w:rFonts w:hint="eastAsia" w:asciiTheme="minorEastAsia" w:hAnsiTheme="minorEastAsia" w:eastAsiaTheme="minorEastAsia"/>
          <w:sz w:val="24"/>
          <w:lang w:val="en-US" w:eastAsia="zh-CN"/>
        </w:rPr>
        <w:t>本项目总承包单位</w:t>
      </w:r>
      <w:r>
        <w:rPr>
          <w:rFonts w:hint="eastAsia" w:asciiTheme="minorEastAsia" w:hAnsiTheme="minorEastAsia" w:eastAsiaTheme="minorEastAsia"/>
          <w:sz w:val="24"/>
        </w:rPr>
        <w:t>。</w:t>
      </w:r>
    </w:p>
    <w:p w14:paraId="572CDFAE">
      <w:pPr>
        <w:spacing w:line="360" w:lineRule="auto"/>
        <w:ind w:firstLine="435"/>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在本项目</w:t>
      </w:r>
      <w:r>
        <w:rPr>
          <w:rFonts w:hint="eastAsia" w:asciiTheme="minorEastAsia" w:hAnsiTheme="minorEastAsia" w:eastAsiaTheme="minorEastAsia"/>
          <w:sz w:val="24"/>
          <w:lang w:val="en-US" w:eastAsia="zh-CN"/>
        </w:rPr>
        <w:t>磋商</w:t>
      </w:r>
      <w:r>
        <w:rPr>
          <w:rFonts w:hint="eastAsia" w:asciiTheme="minorEastAsia" w:hAnsiTheme="minorEastAsia" w:eastAsiaTheme="minorEastAsia"/>
          <w:sz w:val="24"/>
        </w:rPr>
        <w:t>阶段，</w:t>
      </w:r>
      <w:r>
        <w:rPr>
          <w:rFonts w:hint="eastAsia" w:asciiTheme="minorEastAsia" w:hAnsiTheme="minorEastAsia" w:eastAsiaTheme="minorEastAsia"/>
          <w:sz w:val="24"/>
          <w:lang w:val="en-US" w:eastAsia="zh-CN"/>
        </w:rPr>
        <w:t>总承包单位</w:t>
      </w:r>
      <w:r>
        <w:rPr>
          <w:rFonts w:hint="eastAsia" w:asciiTheme="minorEastAsia" w:hAnsiTheme="minorEastAsia" w:eastAsiaTheme="minorEastAsia"/>
          <w:sz w:val="24"/>
        </w:rPr>
        <w:t>负责</w:t>
      </w:r>
      <w:r>
        <w:rPr>
          <w:rFonts w:hint="eastAsia" w:asciiTheme="minorEastAsia" w:hAnsiTheme="minorEastAsia" w:eastAsiaTheme="minorEastAsia"/>
          <w:sz w:val="24"/>
          <w:lang w:val="en-US" w:eastAsia="zh-CN"/>
        </w:rPr>
        <w:t>磋商</w:t>
      </w:r>
      <w:r>
        <w:rPr>
          <w:rFonts w:hint="eastAsia" w:asciiTheme="minorEastAsia" w:hAnsiTheme="minorEastAsia" w:eastAsiaTheme="minorEastAsia"/>
          <w:sz w:val="24"/>
        </w:rPr>
        <w:t>项目的一切组织、协调工作，并授权代理人参加项目的</w:t>
      </w:r>
      <w:r>
        <w:rPr>
          <w:rFonts w:hint="eastAsia" w:asciiTheme="minorEastAsia" w:hAnsiTheme="minorEastAsia" w:eastAsiaTheme="minorEastAsia"/>
          <w:sz w:val="24"/>
          <w:lang w:val="en-US" w:eastAsia="zh-CN"/>
        </w:rPr>
        <w:t>磋商</w:t>
      </w:r>
      <w:r>
        <w:rPr>
          <w:rFonts w:hint="eastAsia" w:asciiTheme="minorEastAsia" w:hAnsiTheme="minorEastAsia" w:eastAsiaTheme="minorEastAsia"/>
          <w:sz w:val="24"/>
        </w:rPr>
        <w:t>，代理人在项目采购过程中所签署的一切文件和处理与本次</w:t>
      </w:r>
      <w:r>
        <w:rPr>
          <w:rFonts w:hint="eastAsia" w:asciiTheme="minorEastAsia" w:hAnsiTheme="minorEastAsia" w:eastAsiaTheme="minorEastAsia"/>
          <w:sz w:val="24"/>
          <w:lang w:val="en-US" w:eastAsia="zh-CN"/>
        </w:rPr>
        <w:t>磋商</w:t>
      </w:r>
      <w:r>
        <w:rPr>
          <w:rFonts w:hint="eastAsia" w:asciiTheme="minorEastAsia" w:hAnsiTheme="minorEastAsia" w:eastAsiaTheme="minorEastAsia"/>
          <w:sz w:val="24"/>
        </w:rPr>
        <w:t>有关的一切事务，</w:t>
      </w:r>
      <w:r>
        <w:rPr>
          <w:rFonts w:hint="eastAsia" w:asciiTheme="minorEastAsia" w:hAnsiTheme="minorEastAsia" w:eastAsiaTheme="minorEastAsia"/>
          <w:sz w:val="24"/>
          <w:lang w:val="en-US" w:eastAsia="zh-CN"/>
        </w:rPr>
        <w:t>总承包单位与采购人签订本项目采购合同</w:t>
      </w:r>
      <w:r>
        <w:rPr>
          <w:rFonts w:hint="eastAsia" w:asciiTheme="minorEastAsia" w:hAnsiTheme="minorEastAsia" w:eastAsiaTheme="minorEastAsia"/>
          <w:sz w:val="24"/>
        </w:rPr>
        <w:t>，</w:t>
      </w:r>
      <w:r>
        <w:rPr>
          <w:rFonts w:hint="eastAsia" w:asciiTheme="minorEastAsia" w:hAnsiTheme="minorEastAsia" w:eastAsiaTheme="minorEastAsia"/>
          <w:sz w:val="24"/>
          <w:lang w:val="en-US" w:eastAsia="zh-CN"/>
        </w:rPr>
        <w:t>分别</w:t>
      </w:r>
      <w:r>
        <w:rPr>
          <w:rFonts w:hint="eastAsia" w:asciiTheme="minorEastAsia" w:hAnsiTheme="minorEastAsia" w:eastAsiaTheme="minorEastAsia"/>
          <w:sz w:val="24"/>
        </w:rPr>
        <w:t>与</w:t>
      </w:r>
      <w:r>
        <w:rPr>
          <w:rFonts w:hint="eastAsia" w:asciiTheme="minorEastAsia" w:hAnsiTheme="minorEastAsia" w:eastAsiaTheme="minorEastAsia"/>
          <w:sz w:val="24"/>
          <w:lang w:val="en-US" w:eastAsia="zh-CN"/>
        </w:rPr>
        <w:t>各分包企业</w:t>
      </w:r>
      <w:r>
        <w:rPr>
          <w:rFonts w:hint="eastAsia" w:asciiTheme="minorEastAsia" w:hAnsiTheme="minorEastAsia" w:eastAsiaTheme="minorEastAsia"/>
          <w:sz w:val="24"/>
        </w:rPr>
        <w:t>签订</w:t>
      </w:r>
      <w:r>
        <w:rPr>
          <w:rFonts w:hint="eastAsia" w:asciiTheme="minorEastAsia" w:hAnsiTheme="minorEastAsia" w:eastAsiaTheme="minorEastAsia"/>
          <w:sz w:val="24"/>
          <w:lang w:val="en-US" w:eastAsia="zh-CN"/>
        </w:rPr>
        <w:t>分包</w:t>
      </w:r>
      <w:r>
        <w:rPr>
          <w:rFonts w:hint="eastAsia" w:asciiTheme="minorEastAsia" w:hAnsiTheme="minorEastAsia" w:eastAsiaTheme="minorEastAsia"/>
          <w:sz w:val="24"/>
        </w:rPr>
        <w:t>合同，就本项目对采购人承担连带责任。</w:t>
      </w:r>
    </w:p>
    <w:p w14:paraId="45624887">
      <w:pPr>
        <w:spacing w:line="360" w:lineRule="auto"/>
        <w:ind w:firstLine="435"/>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w:t>
      </w:r>
      <w:r>
        <w:rPr>
          <w:rFonts w:hint="eastAsia" w:asciiTheme="minorEastAsia" w:hAnsiTheme="minorEastAsia" w:eastAsiaTheme="minorEastAsia"/>
          <w:sz w:val="24"/>
          <w:lang w:val="en-US" w:eastAsia="zh-CN"/>
        </w:rPr>
        <w:t>各</w:t>
      </w:r>
      <w:r>
        <w:rPr>
          <w:rFonts w:asciiTheme="minorEastAsia" w:hAnsiTheme="minorEastAsia" w:eastAsiaTheme="minorEastAsia"/>
          <w:sz w:val="24"/>
        </w:rPr>
        <w:t>单位内部的职责分工</w:t>
      </w:r>
      <w:r>
        <w:rPr>
          <w:rFonts w:hint="eastAsia" w:asciiTheme="minorEastAsia" w:hAnsiTheme="minorEastAsia" w:eastAsiaTheme="minorEastAsia"/>
          <w:sz w:val="24"/>
        </w:rPr>
        <w:t>及各方负责内容的合同金额占总合同金额的百分比</w:t>
      </w:r>
      <w:r>
        <w:rPr>
          <w:rFonts w:asciiTheme="minorEastAsia" w:hAnsiTheme="minorEastAsia" w:eastAsiaTheme="minorEastAsia"/>
          <w:sz w:val="24"/>
        </w:rPr>
        <w:t>如下：</w:t>
      </w:r>
    </w:p>
    <w:p w14:paraId="034C628F">
      <w:pPr>
        <w:spacing w:line="360" w:lineRule="auto"/>
        <w:ind w:firstLine="435"/>
        <w:rPr>
          <w:rFonts w:asciiTheme="minorEastAsia" w:hAnsiTheme="minorEastAsia" w:eastAsiaTheme="minorEastAsia"/>
          <w:sz w:val="24"/>
        </w:rPr>
      </w:pPr>
      <w:r>
        <w:rPr>
          <w:rFonts w:hint="eastAsia" w:asciiTheme="minorEastAsia" w:hAnsiTheme="minorEastAsia" w:eastAsiaTheme="minorEastAsia"/>
          <w:sz w:val="24"/>
          <w:lang w:val="en-US" w:eastAsia="zh-CN"/>
        </w:rPr>
        <w:t>供应商</w:t>
      </w:r>
      <w:r>
        <w:rPr>
          <w:rFonts w:hint="eastAsia" w:asciiTheme="minorEastAsia" w:hAnsiTheme="minorEastAsia" w:eastAsiaTheme="minorEastAsia"/>
          <w:sz w:val="24"/>
        </w:rPr>
        <w:t>名称：</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，承担</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工作，负责内容的合同金额</w:t>
      </w:r>
      <w:r>
        <w:rPr>
          <w:rFonts w:hint="eastAsia" w:asciiTheme="minorEastAsia" w:hAnsiTheme="minorEastAsia" w:eastAsiaTheme="minorEastAsia"/>
          <w:sz w:val="24"/>
          <w:lang w:eastAsia="zh-CN"/>
        </w:rPr>
        <w:t>为</w:t>
      </w:r>
      <w:r>
        <w:rPr>
          <w:rFonts w:hint="eastAsia" w:asciiTheme="minorEastAsia" w:hAnsiTheme="minorEastAsia" w:eastAsiaTheme="minorEastAsia"/>
          <w:sz w:val="24"/>
          <w:u w:val="single"/>
          <w:lang w:val="en-US" w:eastAsia="zh-CN"/>
        </w:rPr>
        <w:t xml:space="preserve">     </w:t>
      </w:r>
      <w:r>
        <w:rPr>
          <w:rFonts w:hint="eastAsia" w:asciiTheme="minorEastAsia" w:hAnsiTheme="minorEastAsia" w:eastAsiaTheme="minorEastAsia"/>
          <w:sz w:val="24"/>
          <w:u w:val="none"/>
          <w:lang w:val="en-US" w:eastAsia="zh-CN"/>
        </w:rPr>
        <w:t>，</w:t>
      </w:r>
      <w:r>
        <w:rPr>
          <w:rFonts w:hint="eastAsia" w:asciiTheme="minorEastAsia" w:hAnsiTheme="minorEastAsia" w:eastAsiaTheme="minorEastAsia"/>
          <w:sz w:val="24"/>
        </w:rPr>
        <w:t>占总合同金额的百分比：</w:t>
      </w:r>
      <w:r>
        <w:rPr>
          <w:rFonts w:asciiTheme="minorEastAsia" w:hAnsiTheme="minorEastAsia" w:eastAsiaTheme="minorEastAsia"/>
          <w:sz w:val="24"/>
          <w:u w:val="single"/>
        </w:rPr>
        <w:t xml:space="preserve">    </w:t>
      </w:r>
      <w:r>
        <w:rPr>
          <w:rFonts w:hint="eastAsia" w:asciiTheme="minorEastAsia" w:hAnsiTheme="minorEastAsia" w:eastAsiaTheme="minorEastAsia"/>
          <w:sz w:val="24"/>
        </w:rPr>
        <w:t>%；</w:t>
      </w:r>
    </w:p>
    <w:p w14:paraId="1E1030C6">
      <w:pPr>
        <w:spacing w:line="360" w:lineRule="auto"/>
        <w:ind w:firstLine="435"/>
        <w:rPr>
          <w:rFonts w:asciiTheme="minorEastAsia" w:hAnsiTheme="minorEastAsia" w:eastAsiaTheme="minorEastAsia"/>
          <w:sz w:val="24"/>
          <w:u w:val="single"/>
        </w:rPr>
      </w:pPr>
      <w:r>
        <w:rPr>
          <w:rFonts w:hint="eastAsia" w:asciiTheme="minorEastAsia" w:hAnsiTheme="minorEastAsia" w:eastAsiaTheme="minorEastAsia"/>
          <w:sz w:val="24"/>
        </w:rPr>
        <w:t>接受</w:t>
      </w:r>
      <w:r>
        <w:rPr>
          <w:rFonts w:hint="eastAsia" w:asciiTheme="minorEastAsia" w:hAnsiTheme="minorEastAsia" w:eastAsiaTheme="minorEastAsia"/>
          <w:sz w:val="24"/>
          <w:lang w:val="en-US" w:eastAsia="zh-CN"/>
        </w:rPr>
        <w:t>分包企业</w:t>
      </w:r>
      <w:r>
        <w:rPr>
          <w:rFonts w:hint="eastAsia" w:asciiTheme="minorEastAsia" w:hAnsiTheme="minorEastAsia" w:eastAsiaTheme="minorEastAsia"/>
          <w:sz w:val="24"/>
        </w:rPr>
        <w:t>一名称：</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，承担</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工作</w:t>
      </w:r>
      <w:r>
        <w:rPr>
          <w:rFonts w:hint="eastAsia" w:asciiTheme="minorEastAsia" w:hAnsiTheme="minorEastAsia" w:eastAsiaTheme="minorEastAsia"/>
          <w:sz w:val="24"/>
          <w:lang w:eastAsia="zh-CN"/>
        </w:rPr>
        <w:t>；</w:t>
      </w:r>
      <w:r>
        <w:rPr>
          <w:rFonts w:hint="eastAsia" w:asciiTheme="minorEastAsia" w:hAnsiTheme="minorEastAsia" w:eastAsiaTheme="minorEastAsia"/>
          <w:sz w:val="24"/>
        </w:rPr>
        <w:t>负责内容的合同金额</w:t>
      </w:r>
      <w:r>
        <w:rPr>
          <w:rFonts w:hint="eastAsia" w:asciiTheme="minorEastAsia" w:hAnsiTheme="minorEastAsia" w:eastAsiaTheme="minorEastAsia"/>
          <w:sz w:val="24"/>
          <w:lang w:eastAsia="zh-CN"/>
        </w:rPr>
        <w:t>为</w:t>
      </w:r>
      <w:r>
        <w:rPr>
          <w:rFonts w:hint="eastAsia" w:asciiTheme="minorEastAsia" w:hAnsiTheme="minorEastAsia" w:eastAsiaTheme="minorEastAsia"/>
          <w:sz w:val="24"/>
          <w:u w:val="single"/>
          <w:lang w:val="en-US" w:eastAsia="zh-CN"/>
        </w:rPr>
        <w:t xml:space="preserve">     </w:t>
      </w:r>
      <w:r>
        <w:rPr>
          <w:rFonts w:hint="eastAsia" w:asciiTheme="minorEastAsia" w:hAnsiTheme="minorEastAsia" w:eastAsiaTheme="minorEastAsia"/>
          <w:sz w:val="24"/>
          <w:u w:val="none"/>
          <w:lang w:val="en-US" w:eastAsia="zh-CN"/>
        </w:rPr>
        <w:t>，</w:t>
      </w:r>
      <w:r>
        <w:rPr>
          <w:rFonts w:hint="eastAsia" w:asciiTheme="minorEastAsia" w:hAnsiTheme="minorEastAsia" w:eastAsiaTheme="minorEastAsia"/>
          <w:sz w:val="24"/>
        </w:rPr>
        <w:t>占总合同金额的百分比：</w:t>
      </w:r>
      <w:r>
        <w:rPr>
          <w:rFonts w:asciiTheme="minorEastAsia" w:hAnsiTheme="minorEastAsia" w:eastAsiaTheme="minorEastAsia"/>
          <w:sz w:val="24"/>
          <w:u w:val="single"/>
        </w:rPr>
        <w:t xml:space="preserve">    </w:t>
      </w:r>
      <w:r>
        <w:rPr>
          <w:rFonts w:hint="eastAsia" w:asciiTheme="minorEastAsia" w:hAnsiTheme="minorEastAsia" w:eastAsiaTheme="minorEastAsia"/>
          <w:sz w:val="24"/>
        </w:rPr>
        <w:t>%；</w:t>
      </w:r>
    </w:p>
    <w:p w14:paraId="50C5CA7A">
      <w:pPr>
        <w:spacing w:line="360" w:lineRule="auto"/>
        <w:ind w:firstLine="435"/>
        <w:rPr>
          <w:rFonts w:asciiTheme="minorEastAsia" w:hAnsiTheme="minorEastAsia" w:eastAsiaTheme="minorEastAsia"/>
          <w:sz w:val="24"/>
          <w:u w:val="single"/>
        </w:rPr>
      </w:pPr>
      <w:r>
        <w:rPr>
          <w:rFonts w:hint="eastAsia" w:asciiTheme="minorEastAsia" w:hAnsiTheme="minorEastAsia" w:eastAsiaTheme="minorEastAsia"/>
          <w:sz w:val="24"/>
        </w:rPr>
        <w:t>接受</w:t>
      </w:r>
      <w:r>
        <w:rPr>
          <w:rFonts w:hint="eastAsia" w:asciiTheme="minorEastAsia" w:hAnsiTheme="minorEastAsia" w:eastAsiaTheme="minorEastAsia"/>
          <w:sz w:val="24"/>
          <w:lang w:val="en-US" w:eastAsia="zh-CN"/>
        </w:rPr>
        <w:t>分包企业</w:t>
      </w:r>
      <w:r>
        <w:rPr>
          <w:rFonts w:hint="eastAsia" w:asciiTheme="minorEastAsia" w:hAnsiTheme="minorEastAsia" w:eastAsiaTheme="minorEastAsia"/>
          <w:sz w:val="24"/>
        </w:rPr>
        <w:t>二名称：</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，承担</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工作，负责内容的合同金额</w:t>
      </w:r>
      <w:r>
        <w:rPr>
          <w:rFonts w:hint="eastAsia" w:asciiTheme="minorEastAsia" w:hAnsiTheme="minorEastAsia" w:eastAsiaTheme="minorEastAsia"/>
          <w:sz w:val="24"/>
          <w:lang w:eastAsia="zh-CN"/>
        </w:rPr>
        <w:t>为</w:t>
      </w:r>
      <w:r>
        <w:rPr>
          <w:rFonts w:hint="eastAsia" w:asciiTheme="minorEastAsia" w:hAnsiTheme="minorEastAsia" w:eastAsiaTheme="minorEastAsia"/>
          <w:sz w:val="24"/>
          <w:u w:val="single"/>
          <w:lang w:val="en-US" w:eastAsia="zh-CN"/>
        </w:rPr>
        <w:t xml:space="preserve">     </w:t>
      </w:r>
      <w:r>
        <w:rPr>
          <w:rFonts w:hint="eastAsia" w:asciiTheme="minorEastAsia" w:hAnsiTheme="minorEastAsia" w:eastAsiaTheme="minorEastAsia"/>
          <w:sz w:val="24"/>
          <w:u w:val="none"/>
          <w:lang w:val="en-US" w:eastAsia="zh-CN"/>
        </w:rPr>
        <w:t>，</w:t>
      </w:r>
      <w:r>
        <w:rPr>
          <w:rFonts w:hint="eastAsia" w:asciiTheme="minorEastAsia" w:hAnsiTheme="minorEastAsia" w:eastAsiaTheme="minorEastAsia"/>
          <w:sz w:val="24"/>
        </w:rPr>
        <w:t>占总合同金额的百分比：</w:t>
      </w:r>
      <w:r>
        <w:rPr>
          <w:rFonts w:asciiTheme="minorEastAsia" w:hAnsiTheme="minorEastAsia" w:eastAsiaTheme="minorEastAsia"/>
          <w:sz w:val="24"/>
          <w:u w:val="single"/>
        </w:rPr>
        <w:t xml:space="preserve">    </w:t>
      </w:r>
      <w:r>
        <w:rPr>
          <w:rFonts w:hint="eastAsia" w:asciiTheme="minorEastAsia" w:hAnsiTheme="minorEastAsia" w:eastAsiaTheme="minorEastAsia"/>
          <w:sz w:val="24"/>
        </w:rPr>
        <w:t>%；</w:t>
      </w:r>
    </w:p>
    <w:p w14:paraId="37D206F4">
      <w:pPr>
        <w:spacing w:line="360" w:lineRule="auto"/>
        <w:ind w:firstLine="435"/>
        <w:rPr>
          <w:rFonts w:asciiTheme="minorEastAsia" w:hAnsiTheme="minorEastAsia" w:eastAsiaTheme="minorEastAsia"/>
          <w:sz w:val="24"/>
          <w:u w:val="single"/>
        </w:rPr>
      </w:pPr>
      <w:r>
        <w:rPr>
          <w:rFonts w:hint="eastAsia" w:asciiTheme="minorEastAsia" w:hAnsiTheme="minorEastAsia" w:eastAsiaTheme="minorEastAsia"/>
          <w:sz w:val="24"/>
        </w:rPr>
        <w:t>…………</w:t>
      </w:r>
    </w:p>
    <w:p w14:paraId="1874B7CD">
      <w:pPr>
        <w:spacing w:line="360" w:lineRule="auto"/>
        <w:ind w:firstLine="435"/>
        <w:rPr>
          <w:rFonts w:asciiTheme="minorEastAsia" w:hAnsiTheme="minorEastAsia" w:eastAsiaTheme="minorEastAsia"/>
          <w:sz w:val="24"/>
        </w:rPr>
      </w:pPr>
      <w:r>
        <w:rPr>
          <w:rFonts w:asciiTheme="minorEastAsia" w:hAnsiTheme="minorEastAsia" w:eastAsiaTheme="minorEastAsia"/>
          <w:sz w:val="24"/>
        </w:rPr>
        <w:t>4</w:t>
      </w:r>
      <w:r>
        <w:rPr>
          <w:rFonts w:hint="eastAsia" w:asciiTheme="minorEastAsia" w:hAnsiTheme="minorEastAsia" w:eastAsiaTheme="minorEastAsia"/>
          <w:sz w:val="24"/>
          <w:lang w:val="en-US" w:eastAsia="zh-CN"/>
        </w:rPr>
        <w:t>.成交</w:t>
      </w:r>
      <w:r>
        <w:rPr>
          <w:rFonts w:asciiTheme="minorEastAsia" w:hAnsiTheme="minorEastAsia" w:eastAsiaTheme="minorEastAsia"/>
          <w:sz w:val="24"/>
        </w:rPr>
        <w:t>后，本</w:t>
      </w:r>
      <w:r>
        <w:rPr>
          <w:rFonts w:hint="eastAsia" w:asciiTheme="minorEastAsia" w:hAnsiTheme="minorEastAsia" w:eastAsiaTheme="minorEastAsia"/>
          <w:sz w:val="24"/>
          <w:lang w:val="en-US" w:eastAsia="zh-CN"/>
        </w:rPr>
        <w:t>分包意向</w:t>
      </w:r>
      <w:r>
        <w:rPr>
          <w:rFonts w:asciiTheme="minorEastAsia" w:hAnsiTheme="minorEastAsia" w:eastAsiaTheme="minorEastAsia"/>
          <w:sz w:val="24"/>
        </w:rPr>
        <w:t>协议是合同的附件，对</w:t>
      </w:r>
      <w:r>
        <w:rPr>
          <w:rFonts w:hint="eastAsia" w:asciiTheme="minorEastAsia" w:hAnsiTheme="minorEastAsia" w:eastAsiaTheme="minorEastAsia"/>
          <w:sz w:val="24"/>
          <w:lang w:val="en-US" w:eastAsia="zh-CN"/>
        </w:rPr>
        <w:t>分包</w:t>
      </w:r>
      <w:r>
        <w:rPr>
          <w:rFonts w:asciiTheme="minorEastAsia" w:hAnsiTheme="minorEastAsia" w:eastAsiaTheme="minorEastAsia"/>
          <w:sz w:val="24"/>
        </w:rPr>
        <w:t>各成员单位有合同约束力。</w:t>
      </w:r>
    </w:p>
    <w:p w14:paraId="18FCB8FE">
      <w:pPr>
        <w:spacing w:line="360" w:lineRule="auto"/>
        <w:ind w:firstLine="435"/>
        <w:rPr>
          <w:rFonts w:asciiTheme="minorEastAsia" w:hAnsiTheme="minorEastAsia" w:eastAsiaTheme="minorEastAsia"/>
          <w:sz w:val="24"/>
          <w:u w:val="single"/>
        </w:rPr>
      </w:pPr>
      <w:r>
        <w:rPr>
          <w:rFonts w:hint="eastAsia" w:asciiTheme="minorEastAsia" w:hAnsiTheme="minorEastAsia" w:eastAsiaTheme="minorEastAsia"/>
          <w:sz w:val="24"/>
          <w:lang w:val="en-US" w:eastAsia="zh-CN"/>
        </w:rPr>
        <w:t>5.</w:t>
      </w:r>
      <w:r>
        <w:rPr>
          <w:rFonts w:asciiTheme="minorEastAsia" w:hAnsiTheme="minorEastAsia" w:eastAsiaTheme="minorEastAsia"/>
          <w:sz w:val="24"/>
        </w:rPr>
        <w:t>本协议书自签署之日起生效，未</w:t>
      </w:r>
      <w:r>
        <w:rPr>
          <w:rFonts w:hint="eastAsia" w:asciiTheme="minorEastAsia" w:hAnsiTheme="minorEastAsia" w:eastAsiaTheme="minorEastAsia"/>
          <w:sz w:val="24"/>
          <w:lang w:val="en-US" w:eastAsia="zh-CN"/>
        </w:rPr>
        <w:t>成交</w:t>
      </w:r>
      <w:r>
        <w:rPr>
          <w:rFonts w:asciiTheme="minorEastAsia" w:hAnsiTheme="minorEastAsia" w:eastAsiaTheme="minorEastAsia"/>
          <w:sz w:val="24"/>
        </w:rPr>
        <w:t>或者合同履行完毕后自动失效。</w:t>
      </w:r>
    </w:p>
    <w:p w14:paraId="09D5C462">
      <w:pPr>
        <w:spacing w:line="360" w:lineRule="auto"/>
        <w:ind w:firstLine="435"/>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6.接受分包的中小企业与总承包单位不存在直接控股、管理关系。</w:t>
      </w:r>
    </w:p>
    <w:p w14:paraId="140C3387">
      <w:pPr>
        <w:pStyle w:val="22"/>
        <w:rPr>
          <w:rFonts w:hint="default"/>
          <w:lang w:val="en-US" w:eastAsia="zh-CN"/>
        </w:rPr>
      </w:pPr>
    </w:p>
    <w:p w14:paraId="5DAC3254">
      <w:pPr>
        <w:spacing w:line="360" w:lineRule="auto"/>
        <w:ind w:firstLine="435"/>
        <w:rPr>
          <w:rFonts w:asciiTheme="minorEastAsia" w:hAnsiTheme="minorEastAsia" w:eastAsiaTheme="minorEastAsia"/>
          <w:sz w:val="24"/>
        </w:rPr>
      </w:pPr>
      <w:r>
        <w:rPr>
          <w:rFonts w:hint="eastAsia" w:asciiTheme="minorEastAsia" w:hAnsiTheme="minorEastAsia" w:eastAsiaTheme="minorEastAsia"/>
          <w:sz w:val="24"/>
          <w:lang w:val="en-US" w:eastAsia="zh-CN"/>
        </w:rPr>
        <w:t>供应商</w:t>
      </w:r>
      <w:r>
        <w:rPr>
          <w:rFonts w:hint="eastAsia" w:asciiTheme="minorEastAsia" w:hAnsiTheme="minorEastAsia" w:eastAsiaTheme="minorEastAsia"/>
          <w:sz w:val="24"/>
        </w:rPr>
        <w:t>：</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（公章）</w:t>
      </w:r>
    </w:p>
    <w:p w14:paraId="14EF98CB">
      <w:pPr>
        <w:spacing w:line="360" w:lineRule="auto"/>
        <w:ind w:firstLine="435"/>
        <w:rPr>
          <w:rFonts w:hint="eastAsia" w:asciiTheme="minorEastAsia" w:hAnsiTheme="minorEastAsia" w:eastAsiaTheme="minorEastAsia"/>
          <w:sz w:val="24"/>
        </w:rPr>
      </w:pPr>
      <w:r>
        <w:rPr>
          <w:rFonts w:hint="eastAsia" w:asciiTheme="minorEastAsia" w:hAnsiTheme="minorEastAsia" w:eastAsiaTheme="minorEastAsia"/>
          <w:sz w:val="24"/>
        </w:rPr>
        <w:t>法定代表人：</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（签字或盖章）</w:t>
      </w:r>
    </w:p>
    <w:p w14:paraId="1A60836F">
      <w:pPr>
        <w:spacing w:line="360" w:lineRule="auto"/>
        <w:ind w:firstLine="435"/>
        <w:rPr>
          <w:rFonts w:hint="eastAsia" w:asciiTheme="minorEastAsia" w:hAnsiTheme="minorEastAsia" w:eastAsiaTheme="minorEastAsia"/>
          <w:sz w:val="24"/>
        </w:rPr>
      </w:pPr>
    </w:p>
    <w:p w14:paraId="0563537C">
      <w:pPr>
        <w:spacing w:line="360" w:lineRule="auto"/>
        <w:ind w:firstLine="435"/>
        <w:rPr>
          <w:rFonts w:asciiTheme="minorEastAsia" w:hAnsiTheme="minorEastAsia" w:eastAsiaTheme="minorEastAsia"/>
          <w:sz w:val="24"/>
        </w:rPr>
      </w:pPr>
      <w:r>
        <w:rPr>
          <w:rFonts w:hint="eastAsia" w:asciiTheme="minorEastAsia" w:hAnsiTheme="minorEastAsia" w:eastAsiaTheme="minorEastAsia"/>
          <w:sz w:val="24"/>
        </w:rPr>
        <w:t>接受分包企业</w:t>
      </w:r>
      <w:r>
        <w:rPr>
          <w:rFonts w:hint="eastAsia" w:asciiTheme="minorEastAsia" w:hAnsiTheme="minorEastAsia" w:eastAsiaTheme="minorEastAsia"/>
          <w:sz w:val="24"/>
          <w:lang w:val="en-US" w:eastAsia="zh-CN"/>
        </w:rPr>
        <w:t>一</w:t>
      </w:r>
      <w:r>
        <w:rPr>
          <w:rFonts w:hint="eastAsia" w:asciiTheme="minorEastAsia" w:hAnsiTheme="minorEastAsia" w:eastAsiaTheme="minorEastAsia"/>
          <w:sz w:val="24"/>
        </w:rPr>
        <w:t>：</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（公章）</w:t>
      </w:r>
    </w:p>
    <w:p w14:paraId="1284D823">
      <w:pPr>
        <w:spacing w:line="360" w:lineRule="auto"/>
        <w:ind w:firstLine="435"/>
        <w:rPr>
          <w:rFonts w:hint="eastAsia" w:asciiTheme="minorEastAsia" w:hAnsiTheme="minorEastAsia" w:eastAsiaTheme="minorEastAsia"/>
          <w:sz w:val="24"/>
        </w:rPr>
      </w:pPr>
      <w:r>
        <w:rPr>
          <w:rFonts w:hint="eastAsia" w:asciiTheme="minorEastAsia" w:hAnsiTheme="minorEastAsia" w:eastAsiaTheme="minorEastAsia"/>
          <w:sz w:val="24"/>
        </w:rPr>
        <w:t>法定代表人：</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（签字或盖章）</w:t>
      </w:r>
    </w:p>
    <w:p w14:paraId="0A0B97D1">
      <w:pPr>
        <w:spacing w:line="360" w:lineRule="auto"/>
        <w:ind w:firstLine="435"/>
        <w:rPr>
          <w:rFonts w:hint="eastAsia" w:asciiTheme="minorEastAsia" w:hAnsiTheme="minorEastAsia" w:eastAsiaTheme="minorEastAsia"/>
          <w:sz w:val="24"/>
        </w:rPr>
      </w:pPr>
    </w:p>
    <w:p w14:paraId="79A15F7E">
      <w:pPr>
        <w:spacing w:line="360" w:lineRule="auto"/>
        <w:ind w:firstLine="435"/>
        <w:rPr>
          <w:rFonts w:asciiTheme="minorEastAsia" w:hAnsiTheme="minorEastAsia" w:eastAsiaTheme="minorEastAsia"/>
          <w:sz w:val="24"/>
        </w:rPr>
      </w:pPr>
      <w:r>
        <w:rPr>
          <w:rFonts w:hint="eastAsia" w:asciiTheme="minorEastAsia" w:hAnsiTheme="minorEastAsia" w:eastAsiaTheme="minorEastAsia"/>
          <w:sz w:val="24"/>
        </w:rPr>
        <w:t>接受分包企业</w:t>
      </w:r>
      <w:r>
        <w:rPr>
          <w:rFonts w:hint="eastAsia" w:asciiTheme="minorEastAsia" w:hAnsiTheme="minorEastAsia" w:eastAsiaTheme="minorEastAsia"/>
          <w:sz w:val="24"/>
          <w:lang w:val="en-US" w:eastAsia="zh-CN"/>
        </w:rPr>
        <w:t>二</w:t>
      </w:r>
      <w:r>
        <w:rPr>
          <w:rFonts w:hint="eastAsia" w:asciiTheme="minorEastAsia" w:hAnsiTheme="minorEastAsia" w:eastAsiaTheme="minorEastAsia"/>
          <w:sz w:val="24"/>
        </w:rPr>
        <w:t>：</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（公章）</w:t>
      </w:r>
    </w:p>
    <w:p w14:paraId="783C59CF">
      <w:pPr>
        <w:spacing w:line="360" w:lineRule="auto"/>
        <w:ind w:firstLine="435"/>
        <w:rPr>
          <w:rFonts w:hint="eastAsia" w:asciiTheme="minorEastAsia" w:hAnsiTheme="minorEastAsia" w:eastAsiaTheme="minorEastAsia"/>
          <w:sz w:val="24"/>
        </w:rPr>
      </w:pPr>
      <w:r>
        <w:rPr>
          <w:rFonts w:hint="eastAsia" w:asciiTheme="minorEastAsia" w:hAnsiTheme="minorEastAsia" w:eastAsiaTheme="minorEastAsia"/>
          <w:sz w:val="24"/>
        </w:rPr>
        <w:t>法定代表人：</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（签字或盖章）</w:t>
      </w:r>
    </w:p>
    <w:p w14:paraId="2599DBF8">
      <w:pPr>
        <w:spacing w:line="360" w:lineRule="auto"/>
        <w:ind w:firstLine="435"/>
        <w:rPr>
          <w:rFonts w:asciiTheme="minorEastAsia" w:hAnsiTheme="minorEastAsia" w:eastAsiaTheme="minorEastAsia"/>
          <w:sz w:val="24"/>
        </w:rPr>
      </w:pPr>
      <w:r>
        <w:rPr>
          <w:rFonts w:hint="eastAsia" w:asciiTheme="minorEastAsia" w:hAnsiTheme="minorEastAsia" w:eastAsiaTheme="minorEastAsia"/>
          <w:sz w:val="24"/>
        </w:rPr>
        <w:t>…………</w:t>
      </w:r>
    </w:p>
    <w:p w14:paraId="383E0087">
      <w:pPr>
        <w:pStyle w:val="40"/>
        <w:spacing w:line="360" w:lineRule="auto"/>
        <w:rPr>
          <w:rFonts w:asciiTheme="minorEastAsia" w:hAnsiTheme="minorEastAsia" w:eastAsiaTheme="minorEastAsia"/>
          <w:sz w:val="24"/>
        </w:rPr>
      </w:pPr>
    </w:p>
    <w:p w14:paraId="6186457C">
      <w:pPr>
        <w:spacing w:line="360" w:lineRule="auto"/>
        <w:ind w:right="480" w:firstLine="4680" w:firstLineChars="1950"/>
        <w:rPr>
          <w:rFonts w:asciiTheme="minorEastAsia" w:hAnsiTheme="minorEastAsia" w:eastAsiaTheme="minorEastAsia"/>
          <w:sz w:val="24"/>
        </w:rPr>
      </w:pPr>
      <w:r>
        <w:rPr>
          <w:rFonts w:hint="eastAsia" w:asciiTheme="minorEastAsia" w:hAnsiTheme="minorEastAsia" w:eastAsiaTheme="minorEastAsia"/>
          <w:sz w:val="24"/>
        </w:rPr>
        <w:t>签订日期:</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年</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月</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日</w:t>
      </w:r>
    </w:p>
    <w:p w14:paraId="4322D716">
      <w:pPr>
        <w:spacing w:line="360" w:lineRule="auto"/>
        <w:ind w:right="480" w:firstLine="4680" w:firstLineChars="1950"/>
        <w:rPr>
          <w:rFonts w:asciiTheme="minorEastAsia" w:hAnsiTheme="minorEastAsia" w:eastAsiaTheme="minorEastAsia"/>
          <w:sz w:val="24"/>
        </w:rPr>
      </w:pPr>
    </w:p>
    <w:p w14:paraId="09B6F027">
      <w:pPr>
        <w:spacing w:line="360" w:lineRule="auto"/>
        <w:ind w:right="480" w:firstLine="5460" w:firstLineChars="1950"/>
        <w:rPr>
          <w:rFonts w:asciiTheme="minorEastAsia" w:hAnsiTheme="minorEastAsia" w:eastAsiaTheme="minorEastAsia"/>
          <w:sz w:val="28"/>
        </w:rPr>
      </w:pPr>
    </w:p>
    <w:p w14:paraId="7A174379">
      <w:pPr>
        <w:adjustRightInd w:val="0"/>
        <w:snapToGrid w:val="0"/>
        <w:spacing w:line="360" w:lineRule="auto"/>
        <w:rPr>
          <w:rFonts w:asciiTheme="minorEastAsia" w:hAnsiTheme="minorEastAsia" w:eastAsiaTheme="minorEastAsia"/>
          <w:b/>
          <w:bCs/>
          <w:sz w:val="24"/>
          <w:szCs w:val="28"/>
        </w:rPr>
      </w:pPr>
      <w:r>
        <w:rPr>
          <w:rFonts w:hint="eastAsia" w:asciiTheme="minorEastAsia" w:hAnsiTheme="minorEastAsia" w:eastAsiaTheme="minorEastAsia"/>
          <w:b/>
          <w:bCs/>
          <w:sz w:val="24"/>
          <w:szCs w:val="28"/>
        </w:rPr>
        <w:t>注：</w:t>
      </w:r>
    </w:p>
    <w:p w14:paraId="0C6DD7F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9"/>
        <w:rPr>
          <w:rFonts w:hint="eastAsia" w:asciiTheme="minorEastAsia" w:hAnsiTheme="minorEastAsia" w:eastAsiaTheme="minorEastAsia"/>
          <w:b w:val="0"/>
          <w:bCs/>
          <w:sz w:val="24"/>
          <w:lang w:eastAsia="zh-CN"/>
        </w:rPr>
      </w:pPr>
      <w:r>
        <w:rPr>
          <w:rFonts w:hint="eastAsia" w:asciiTheme="minorEastAsia" w:hAnsiTheme="minorEastAsia" w:eastAsiaTheme="minorEastAsia"/>
          <w:b w:val="0"/>
          <w:bCs/>
          <w:sz w:val="24"/>
          <w:lang w:val="en-US" w:eastAsia="zh-CN"/>
        </w:rPr>
        <w:t>1.</w:t>
      </w:r>
      <w:r>
        <w:rPr>
          <w:rFonts w:hint="eastAsia" w:asciiTheme="minorEastAsia" w:hAnsiTheme="minorEastAsia" w:eastAsiaTheme="minorEastAsia"/>
          <w:b w:val="0"/>
          <w:bCs/>
          <w:sz w:val="24"/>
        </w:rPr>
        <w:t>分包意向协议中须约定向中小企业分包的项目内容及分包内容占合同金额比例</w:t>
      </w:r>
      <w:r>
        <w:rPr>
          <w:rFonts w:hint="eastAsia" w:asciiTheme="minorEastAsia" w:hAnsiTheme="minorEastAsia" w:eastAsiaTheme="minorEastAsia"/>
          <w:b w:val="0"/>
          <w:bCs/>
          <w:sz w:val="24"/>
          <w:lang w:eastAsia="zh-CN"/>
        </w:rPr>
        <w:t>。</w:t>
      </w:r>
    </w:p>
    <w:p w14:paraId="11E88EE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9"/>
        <w:rPr>
          <w:rFonts w:hint="eastAsia" w:asciiTheme="minorEastAsia" w:hAnsiTheme="minorEastAsia" w:eastAsiaTheme="minorEastAsia"/>
          <w:b w:val="0"/>
          <w:bCs/>
          <w:sz w:val="24"/>
          <w:lang w:val="en-US" w:eastAsia="zh-CN"/>
        </w:rPr>
      </w:pPr>
      <w:r>
        <w:rPr>
          <w:rFonts w:hint="eastAsia" w:asciiTheme="minorEastAsia" w:hAnsiTheme="minorEastAsia" w:eastAsiaTheme="minorEastAsia"/>
          <w:b w:val="0"/>
          <w:bCs/>
          <w:sz w:val="24"/>
          <w:lang w:val="en-US" w:eastAsia="zh-CN"/>
        </w:rPr>
        <w:t>2.考虑负责内容合同金额的方便，供应商在填写最后承诺报价后，（第一次报价-最后承诺报价）除以第一次报价后得出的优惠率视同为上述负责内容合同金额的优惠浮动值（特定分项优惠除外），而不考虑措施项目清单和规费税金清单的金额改变。</w:t>
      </w:r>
    </w:p>
    <w:p w14:paraId="1E73527D">
      <w:pPr>
        <w:pStyle w:val="22"/>
        <w:rPr>
          <w:rFonts w:hint="eastAsia" w:asciiTheme="minorEastAsia" w:hAnsiTheme="minorEastAsia" w:eastAsiaTheme="minorEastAsia"/>
          <w:b w:val="0"/>
          <w:bCs/>
          <w:color w:val="auto"/>
          <w:sz w:val="24"/>
          <w:highlight w:val="none"/>
          <w:lang w:val="en-US" w:eastAsia="zh-CN"/>
        </w:rPr>
      </w:pPr>
    </w:p>
    <w:p w14:paraId="05EB088A">
      <w:pPr>
        <w:pStyle w:val="22"/>
        <w:rPr>
          <w:rFonts w:hint="eastAsia" w:asciiTheme="minorEastAsia" w:hAnsiTheme="minorEastAsia" w:eastAsiaTheme="minorEastAsia"/>
          <w:b w:val="0"/>
          <w:bCs/>
          <w:color w:val="auto"/>
          <w:sz w:val="24"/>
          <w:highlight w:val="none"/>
          <w:lang w:val="en-US" w:eastAsia="zh-CN"/>
        </w:rPr>
        <w:sectPr>
          <w:headerReference r:id="rId9" w:type="default"/>
          <w:footerReference r:id="rId10" w:type="default"/>
          <w:pgSz w:w="11906" w:h="16838"/>
          <w:pgMar w:top="1440" w:right="1800" w:bottom="1440" w:left="1800" w:header="851" w:footer="992" w:gutter="0"/>
          <w:cols w:space="425" w:num="1"/>
          <w:docGrid w:type="lines" w:linePitch="312" w:charSpace="0"/>
        </w:sectPr>
      </w:pPr>
    </w:p>
    <w:p w14:paraId="4E31F457">
      <w:pPr>
        <w:spacing w:line="360" w:lineRule="auto"/>
        <w:jc w:val="center"/>
        <w:outlineLvl w:val="1"/>
        <w:rPr>
          <w:rFonts w:asciiTheme="minorEastAsia" w:hAnsiTheme="minorEastAsia" w:eastAsiaTheme="minorEastAsia"/>
          <w:b/>
          <w:color w:val="auto"/>
          <w:sz w:val="24"/>
          <w:highlight w:val="none"/>
        </w:rPr>
      </w:pPr>
      <w:bookmarkStart w:id="755" w:name="_Toc12549"/>
      <w:bookmarkStart w:id="756" w:name="_Toc31589"/>
      <w:r>
        <w:rPr>
          <w:rFonts w:hint="eastAsia" w:asciiTheme="minorEastAsia" w:hAnsiTheme="minorEastAsia" w:eastAsiaTheme="minorEastAsia"/>
          <w:b/>
          <w:color w:val="auto"/>
          <w:sz w:val="24"/>
          <w:highlight w:val="none"/>
        </w:rPr>
        <w:t>十</w:t>
      </w:r>
      <w:r>
        <w:rPr>
          <w:rFonts w:hint="eastAsia" w:asciiTheme="minorEastAsia" w:hAnsiTheme="minorEastAsia" w:eastAsiaTheme="minorEastAsia"/>
          <w:b/>
          <w:color w:val="auto"/>
          <w:sz w:val="24"/>
          <w:highlight w:val="none"/>
          <w:lang w:val="en-US" w:eastAsia="zh-CN"/>
        </w:rPr>
        <w:t>一</w:t>
      </w:r>
      <w:r>
        <w:rPr>
          <w:rFonts w:hint="eastAsia" w:asciiTheme="minorEastAsia" w:hAnsiTheme="minorEastAsia" w:eastAsiaTheme="minorEastAsia"/>
          <w:b/>
          <w:color w:val="auto"/>
          <w:sz w:val="24"/>
          <w:highlight w:val="none"/>
        </w:rPr>
        <w:t>、中小企业声明函</w:t>
      </w:r>
      <w:bookmarkEnd w:id="754"/>
      <w:bookmarkEnd w:id="755"/>
      <w:bookmarkEnd w:id="756"/>
    </w:p>
    <w:p w14:paraId="601B9722">
      <w:pPr>
        <w:pStyle w:val="22"/>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heme="minorEastAsia" w:hAnsiTheme="minorEastAsia" w:eastAsiaTheme="minorEastAsia"/>
          <w:color w:val="auto"/>
          <w:sz w:val="24"/>
          <w:szCs w:val="24"/>
          <w:highlight w:val="none"/>
        </w:rPr>
      </w:pPr>
      <w:r>
        <w:rPr>
          <w:rFonts w:hint="eastAsia" w:ascii="宋体" w:hAnsi="宋体" w:eastAsia="宋体"/>
          <w:b w:val="0"/>
          <w:i/>
          <w:color w:val="auto"/>
          <w:sz w:val="24"/>
          <w:highlight w:val="none"/>
          <w:lang w:val="en-US" w:eastAsia="zh-CN"/>
        </w:rPr>
        <w:t>（</w:t>
      </w:r>
      <w:r>
        <w:rPr>
          <w:rFonts w:hint="eastAsia" w:ascii="宋体" w:hAnsi="宋体" w:eastAsia="宋体"/>
          <w:b w:val="0"/>
          <w:i/>
          <w:color w:val="auto"/>
          <w:sz w:val="24"/>
          <w:highlight w:val="none"/>
          <w:lang w:val="zh-CN" w:eastAsia="zh-CN"/>
        </w:rPr>
        <w:t>非中小企业</w:t>
      </w:r>
      <w:r>
        <w:rPr>
          <w:rFonts w:hint="eastAsia" w:ascii="宋体" w:hAnsi="宋体" w:eastAsia="宋体"/>
          <w:b w:val="0"/>
          <w:i/>
          <w:color w:val="auto"/>
          <w:sz w:val="24"/>
          <w:highlight w:val="none"/>
          <w:lang w:val="en-US" w:eastAsia="zh-CN"/>
        </w:rPr>
        <w:t>磋商，不需此件，请删去“中小企业声明函”）</w:t>
      </w:r>
    </w:p>
    <w:p w14:paraId="38F3B699">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本公司（联合体）郑重声明，根据《政府采购促进中小企业发展管理办法》（财库﹝2020﹞46号）的规定，本公司（联合体）参加</w:t>
      </w:r>
      <w:r>
        <w:rPr>
          <w:rFonts w:hint="eastAsia" w:cs="@仿宋_GB2312"/>
          <w:color w:val="auto"/>
          <w:kern w:val="2"/>
          <w:sz w:val="24"/>
          <w:szCs w:val="24"/>
          <w:highlight w:val="none"/>
          <w:u w:val="single"/>
          <w:lang w:val="zh-CN"/>
        </w:rPr>
        <w:t>（单位</w:t>
      </w:r>
      <w:r>
        <w:rPr>
          <w:rFonts w:hint="eastAsia" w:cs="@仿宋_GB2312"/>
          <w:color w:val="auto"/>
          <w:kern w:val="2"/>
          <w:sz w:val="24"/>
          <w:szCs w:val="24"/>
          <w:highlight w:val="none"/>
          <w:u w:val="single"/>
          <w:lang w:val="en-US" w:eastAsia="zh-CN"/>
        </w:rPr>
        <w:t>名称</w:t>
      </w:r>
      <w:r>
        <w:rPr>
          <w:rFonts w:hint="eastAsia" w:cs="@仿宋_GB2312"/>
          <w:color w:val="auto"/>
          <w:kern w:val="2"/>
          <w:sz w:val="24"/>
          <w:szCs w:val="24"/>
          <w:highlight w:val="none"/>
          <w:u w:val="single"/>
          <w:lang w:val="zh-CN"/>
        </w:rPr>
        <w:t>）</w:t>
      </w:r>
      <w:r>
        <w:rPr>
          <w:rFonts w:hint="eastAsia" w:cs="@仿宋_GB2312"/>
          <w:color w:val="auto"/>
          <w:kern w:val="2"/>
          <w:sz w:val="24"/>
          <w:szCs w:val="24"/>
          <w:highlight w:val="none"/>
          <w:lang w:val="zh-CN"/>
        </w:rPr>
        <w:t>的</w:t>
      </w:r>
      <w:r>
        <w:rPr>
          <w:rFonts w:hint="eastAsia" w:cs="@仿宋_GB2312"/>
          <w:color w:val="auto"/>
          <w:kern w:val="2"/>
          <w:sz w:val="24"/>
          <w:szCs w:val="24"/>
          <w:highlight w:val="none"/>
          <w:u w:val="single"/>
          <w:lang w:val="zh-CN"/>
        </w:rPr>
        <w:t>（项目</w:t>
      </w:r>
      <w:r>
        <w:rPr>
          <w:rFonts w:hint="eastAsia" w:cs="@仿宋_GB2312"/>
          <w:color w:val="auto"/>
          <w:kern w:val="2"/>
          <w:sz w:val="24"/>
          <w:szCs w:val="24"/>
          <w:highlight w:val="none"/>
          <w:u w:val="single"/>
          <w:lang w:val="en-US" w:eastAsia="zh-CN"/>
        </w:rPr>
        <w:t>名称</w:t>
      </w:r>
      <w:r>
        <w:rPr>
          <w:rFonts w:hint="eastAsia" w:cs="@仿宋_GB2312"/>
          <w:color w:val="auto"/>
          <w:kern w:val="2"/>
          <w:sz w:val="24"/>
          <w:szCs w:val="24"/>
          <w:highlight w:val="none"/>
          <w:u w:val="single"/>
          <w:lang w:val="zh-CN"/>
        </w:rPr>
        <w:t>）</w:t>
      </w:r>
      <w:r>
        <w:rPr>
          <w:rFonts w:hint="eastAsia" w:cs="@仿宋_GB2312"/>
          <w:color w:val="auto"/>
          <w:kern w:val="2"/>
          <w:sz w:val="24"/>
          <w:szCs w:val="24"/>
          <w:highlight w:val="none"/>
          <w:lang w:val="zh-CN"/>
        </w:rPr>
        <w:t xml:space="preserve">采购活动，工程的施工单位全部为符合政策要求的中小企业。相关企业（含联合体中的中小企业、签订分包意向协议的中小企业）的具体情况如下： </w:t>
      </w:r>
    </w:p>
    <w:p w14:paraId="669DC453">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1.</w:t>
      </w:r>
      <w:r>
        <w:rPr>
          <w:rFonts w:hint="eastAsia" w:cs="@仿宋_GB2312"/>
          <w:color w:val="auto"/>
          <w:kern w:val="2"/>
          <w:sz w:val="24"/>
          <w:szCs w:val="24"/>
          <w:highlight w:val="none"/>
          <w:u w:val="single"/>
          <w:lang w:val="zh-CN"/>
        </w:rPr>
        <w:t xml:space="preserve"> （标的名称） </w:t>
      </w:r>
      <w:r>
        <w:rPr>
          <w:rFonts w:hint="eastAsia" w:cs="@仿宋_GB2312"/>
          <w:color w:val="auto"/>
          <w:kern w:val="2"/>
          <w:sz w:val="24"/>
          <w:szCs w:val="24"/>
          <w:highlight w:val="none"/>
          <w:lang w:val="zh-CN"/>
        </w:rPr>
        <w:t>，属于</w:t>
      </w:r>
      <w:r>
        <w:rPr>
          <w:rFonts w:hint="eastAsia" w:cs="@仿宋_GB2312"/>
          <w:color w:val="auto"/>
          <w:kern w:val="2"/>
          <w:sz w:val="24"/>
          <w:szCs w:val="24"/>
          <w:highlight w:val="none"/>
          <w:u w:val="single"/>
          <w:lang w:val="zh-CN"/>
        </w:rPr>
        <w:t>（采购文件中明确的所属行业）</w:t>
      </w:r>
      <w:r>
        <w:rPr>
          <w:rFonts w:hint="eastAsia" w:cs="@仿宋_GB2312"/>
          <w:color w:val="auto"/>
          <w:kern w:val="2"/>
          <w:sz w:val="24"/>
          <w:szCs w:val="24"/>
          <w:highlight w:val="none"/>
          <w:lang w:val="zh-CN"/>
        </w:rPr>
        <w:t>行业；承建企业为</w:t>
      </w:r>
      <w:r>
        <w:rPr>
          <w:rFonts w:hint="eastAsia" w:cs="@仿宋_GB2312"/>
          <w:color w:val="auto"/>
          <w:kern w:val="2"/>
          <w:sz w:val="24"/>
          <w:szCs w:val="24"/>
          <w:highlight w:val="none"/>
          <w:u w:val="single"/>
          <w:lang w:val="zh-CN"/>
        </w:rPr>
        <w:t>（企业名称）</w:t>
      </w:r>
      <w:r>
        <w:rPr>
          <w:rFonts w:hint="eastAsia" w:cs="@仿宋_GB2312"/>
          <w:color w:val="auto"/>
          <w:kern w:val="2"/>
          <w:sz w:val="24"/>
          <w:szCs w:val="24"/>
          <w:highlight w:val="none"/>
          <w:lang w:val="zh-CN"/>
        </w:rPr>
        <w:t>，从业人员</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人，营业收入为</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万元，资产总额为</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万元，属于</w:t>
      </w:r>
      <w:r>
        <w:rPr>
          <w:rFonts w:hint="eastAsia" w:cs="@仿宋_GB2312"/>
          <w:color w:val="auto"/>
          <w:kern w:val="2"/>
          <w:sz w:val="24"/>
          <w:szCs w:val="24"/>
          <w:highlight w:val="none"/>
          <w:u w:val="single"/>
          <w:lang w:val="zh-CN"/>
        </w:rPr>
        <w:t>（中型企业、小型企业、微型企业）</w:t>
      </w:r>
      <w:r>
        <w:rPr>
          <w:rFonts w:hint="eastAsia" w:cs="@仿宋_GB2312"/>
          <w:color w:val="auto"/>
          <w:kern w:val="2"/>
          <w:sz w:val="24"/>
          <w:szCs w:val="24"/>
          <w:highlight w:val="none"/>
          <w:lang w:val="zh-CN"/>
        </w:rPr>
        <w:t xml:space="preserve">； </w:t>
      </w:r>
    </w:p>
    <w:p w14:paraId="613CAEBA">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2.</w:t>
      </w:r>
      <w:r>
        <w:rPr>
          <w:rFonts w:hint="eastAsia" w:cs="@仿宋_GB2312"/>
          <w:color w:val="auto"/>
          <w:kern w:val="2"/>
          <w:sz w:val="24"/>
          <w:szCs w:val="24"/>
          <w:highlight w:val="none"/>
          <w:u w:val="single"/>
          <w:lang w:val="zh-CN"/>
        </w:rPr>
        <w:t xml:space="preserve"> （标的名称） </w:t>
      </w:r>
      <w:r>
        <w:rPr>
          <w:rFonts w:hint="eastAsia" w:cs="@仿宋_GB2312"/>
          <w:color w:val="auto"/>
          <w:kern w:val="2"/>
          <w:sz w:val="24"/>
          <w:szCs w:val="24"/>
          <w:highlight w:val="none"/>
          <w:lang w:val="zh-CN"/>
        </w:rPr>
        <w:t>，属于</w:t>
      </w:r>
      <w:r>
        <w:rPr>
          <w:rFonts w:hint="eastAsia" w:cs="@仿宋_GB2312"/>
          <w:color w:val="auto"/>
          <w:kern w:val="2"/>
          <w:sz w:val="24"/>
          <w:szCs w:val="24"/>
          <w:highlight w:val="none"/>
          <w:u w:val="single"/>
          <w:lang w:val="zh-CN"/>
        </w:rPr>
        <w:t>（采购文件中明确的所属行业）</w:t>
      </w:r>
      <w:r>
        <w:rPr>
          <w:rFonts w:hint="eastAsia" w:cs="@仿宋_GB2312"/>
          <w:color w:val="auto"/>
          <w:kern w:val="2"/>
          <w:sz w:val="24"/>
          <w:szCs w:val="24"/>
          <w:highlight w:val="none"/>
          <w:lang w:val="zh-CN"/>
        </w:rPr>
        <w:t>行业；承建企业为</w:t>
      </w:r>
      <w:r>
        <w:rPr>
          <w:rFonts w:hint="eastAsia" w:cs="@仿宋_GB2312"/>
          <w:color w:val="auto"/>
          <w:kern w:val="2"/>
          <w:sz w:val="24"/>
          <w:szCs w:val="24"/>
          <w:highlight w:val="none"/>
          <w:u w:val="single"/>
          <w:lang w:val="zh-CN"/>
        </w:rPr>
        <w:t>（企业名称）</w:t>
      </w:r>
      <w:r>
        <w:rPr>
          <w:rFonts w:hint="eastAsia" w:cs="@仿宋_GB2312"/>
          <w:color w:val="auto"/>
          <w:kern w:val="2"/>
          <w:sz w:val="24"/>
          <w:szCs w:val="24"/>
          <w:highlight w:val="none"/>
          <w:lang w:val="zh-CN"/>
        </w:rPr>
        <w:t>，从业人员</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人，营业收入为</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万元，资产总额为</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万元，属于</w:t>
      </w:r>
      <w:r>
        <w:rPr>
          <w:rFonts w:hint="eastAsia" w:cs="@仿宋_GB2312"/>
          <w:color w:val="auto"/>
          <w:kern w:val="2"/>
          <w:sz w:val="24"/>
          <w:szCs w:val="24"/>
          <w:highlight w:val="none"/>
          <w:u w:val="single"/>
          <w:lang w:val="zh-CN"/>
        </w:rPr>
        <w:t>（中型企业、小型企业、微型企业）</w:t>
      </w:r>
      <w:r>
        <w:rPr>
          <w:rFonts w:hint="eastAsia" w:cs="@仿宋_GB2312"/>
          <w:color w:val="auto"/>
          <w:kern w:val="2"/>
          <w:sz w:val="24"/>
          <w:szCs w:val="24"/>
          <w:highlight w:val="none"/>
          <w:lang w:val="zh-CN"/>
        </w:rPr>
        <w:t xml:space="preserve">； </w:t>
      </w:r>
    </w:p>
    <w:p w14:paraId="363C977F">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w:t>
      </w:r>
    </w:p>
    <w:p w14:paraId="4689CF8A">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以上企业，不属于大企业的分支机构，不存在控股股东为大企业的情形，也不存在与大企业的负责人为同一人的情形。</w:t>
      </w:r>
    </w:p>
    <w:p w14:paraId="328A29F4">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 xml:space="preserve">本企业对上述声明内容的真实性负责。如有虚假，将依法承担相应责任。 </w:t>
      </w:r>
    </w:p>
    <w:p w14:paraId="062C2EBB">
      <w:pPr>
        <w:spacing w:line="360" w:lineRule="auto"/>
        <w:ind w:firstLine="435"/>
        <w:rPr>
          <w:rFonts w:cs="@仿宋_GB2312" w:asciiTheme="minorEastAsia" w:hAnsiTheme="minorEastAsia" w:eastAsiaTheme="minorEastAsia"/>
          <w:color w:val="auto"/>
          <w:kern w:val="2"/>
          <w:sz w:val="24"/>
          <w:szCs w:val="24"/>
          <w:highlight w:val="none"/>
        </w:rPr>
      </w:pPr>
    </w:p>
    <w:p w14:paraId="264E1D27">
      <w:pPr>
        <w:spacing w:line="360" w:lineRule="auto"/>
        <w:ind w:firstLine="435"/>
        <w:rPr>
          <w:rFonts w:cs="@仿宋_GB2312" w:asciiTheme="minorEastAsia" w:hAnsiTheme="minorEastAsia" w:eastAsiaTheme="minorEastAsia"/>
          <w:color w:val="auto"/>
          <w:kern w:val="2"/>
          <w:sz w:val="24"/>
          <w:szCs w:val="24"/>
          <w:highlight w:val="none"/>
        </w:rPr>
      </w:pPr>
    </w:p>
    <w:p w14:paraId="75D82308">
      <w:pPr>
        <w:spacing w:line="360" w:lineRule="auto"/>
        <w:ind w:firstLine="4228" w:firstLineChars="1762"/>
        <w:rPr>
          <w:rFonts w:cs="@仿宋_GB2312" w:asciiTheme="minorEastAsia" w:hAnsiTheme="minorEastAsia" w:eastAsiaTheme="minorEastAsia"/>
          <w:color w:val="auto"/>
          <w:kern w:val="2"/>
          <w:sz w:val="24"/>
          <w:szCs w:val="24"/>
          <w:highlight w:val="none"/>
          <w:u w:val="single"/>
        </w:rPr>
      </w:pPr>
      <w:r>
        <w:rPr>
          <w:rFonts w:hint="eastAsia" w:cs="@仿宋_GB2312" w:asciiTheme="minorEastAsia" w:hAnsiTheme="minorEastAsia" w:eastAsiaTheme="minorEastAsia"/>
          <w:color w:val="auto"/>
          <w:kern w:val="2"/>
          <w:sz w:val="24"/>
          <w:szCs w:val="24"/>
          <w:highlight w:val="none"/>
        </w:rPr>
        <w:t>供应商</w:t>
      </w:r>
      <w:r>
        <w:rPr>
          <w:rFonts w:hint="eastAsia" w:cs="@仿宋_GB2312" w:asciiTheme="minorEastAsia" w:hAnsiTheme="minorEastAsia" w:eastAsiaTheme="minorEastAsia"/>
          <w:bCs/>
          <w:color w:val="auto"/>
          <w:kern w:val="2"/>
          <w:sz w:val="24"/>
          <w:highlight w:val="none"/>
          <w:lang w:val="en-US" w:eastAsia="zh-CN"/>
        </w:rPr>
        <w:t>盖章</w:t>
      </w:r>
      <w:r>
        <w:rPr>
          <w:rFonts w:hint="eastAsia" w:cs="@仿宋_GB2312" w:asciiTheme="minorEastAsia" w:hAnsiTheme="minorEastAsia" w:eastAsiaTheme="minorEastAsia"/>
          <w:color w:val="auto"/>
          <w:kern w:val="2"/>
          <w:sz w:val="24"/>
          <w:szCs w:val="24"/>
          <w:highlight w:val="none"/>
        </w:rPr>
        <w:t>：</w:t>
      </w:r>
      <w:r>
        <w:rPr>
          <w:rFonts w:cs="@仿宋_GB2312" w:asciiTheme="minorEastAsia" w:hAnsiTheme="minorEastAsia" w:eastAsiaTheme="minorEastAsia"/>
          <w:color w:val="auto"/>
          <w:kern w:val="2"/>
          <w:sz w:val="24"/>
          <w:szCs w:val="24"/>
          <w:highlight w:val="none"/>
          <w:u w:val="single"/>
        </w:rPr>
        <w:t xml:space="preserve">             </w:t>
      </w:r>
    </w:p>
    <w:p w14:paraId="371B5E61">
      <w:pPr>
        <w:tabs>
          <w:tab w:val="left" w:pos="4620"/>
        </w:tabs>
        <w:spacing w:line="360" w:lineRule="auto"/>
        <w:ind w:firstLine="4252" w:firstLineChars="1772"/>
        <w:rPr>
          <w:rFonts w:cs="@仿宋_GB2312" w:asciiTheme="minorEastAsia" w:hAnsiTheme="minorEastAsia" w:eastAsiaTheme="minorEastAsia"/>
          <w:color w:val="auto"/>
          <w:kern w:val="2"/>
          <w:sz w:val="24"/>
          <w:szCs w:val="24"/>
          <w:highlight w:val="none"/>
          <w:u w:val="single"/>
        </w:rPr>
      </w:pPr>
      <w:r>
        <w:rPr>
          <w:rFonts w:hint="eastAsia" w:cs="@仿宋_GB2312" w:asciiTheme="minorEastAsia" w:hAnsiTheme="minorEastAsia" w:eastAsiaTheme="minorEastAsia"/>
          <w:color w:val="auto"/>
          <w:kern w:val="2"/>
          <w:sz w:val="24"/>
          <w:szCs w:val="24"/>
          <w:highlight w:val="none"/>
        </w:rPr>
        <w:t>日</w:t>
      </w:r>
      <w:r>
        <w:rPr>
          <w:rFonts w:cs="@仿宋_GB2312" w:asciiTheme="minorEastAsia" w:hAnsiTheme="minorEastAsia" w:eastAsiaTheme="minorEastAsia"/>
          <w:color w:val="auto"/>
          <w:kern w:val="2"/>
          <w:sz w:val="24"/>
          <w:szCs w:val="24"/>
          <w:highlight w:val="none"/>
        </w:rPr>
        <w:t xml:space="preserve">      </w:t>
      </w:r>
      <w:r>
        <w:rPr>
          <w:rFonts w:hint="eastAsia" w:cs="@仿宋_GB2312" w:asciiTheme="minorEastAsia" w:hAnsiTheme="minorEastAsia" w:eastAsiaTheme="minorEastAsia"/>
          <w:color w:val="auto"/>
          <w:kern w:val="2"/>
          <w:sz w:val="24"/>
          <w:szCs w:val="24"/>
          <w:highlight w:val="none"/>
        </w:rPr>
        <w:t xml:space="preserve">    期：</w:t>
      </w:r>
      <w:r>
        <w:rPr>
          <w:rFonts w:cs="@仿宋_GB2312" w:asciiTheme="minorEastAsia" w:hAnsiTheme="minorEastAsia" w:eastAsiaTheme="minorEastAsia"/>
          <w:color w:val="auto"/>
          <w:kern w:val="2"/>
          <w:sz w:val="24"/>
          <w:szCs w:val="24"/>
          <w:highlight w:val="none"/>
          <w:u w:val="single"/>
        </w:rPr>
        <w:t xml:space="preserve">             </w:t>
      </w:r>
    </w:p>
    <w:p w14:paraId="5F3BAC38">
      <w:pPr>
        <w:tabs>
          <w:tab w:val="left" w:pos="4620"/>
        </w:tabs>
        <w:spacing w:line="360" w:lineRule="auto"/>
        <w:jc w:val="left"/>
        <w:rPr>
          <w:rFonts w:cs="@仿宋_GB2312" w:asciiTheme="minorEastAsia" w:hAnsiTheme="minorEastAsia" w:eastAsiaTheme="minorEastAsia"/>
          <w:color w:val="auto"/>
          <w:kern w:val="2"/>
          <w:sz w:val="24"/>
          <w:szCs w:val="24"/>
          <w:highlight w:val="none"/>
        </w:rPr>
      </w:pPr>
    </w:p>
    <w:p w14:paraId="2E5D0768">
      <w:pPr>
        <w:tabs>
          <w:tab w:val="left" w:pos="4620"/>
        </w:tabs>
        <w:spacing w:line="360" w:lineRule="auto"/>
        <w:jc w:val="left"/>
        <w:rPr>
          <w:rFonts w:cs="@仿宋_GB2312" w:asciiTheme="minorEastAsia" w:hAnsiTheme="minorEastAsia" w:eastAsiaTheme="minorEastAsia"/>
          <w:color w:val="auto"/>
          <w:kern w:val="2"/>
          <w:sz w:val="24"/>
          <w:szCs w:val="24"/>
          <w:highlight w:val="none"/>
        </w:rPr>
      </w:pPr>
    </w:p>
    <w:p w14:paraId="49A96AA1">
      <w:pPr>
        <w:tabs>
          <w:tab w:val="left" w:pos="4620"/>
        </w:tabs>
        <w:spacing w:line="360" w:lineRule="auto"/>
        <w:jc w:val="left"/>
        <w:rPr>
          <w:rFonts w:cs="@仿宋_GB2312" w:asciiTheme="minorEastAsia" w:hAnsiTheme="minorEastAsia" w:eastAsiaTheme="minorEastAsia"/>
          <w:color w:val="auto"/>
          <w:kern w:val="2"/>
          <w:sz w:val="24"/>
          <w:szCs w:val="24"/>
          <w:highlight w:val="none"/>
        </w:rPr>
      </w:pPr>
    </w:p>
    <w:p w14:paraId="433776DE">
      <w:pPr>
        <w:tabs>
          <w:tab w:val="left" w:pos="4620"/>
        </w:tabs>
        <w:spacing w:line="360" w:lineRule="auto"/>
        <w:jc w:val="left"/>
        <w:rPr>
          <w:rFonts w:cs="@仿宋_GB2312" w:asciiTheme="minorEastAsia" w:hAnsiTheme="minorEastAsia" w:eastAsiaTheme="minorEastAsia"/>
          <w:color w:val="auto"/>
          <w:kern w:val="2"/>
          <w:sz w:val="24"/>
          <w:szCs w:val="24"/>
          <w:highlight w:val="none"/>
        </w:rPr>
      </w:pPr>
    </w:p>
    <w:p w14:paraId="7E8F2919">
      <w:pPr>
        <w:tabs>
          <w:tab w:val="left" w:pos="4620"/>
        </w:tabs>
        <w:spacing w:line="360" w:lineRule="auto"/>
        <w:jc w:val="left"/>
        <w:rPr>
          <w:rFonts w:cs="@仿宋_GB2312" w:asciiTheme="minorEastAsia" w:hAnsiTheme="minorEastAsia" w:eastAsiaTheme="minorEastAsia"/>
          <w:color w:val="auto"/>
          <w:kern w:val="2"/>
          <w:sz w:val="24"/>
          <w:szCs w:val="24"/>
          <w:highlight w:val="none"/>
        </w:rPr>
      </w:pPr>
    </w:p>
    <w:p w14:paraId="61BBE4C2">
      <w:pPr>
        <w:tabs>
          <w:tab w:val="left" w:pos="4620"/>
        </w:tabs>
        <w:spacing w:line="360" w:lineRule="auto"/>
        <w:jc w:val="left"/>
        <w:rPr>
          <w:rFonts w:hint="eastAsia" w:cs="@仿宋_GB2312" w:asciiTheme="minorEastAsia" w:hAnsiTheme="minorEastAsia" w:eastAsiaTheme="minorEastAsia"/>
          <w:b/>
          <w:color w:val="auto"/>
          <w:kern w:val="2"/>
          <w:sz w:val="21"/>
          <w:szCs w:val="24"/>
          <w:highlight w:val="none"/>
          <w:lang w:eastAsia="zh-CN"/>
        </w:rPr>
      </w:pPr>
      <w:r>
        <w:rPr>
          <w:rFonts w:hint="eastAsia" w:cs="@仿宋_GB2312" w:asciiTheme="minorEastAsia" w:hAnsiTheme="minorEastAsia" w:eastAsiaTheme="minorEastAsia"/>
          <w:b/>
          <w:color w:val="auto"/>
          <w:kern w:val="2"/>
          <w:sz w:val="21"/>
          <w:szCs w:val="24"/>
          <w:highlight w:val="none"/>
          <w:lang w:eastAsia="zh-CN"/>
        </w:rPr>
        <w:t>注：</w:t>
      </w:r>
    </w:p>
    <w:p w14:paraId="7FAF7437">
      <w:pPr>
        <w:tabs>
          <w:tab w:val="left" w:pos="4620"/>
        </w:tabs>
        <w:spacing w:line="360" w:lineRule="auto"/>
        <w:jc w:val="left"/>
        <w:rPr>
          <w:rFonts w:cs="@仿宋_GB2312" w:asciiTheme="minorEastAsia" w:hAnsiTheme="minorEastAsia" w:eastAsiaTheme="minorEastAsia"/>
          <w:color w:val="auto"/>
          <w:kern w:val="2"/>
          <w:sz w:val="21"/>
          <w:szCs w:val="24"/>
          <w:highlight w:val="none"/>
        </w:rPr>
      </w:pPr>
      <w:r>
        <w:rPr>
          <w:rFonts w:cs="@仿宋_GB2312" w:asciiTheme="minorEastAsia" w:hAnsiTheme="minorEastAsia" w:eastAsiaTheme="minorEastAsia"/>
          <w:color w:val="auto"/>
          <w:kern w:val="2"/>
          <w:sz w:val="21"/>
          <w:szCs w:val="24"/>
          <w:highlight w:val="none"/>
        </w:rPr>
        <w:t>1.从业人员、营业收入、资产总额填报上一年数据，无上一年数据的新成立企业可不填报。</w:t>
      </w:r>
    </w:p>
    <w:p w14:paraId="475FA535">
      <w:pPr>
        <w:tabs>
          <w:tab w:val="left" w:pos="4620"/>
        </w:tabs>
        <w:spacing w:line="360" w:lineRule="auto"/>
        <w:jc w:val="left"/>
        <w:rPr>
          <w:rFonts w:cs="宋体"/>
          <w:b/>
          <w:bCs/>
          <w:color w:val="auto"/>
          <w:kern w:val="2"/>
          <w:sz w:val="21"/>
          <w:szCs w:val="21"/>
          <w:highlight w:val="none"/>
        </w:rPr>
      </w:pPr>
      <w:r>
        <w:rPr>
          <w:rFonts w:hint="eastAsia" w:cs="宋体"/>
          <w:b/>
          <w:bCs/>
          <w:color w:val="auto"/>
          <w:sz w:val="21"/>
          <w:szCs w:val="21"/>
          <w:highlight w:val="none"/>
        </w:rPr>
        <w:t>2.</w:t>
      </w:r>
      <w:r>
        <w:rPr>
          <w:rFonts w:hint="eastAsia" w:cs="宋体"/>
          <w:b/>
          <w:bCs/>
          <w:color w:val="auto"/>
          <w:kern w:val="2"/>
          <w:sz w:val="21"/>
          <w:szCs w:val="21"/>
          <w:highlight w:val="none"/>
        </w:rPr>
        <w:t>供应商应根据《政府采购促进中小企业发展管理办法》（财库﹝2020﹞46号）和《关于印发中小企业划型标准规定的通知》(工信部联企业〔2011〕300号)相关规定，如实填写中小企业声明函。</w:t>
      </w:r>
      <w:r>
        <w:rPr>
          <w:rFonts w:hint="eastAsia" w:cs="宋体"/>
          <w:b/>
          <w:bCs/>
          <w:color w:val="auto"/>
          <w:kern w:val="2"/>
          <w:sz w:val="21"/>
          <w:szCs w:val="21"/>
          <w:highlight w:val="none"/>
          <w:lang w:val="zh-CN"/>
        </w:rPr>
        <w:t>如有虚假，将依法承担相应责任。</w:t>
      </w:r>
      <w:r>
        <w:rPr>
          <w:rFonts w:hint="eastAsia" w:cs="宋体"/>
          <w:b/>
          <w:bCs/>
          <w:color w:val="auto"/>
          <w:kern w:val="2"/>
          <w:sz w:val="21"/>
          <w:szCs w:val="21"/>
          <w:highlight w:val="none"/>
        </w:rPr>
        <w:t>供应商自行登录工业和信息化部官网进行中小企业规模类型自测（查询网址https://www.miit.gov.cn/）。</w:t>
      </w:r>
    </w:p>
    <w:p w14:paraId="333D642D">
      <w:pPr>
        <w:tabs>
          <w:tab w:val="left" w:pos="4620"/>
        </w:tabs>
        <w:spacing w:line="360" w:lineRule="auto"/>
        <w:jc w:val="left"/>
        <w:rPr>
          <w:rFonts w:cs="宋体"/>
          <w:b/>
          <w:bCs/>
          <w:color w:val="auto"/>
          <w:kern w:val="2"/>
          <w:sz w:val="21"/>
          <w:szCs w:val="21"/>
          <w:highlight w:val="none"/>
        </w:rPr>
      </w:pPr>
      <w:r>
        <w:rPr>
          <w:rFonts w:hint="eastAsia" w:cs="宋体"/>
          <w:b/>
          <w:bCs/>
          <w:color w:val="auto"/>
          <w:kern w:val="2"/>
          <w:sz w:val="21"/>
          <w:szCs w:val="21"/>
          <w:highlight w:val="none"/>
        </w:rPr>
        <w:t>3.上述“</w:t>
      </w:r>
      <w:r>
        <w:rPr>
          <w:rFonts w:hint="eastAsia" w:cs="宋体"/>
          <w:b/>
          <w:bCs/>
          <w:color w:val="auto"/>
          <w:kern w:val="2"/>
          <w:sz w:val="21"/>
          <w:szCs w:val="21"/>
          <w:highlight w:val="none"/>
          <w:u w:val="single"/>
          <w:lang w:val="zh-CN"/>
        </w:rPr>
        <w:t>标的名称</w:t>
      </w:r>
      <w:r>
        <w:rPr>
          <w:rFonts w:hint="eastAsia" w:cs="宋体"/>
          <w:b/>
          <w:bCs/>
          <w:color w:val="auto"/>
          <w:kern w:val="2"/>
          <w:sz w:val="21"/>
          <w:szCs w:val="21"/>
          <w:highlight w:val="none"/>
        </w:rPr>
        <w:t>”，详见第三章采购需求前附表中明确的“标的名称”。</w:t>
      </w:r>
    </w:p>
    <w:p w14:paraId="26CAFB2C">
      <w:pPr>
        <w:tabs>
          <w:tab w:val="left" w:pos="4620"/>
        </w:tabs>
        <w:spacing w:line="360" w:lineRule="auto"/>
        <w:jc w:val="left"/>
        <w:rPr>
          <w:rFonts w:cs="宋体"/>
          <w:b/>
          <w:bCs/>
          <w:color w:val="auto"/>
          <w:kern w:val="2"/>
          <w:sz w:val="21"/>
          <w:szCs w:val="21"/>
          <w:highlight w:val="none"/>
        </w:rPr>
      </w:pPr>
      <w:r>
        <w:rPr>
          <w:rFonts w:hint="eastAsia" w:cs="宋体"/>
          <w:b/>
          <w:bCs/>
          <w:color w:val="auto"/>
          <w:kern w:val="2"/>
          <w:sz w:val="21"/>
          <w:szCs w:val="21"/>
          <w:highlight w:val="none"/>
        </w:rPr>
        <w:t>4.上述“</w:t>
      </w:r>
      <w:r>
        <w:rPr>
          <w:rFonts w:hint="eastAsia" w:cs="宋体"/>
          <w:b/>
          <w:bCs/>
          <w:color w:val="auto"/>
          <w:kern w:val="2"/>
          <w:sz w:val="21"/>
          <w:szCs w:val="21"/>
          <w:highlight w:val="none"/>
          <w:u w:val="single"/>
        </w:rPr>
        <w:t>采购文件中明确的所属行业</w:t>
      </w:r>
      <w:r>
        <w:rPr>
          <w:rFonts w:hint="eastAsia" w:cs="宋体"/>
          <w:b/>
          <w:bCs/>
          <w:color w:val="auto"/>
          <w:kern w:val="2"/>
          <w:sz w:val="21"/>
          <w:szCs w:val="21"/>
          <w:highlight w:val="none"/>
        </w:rPr>
        <w:t>”，详见第三章采购需求前附表中明确的“所属行业”。</w:t>
      </w:r>
    </w:p>
    <w:p w14:paraId="4D649019">
      <w:pPr>
        <w:tabs>
          <w:tab w:val="left" w:pos="4620"/>
        </w:tabs>
        <w:spacing w:line="360" w:lineRule="auto"/>
        <w:jc w:val="left"/>
        <w:rPr>
          <w:rFonts w:cs="宋体"/>
          <w:b/>
          <w:bCs/>
          <w:color w:val="auto"/>
          <w:kern w:val="2"/>
          <w:sz w:val="21"/>
          <w:szCs w:val="21"/>
          <w:highlight w:val="none"/>
        </w:rPr>
      </w:pPr>
      <w:r>
        <w:rPr>
          <w:rFonts w:hint="eastAsia" w:cs="宋体"/>
          <w:b/>
          <w:bCs/>
          <w:color w:val="auto"/>
          <w:kern w:val="2"/>
          <w:sz w:val="21"/>
          <w:szCs w:val="21"/>
          <w:highlight w:val="none"/>
        </w:rPr>
        <w:t>5．</w:t>
      </w:r>
      <w:r>
        <w:rPr>
          <w:rFonts w:hint="eastAsia" w:cs="宋体"/>
          <w:b/>
          <w:bCs/>
          <w:color w:val="auto"/>
          <w:szCs w:val="21"/>
          <w:highlight w:val="none"/>
        </w:rPr>
        <w:t>填写示例：</w:t>
      </w:r>
      <w:r>
        <w:rPr>
          <w:rFonts w:hint="eastAsia" w:cs="宋体"/>
          <w:b/>
          <w:bCs/>
          <w:color w:val="auto"/>
          <w:szCs w:val="21"/>
          <w:highlight w:val="none"/>
          <w:u w:val="single"/>
        </w:rPr>
        <w:t>某标的名称</w:t>
      </w:r>
      <w:r>
        <w:rPr>
          <w:rFonts w:hint="eastAsia" w:cs="宋体"/>
          <w:b/>
          <w:bCs/>
          <w:color w:val="auto"/>
          <w:szCs w:val="21"/>
          <w:highlight w:val="none"/>
        </w:rPr>
        <w:t>（</w:t>
      </w:r>
      <w:r>
        <w:rPr>
          <w:rFonts w:hint="eastAsia" w:cs="宋体"/>
          <w:b/>
          <w:bCs/>
          <w:color w:val="auto"/>
          <w:szCs w:val="21"/>
          <w:highlight w:val="none"/>
          <w:u w:val="single"/>
        </w:rPr>
        <w:t>填写第三章采购需求前附表中明确的“标的名称”</w:t>
      </w:r>
      <w:r>
        <w:rPr>
          <w:rFonts w:hint="eastAsia" w:cs="宋体"/>
          <w:b/>
          <w:bCs/>
          <w:color w:val="auto"/>
          <w:szCs w:val="21"/>
          <w:highlight w:val="none"/>
        </w:rPr>
        <w:t>），属于</w:t>
      </w:r>
      <w:r>
        <w:rPr>
          <w:rFonts w:hint="eastAsia" w:cs="宋体"/>
          <w:b/>
          <w:bCs/>
          <w:color w:val="auto"/>
          <w:szCs w:val="21"/>
          <w:highlight w:val="none"/>
          <w:u w:val="single"/>
        </w:rPr>
        <w:t>（填写第三章采购需求前附表中明确的“所属行业”，如建筑业）</w:t>
      </w:r>
      <w:r>
        <w:rPr>
          <w:rFonts w:hint="eastAsia" w:cs="宋体"/>
          <w:b/>
          <w:bCs/>
          <w:color w:val="auto"/>
          <w:szCs w:val="21"/>
          <w:highlight w:val="none"/>
        </w:rPr>
        <w:t>行业；承接企业为</w:t>
      </w:r>
      <w:r>
        <w:rPr>
          <w:rFonts w:hint="eastAsia" w:cs="宋体"/>
          <w:b/>
          <w:bCs/>
          <w:color w:val="auto"/>
          <w:szCs w:val="21"/>
          <w:highlight w:val="none"/>
          <w:u w:val="single"/>
          <w:lang w:val="zh-CN"/>
        </w:rPr>
        <w:t>某公司</w:t>
      </w:r>
      <w:r>
        <w:rPr>
          <w:rFonts w:hint="eastAsia" w:cs="宋体"/>
          <w:b/>
          <w:bCs/>
          <w:color w:val="auto"/>
          <w:szCs w:val="21"/>
          <w:highlight w:val="none"/>
        </w:rPr>
        <w:t>，</w:t>
      </w:r>
      <w:r>
        <w:rPr>
          <w:rFonts w:hint="eastAsia" w:cs="宋体"/>
          <w:b/>
          <w:bCs/>
          <w:color w:val="auto"/>
          <w:szCs w:val="21"/>
          <w:highlight w:val="none"/>
          <w:lang w:val="zh-CN"/>
        </w:rPr>
        <w:t>从业人员</w:t>
      </w:r>
      <w:r>
        <w:rPr>
          <w:rFonts w:hint="eastAsia" w:cs="宋体"/>
          <w:b/>
          <w:bCs/>
          <w:color w:val="auto"/>
          <w:szCs w:val="21"/>
          <w:highlight w:val="none"/>
          <w:u w:val="single"/>
        </w:rPr>
        <w:t>100</w:t>
      </w:r>
      <w:r>
        <w:rPr>
          <w:rFonts w:hint="eastAsia" w:cs="宋体"/>
          <w:b/>
          <w:bCs/>
          <w:color w:val="auto"/>
          <w:szCs w:val="21"/>
          <w:highlight w:val="none"/>
          <w:lang w:val="zh-CN"/>
        </w:rPr>
        <w:t>人</w:t>
      </w:r>
      <w:r>
        <w:rPr>
          <w:rFonts w:hint="eastAsia" w:cs="宋体"/>
          <w:b/>
          <w:bCs/>
          <w:color w:val="auto"/>
          <w:szCs w:val="21"/>
          <w:highlight w:val="none"/>
        </w:rPr>
        <w:t>，</w:t>
      </w:r>
      <w:r>
        <w:rPr>
          <w:rFonts w:hint="eastAsia" w:cs="宋体"/>
          <w:b/>
          <w:bCs/>
          <w:color w:val="auto"/>
          <w:szCs w:val="21"/>
          <w:highlight w:val="none"/>
          <w:lang w:val="zh-CN"/>
        </w:rPr>
        <w:t>营业收入为</w:t>
      </w:r>
      <w:r>
        <w:rPr>
          <w:rFonts w:hint="eastAsia" w:cs="宋体"/>
          <w:b/>
          <w:bCs/>
          <w:color w:val="auto"/>
          <w:szCs w:val="21"/>
          <w:highlight w:val="none"/>
          <w:u w:val="single"/>
        </w:rPr>
        <w:t>10000</w:t>
      </w:r>
      <w:r>
        <w:rPr>
          <w:rFonts w:hint="eastAsia" w:cs="宋体"/>
          <w:b/>
          <w:bCs/>
          <w:color w:val="auto"/>
          <w:szCs w:val="21"/>
          <w:highlight w:val="none"/>
          <w:lang w:val="zh-CN"/>
        </w:rPr>
        <w:t>万元</w:t>
      </w:r>
      <w:r>
        <w:rPr>
          <w:rFonts w:hint="eastAsia" w:cs="宋体"/>
          <w:b/>
          <w:bCs/>
          <w:color w:val="auto"/>
          <w:szCs w:val="21"/>
          <w:highlight w:val="none"/>
        </w:rPr>
        <w:t>，</w:t>
      </w:r>
      <w:r>
        <w:rPr>
          <w:rFonts w:hint="eastAsia" w:cs="宋体"/>
          <w:b/>
          <w:bCs/>
          <w:color w:val="auto"/>
          <w:szCs w:val="21"/>
          <w:highlight w:val="none"/>
          <w:lang w:val="zh-CN"/>
        </w:rPr>
        <w:t>资产总额为</w:t>
      </w:r>
      <w:r>
        <w:rPr>
          <w:rFonts w:hint="eastAsia" w:cs="宋体"/>
          <w:b/>
          <w:bCs/>
          <w:color w:val="auto"/>
          <w:szCs w:val="21"/>
          <w:highlight w:val="none"/>
          <w:u w:val="single"/>
        </w:rPr>
        <w:t>5000</w:t>
      </w:r>
      <w:r>
        <w:rPr>
          <w:rFonts w:hint="eastAsia" w:cs="宋体"/>
          <w:b/>
          <w:bCs/>
          <w:color w:val="auto"/>
          <w:szCs w:val="21"/>
          <w:highlight w:val="none"/>
          <w:lang w:val="zh-CN"/>
        </w:rPr>
        <w:t>万元</w:t>
      </w:r>
      <w:r>
        <w:rPr>
          <w:rFonts w:hint="eastAsia" w:cs="宋体"/>
          <w:b/>
          <w:bCs/>
          <w:color w:val="auto"/>
          <w:szCs w:val="21"/>
          <w:highlight w:val="none"/>
        </w:rPr>
        <w:t>，</w:t>
      </w:r>
      <w:r>
        <w:rPr>
          <w:rFonts w:hint="eastAsia" w:cs="宋体"/>
          <w:b/>
          <w:bCs/>
          <w:color w:val="auto"/>
          <w:szCs w:val="21"/>
          <w:highlight w:val="none"/>
          <w:lang w:val="zh-CN"/>
        </w:rPr>
        <w:t>属于</w:t>
      </w:r>
      <w:r>
        <w:rPr>
          <w:rFonts w:hint="eastAsia" w:cs="宋体"/>
          <w:b/>
          <w:bCs/>
          <w:color w:val="auto"/>
          <w:szCs w:val="21"/>
          <w:highlight w:val="none"/>
        </w:rPr>
        <w:t>中</w:t>
      </w:r>
      <w:r>
        <w:rPr>
          <w:rFonts w:hint="eastAsia" w:cs="宋体"/>
          <w:b/>
          <w:bCs/>
          <w:color w:val="auto"/>
          <w:szCs w:val="21"/>
          <w:highlight w:val="none"/>
          <w:u w:val="single"/>
          <w:lang w:val="zh-CN"/>
        </w:rPr>
        <w:t>型</w:t>
      </w:r>
      <w:r>
        <w:rPr>
          <w:rFonts w:hint="eastAsia" w:cs="宋体"/>
          <w:b/>
          <w:bCs/>
          <w:color w:val="auto"/>
          <w:szCs w:val="21"/>
          <w:highlight w:val="none"/>
          <w:lang w:val="zh-CN"/>
        </w:rPr>
        <w:t>企业</w:t>
      </w:r>
      <w:r>
        <w:rPr>
          <w:rFonts w:hint="eastAsia" w:cs="宋体"/>
          <w:b/>
          <w:bCs/>
          <w:color w:val="auto"/>
          <w:szCs w:val="21"/>
          <w:highlight w:val="none"/>
        </w:rPr>
        <w:t>[供应商自行登录工业和信息化部官网进行中小企业规模类型自测（查询网址https://www.miit.gov.cn/）]</w:t>
      </w:r>
      <w:r>
        <w:rPr>
          <w:rFonts w:hint="eastAsia" w:cs="宋体"/>
          <w:b/>
          <w:bCs/>
          <w:color w:val="auto"/>
          <w:kern w:val="2"/>
          <w:sz w:val="21"/>
          <w:szCs w:val="21"/>
          <w:highlight w:val="none"/>
          <w:lang w:val="zh-CN"/>
        </w:rPr>
        <w:t>。</w:t>
      </w:r>
    </w:p>
    <w:p w14:paraId="13D03D95">
      <w:pPr>
        <w:widowControl/>
        <w:jc w:val="left"/>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br w:type="page"/>
      </w:r>
    </w:p>
    <w:p w14:paraId="2BB32630">
      <w:pPr>
        <w:spacing w:line="360" w:lineRule="auto"/>
        <w:jc w:val="center"/>
        <w:outlineLvl w:val="1"/>
        <w:rPr>
          <w:rFonts w:asciiTheme="minorEastAsia" w:hAnsiTheme="minorEastAsia" w:eastAsiaTheme="minorEastAsia"/>
          <w:b/>
          <w:color w:val="auto"/>
          <w:sz w:val="24"/>
          <w:highlight w:val="none"/>
        </w:rPr>
      </w:pPr>
      <w:bookmarkStart w:id="757" w:name="_Toc17813"/>
      <w:bookmarkStart w:id="758" w:name="_Toc7705"/>
      <w:bookmarkStart w:id="759" w:name="_Toc17154"/>
      <w:r>
        <w:rPr>
          <w:rFonts w:hint="eastAsia" w:asciiTheme="minorEastAsia" w:hAnsiTheme="minorEastAsia" w:eastAsiaTheme="minorEastAsia"/>
          <w:b/>
          <w:color w:val="auto"/>
          <w:sz w:val="24"/>
          <w:highlight w:val="none"/>
        </w:rPr>
        <w:t>十</w:t>
      </w:r>
      <w:r>
        <w:rPr>
          <w:rFonts w:hint="eastAsia" w:asciiTheme="minorEastAsia" w:hAnsiTheme="minorEastAsia" w:eastAsiaTheme="minorEastAsia"/>
          <w:b/>
          <w:color w:val="auto"/>
          <w:sz w:val="24"/>
          <w:highlight w:val="none"/>
          <w:lang w:val="en-US" w:eastAsia="zh-CN"/>
        </w:rPr>
        <w:t>二</w:t>
      </w:r>
      <w:r>
        <w:rPr>
          <w:rFonts w:hint="eastAsia" w:asciiTheme="minorEastAsia" w:hAnsiTheme="minorEastAsia" w:eastAsiaTheme="minorEastAsia"/>
          <w:b/>
          <w:color w:val="auto"/>
          <w:sz w:val="24"/>
          <w:highlight w:val="none"/>
        </w:rPr>
        <w:t>、残疾人福利性单位声明函</w:t>
      </w:r>
      <w:bookmarkEnd w:id="757"/>
      <w:bookmarkEnd w:id="758"/>
      <w:bookmarkEnd w:id="759"/>
    </w:p>
    <w:p w14:paraId="0107D972">
      <w:pPr>
        <w:pStyle w:val="22"/>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b w:val="0"/>
          <w:i/>
          <w:color w:val="auto"/>
          <w:sz w:val="24"/>
          <w:highlight w:val="none"/>
          <w:lang w:val="en-US" w:eastAsia="zh-CN"/>
        </w:rPr>
      </w:pPr>
      <w:r>
        <w:rPr>
          <w:rFonts w:hint="eastAsia" w:ascii="宋体" w:hAnsi="宋体" w:eastAsia="宋体"/>
          <w:b w:val="0"/>
          <w:i/>
          <w:color w:val="auto"/>
          <w:sz w:val="24"/>
          <w:highlight w:val="none"/>
          <w:lang w:val="en-US" w:eastAsia="zh-CN"/>
        </w:rPr>
        <w:t>（非残疾人福利性单位磋商，请删去“残疾人福利性单位声明函”）</w:t>
      </w:r>
    </w:p>
    <w:p w14:paraId="30507C4A">
      <w:pPr>
        <w:spacing w:line="360" w:lineRule="auto"/>
        <w:ind w:firstLine="435"/>
        <w:rPr>
          <w:rFonts w:cs="Times New Roman"/>
          <w:color w:val="auto"/>
          <w:spacing w:val="6"/>
          <w:kern w:val="2"/>
          <w:sz w:val="24"/>
          <w:szCs w:val="24"/>
          <w:highlight w:val="none"/>
        </w:rPr>
      </w:pPr>
      <w:r>
        <w:rPr>
          <w:rFonts w:hint="eastAsia" w:cs="Times New Roman"/>
          <w:color w:val="auto"/>
          <w:spacing w:val="6"/>
          <w:kern w:val="2"/>
          <w:sz w:val="24"/>
          <w:szCs w:val="24"/>
          <w:highlight w:val="none"/>
        </w:rPr>
        <w:t>本单位</w:t>
      </w:r>
      <w:r>
        <w:rPr>
          <w:rFonts w:hint="eastAsia" w:cs="Times New Roman"/>
          <w:color w:val="auto"/>
          <w:kern w:val="2"/>
          <w:sz w:val="24"/>
          <w:szCs w:val="22"/>
          <w:highlight w:val="none"/>
        </w:rPr>
        <w:t>郑重</w:t>
      </w:r>
      <w:r>
        <w:rPr>
          <w:rFonts w:hint="eastAsia" w:cs="Times New Roman"/>
          <w:color w:val="auto"/>
          <w:spacing w:val="6"/>
          <w:kern w:val="2"/>
          <w:sz w:val="24"/>
          <w:szCs w:val="24"/>
          <w:highlight w:val="none"/>
        </w:rPr>
        <w:t>声明，根据《财政部 民政部 中国残疾人联合会关于促进残疾人就业政府采购政策的通知》（财库</w:t>
      </w:r>
      <w:r>
        <w:rPr>
          <w:rFonts w:hint="eastAsia" w:cs="Times New Roman"/>
          <w:color w:val="auto"/>
          <w:kern w:val="2"/>
          <w:sz w:val="24"/>
          <w:szCs w:val="24"/>
          <w:highlight w:val="none"/>
        </w:rPr>
        <w:t>〔2017〕141</w:t>
      </w:r>
      <w:r>
        <w:rPr>
          <w:rFonts w:hint="eastAsia" w:cs="Times New Roman"/>
          <w:color w:val="auto"/>
          <w:spacing w:val="6"/>
          <w:kern w:val="2"/>
          <w:sz w:val="24"/>
          <w:szCs w:val="24"/>
          <w:highlight w:val="none"/>
        </w:rPr>
        <w:t>号）的规定，</w:t>
      </w:r>
      <w:r>
        <w:rPr>
          <w:rFonts w:hint="eastAsia" w:asciiTheme="minorEastAsia" w:hAnsiTheme="minorEastAsia" w:eastAsiaTheme="minorEastAsia"/>
          <w:color w:val="auto"/>
          <w:spacing w:val="6"/>
          <w:sz w:val="24"/>
          <w:szCs w:val="24"/>
          <w:highlight w:val="none"/>
        </w:rPr>
        <w:t>本单位为</w:t>
      </w:r>
      <w:r>
        <w:rPr>
          <w:rFonts w:hint="eastAsia" w:asciiTheme="minorEastAsia" w:hAnsiTheme="minorEastAsia" w:eastAsiaTheme="minorEastAsia"/>
          <w:bCs/>
          <w:color w:val="auto"/>
          <w:sz w:val="24"/>
          <w:szCs w:val="24"/>
          <w:highlight w:val="none"/>
        </w:rPr>
        <w:t>符合</w:t>
      </w:r>
      <w:r>
        <w:rPr>
          <w:rFonts w:hint="eastAsia" w:asciiTheme="minorEastAsia" w:hAnsiTheme="minorEastAsia" w:eastAsiaTheme="minorEastAsia"/>
          <w:color w:val="auto"/>
          <w:spacing w:val="6"/>
          <w:sz w:val="24"/>
          <w:szCs w:val="24"/>
          <w:highlight w:val="none"/>
        </w:rPr>
        <w:t>条件的残疾人福利性单位，且本单位参加</w:t>
      </w:r>
      <w:r>
        <w:rPr>
          <w:rFonts w:hint="eastAsia" w:asciiTheme="minorEastAsia" w:hAnsiTheme="minorEastAsia" w:eastAsiaTheme="minorEastAsia"/>
          <w:color w:val="auto"/>
          <w:spacing w:val="6"/>
          <w:sz w:val="24"/>
          <w:szCs w:val="24"/>
          <w:highlight w:val="none"/>
          <w:u w:val="single"/>
        </w:rPr>
        <w:t xml:space="preserve">      </w:t>
      </w:r>
      <w:r>
        <w:rPr>
          <w:rFonts w:hint="eastAsia" w:asciiTheme="minorEastAsia" w:hAnsiTheme="minorEastAsia" w:eastAsiaTheme="minorEastAsia"/>
          <w:color w:val="auto"/>
          <w:spacing w:val="6"/>
          <w:sz w:val="24"/>
          <w:szCs w:val="24"/>
          <w:highlight w:val="none"/>
        </w:rPr>
        <w:t>单位的</w:t>
      </w:r>
      <w:r>
        <w:rPr>
          <w:rFonts w:hint="eastAsia" w:asciiTheme="minorEastAsia" w:hAnsiTheme="minorEastAsia" w:eastAsiaTheme="minorEastAsia"/>
          <w:color w:val="auto"/>
          <w:spacing w:val="6"/>
          <w:sz w:val="24"/>
          <w:szCs w:val="24"/>
          <w:highlight w:val="none"/>
          <w:u w:val="single"/>
        </w:rPr>
        <w:t xml:space="preserve">      </w:t>
      </w:r>
      <w:r>
        <w:rPr>
          <w:rFonts w:hint="eastAsia" w:asciiTheme="minorEastAsia" w:hAnsiTheme="minorEastAsia" w:eastAsiaTheme="minorEastAsia"/>
          <w:color w:val="auto"/>
          <w:spacing w:val="6"/>
          <w:sz w:val="24"/>
          <w:szCs w:val="24"/>
          <w:highlight w:val="none"/>
        </w:rPr>
        <w:t>项目采购活动提供本单位制造的货物</w:t>
      </w:r>
      <w:r>
        <w:rPr>
          <w:rFonts w:hint="eastAsia" w:asciiTheme="minorEastAsia" w:hAnsiTheme="minorEastAsia" w:eastAsiaTheme="minorEastAsia"/>
          <w:color w:val="auto"/>
          <w:spacing w:val="6"/>
          <w:sz w:val="24"/>
          <w:szCs w:val="24"/>
          <w:highlight w:val="none"/>
          <w:lang w:eastAsia="zh-CN"/>
        </w:rPr>
        <w:t>（</w:t>
      </w:r>
      <w:r>
        <w:rPr>
          <w:rFonts w:hint="eastAsia" w:asciiTheme="minorEastAsia" w:hAnsiTheme="minorEastAsia" w:eastAsiaTheme="minorEastAsia"/>
          <w:color w:val="auto"/>
          <w:spacing w:val="6"/>
          <w:sz w:val="24"/>
          <w:szCs w:val="24"/>
          <w:highlight w:val="none"/>
          <w:lang w:val="en-US" w:eastAsia="zh-CN"/>
        </w:rPr>
        <w:t>由本单位承担工程/提供服务</w:t>
      </w:r>
      <w:r>
        <w:rPr>
          <w:rFonts w:hint="eastAsia" w:asciiTheme="minorEastAsia" w:hAnsiTheme="minorEastAsia" w:eastAsiaTheme="minorEastAsia"/>
          <w:color w:val="auto"/>
          <w:spacing w:val="6"/>
          <w:sz w:val="24"/>
          <w:szCs w:val="24"/>
          <w:highlight w:val="none"/>
          <w:lang w:eastAsia="zh-CN"/>
        </w:rPr>
        <w:t>）</w:t>
      </w:r>
      <w:r>
        <w:rPr>
          <w:rFonts w:hint="eastAsia" w:asciiTheme="minorEastAsia" w:hAnsiTheme="minorEastAsia" w:eastAsiaTheme="minorEastAsia"/>
          <w:color w:val="auto"/>
          <w:spacing w:val="6"/>
          <w:sz w:val="24"/>
          <w:szCs w:val="24"/>
          <w:highlight w:val="none"/>
        </w:rPr>
        <w:t>，或者提供其他残疾人福利性单位制造的货物（不包括使用非残疾人福利性单位注册商标的货物）。</w:t>
      </w:r>
    </w:p>
    <w:p w14:paraId="221D33D4">
      <w:pPr>
        <w:spacing w:line="360" w:lineRule="auto"/>
        <w:ind w:firstLine="435"/>
        <w:rPr>
          <w:rFonts w:cs="Times New Roman"/>
          <w:color w:val="auto"/>
          <w:spacing w:val="6"/>
          <w:kern w:val="2"/>
          <w:sz w:val="24"/>
          <w:szCs w:val="24"/>
          <w:highlight w:val="none"/>
        </w:rPr>
      </w:pPr>
      <w:r>
        <w:rPr>
          <w:rFonts w:hint="eastAsia" w:cs="Times New Roman"/>
          <w:color w:val="auto"/>
          <w:spacing w:val="6"/>
          <w:kern w:val="2"/>
          <w:sz w:val="24"/>
          <w:szCs w:val="24"/>
          <w:highlight w:val="none"/>
        </w:rPr>
        <w:t>本单位对上述声明的真实性负责。如有虚假，将依法承担相应责任。</w:t>
      </w:r>
    </w:p>
    <w:p w14:paraId="2960E7AF">
      <w:pPr>
        <w:spacing w:line="360" w:lineRule="auto"/>
        <w:ind w:firstLine="4228" w:firstLineChars="1762"/>
        <w:rPr>
          <w:rFonts w:cs="Times New Roman"/>
          <w:color w:val="auto"/>
          <w:kern w:val="2"/>
          <w:sz w:val="24"/>
          <w:szCs w:val="24"/>
          <w:highlight w:val="none"/>
        </w:rPr>
      </w:pPr>
    </w:p>
    <w:p w14:paraId="55D794F9">
      <w:pPr>
        <w:spacing w:line="360" w:lineRule="auto"/>
        <w:ind w:firstLine="4228" w:firstLineChars="1762"/>
        <w:rPr>
          <w:rFonts w:cs="Times New Roman"/>
          <w:color w:val="auto"/>
          <w:kern w:val="2"/>
          <w:sz w:val="24"/>
          <w:szCs w:val="24"/>
          <w:highlight w:val="none"/>
        </w:rPr>
      </w:pPr>
    </w:p>
    <w:p w14:paraId="58B50060">
      <w:pPr>
        <w:spacing w:line="360" w:lineRule="auto"/>
        <w:ind w:firstLine="4228" w:firstLineChars="1762"/>
        <w:rPr>
          <w:rFonts w:cs="Times New Roman"/>
          <w:color w:val="auto"/>
          <w:kern w:val="2"/>
          <w:sz w:val="24"/>
          <w:szCs w:val="24"/>
          <w:highlight w:val="none"/>
          <w:u w:val="single"/>
        </w:rPr>
      </w:pPr>
      <w:r>
        <w:rPr>
          <w:rFonts w:hint="eastAsia" w:cs="Times New Roman"/>
          <w:color w:val="auto"/>
          <w:kern w:val="2"/>
          <w:sz w:val="24"/>
          <w:szCs w:val="24"/>
          <w:highlight w:val="none"/>
        </w:rPr>
        <w:t>供应商</w:t>
      </w:r>
      <w:r>
        <w:rPr>
          <w:rFonts w:hint="eastAsia" w:cs="@仿宋_GB2312" w:asciiTheme="minorEastAsia" w:hAnsiTheme="minorEastAsia" w:eastAsiaTheme="minorEastAsia"/>
          <w:bCs/>
          <w:color w:val="auto"/>
          <w:kern w:val="2"/>
          <w:sz w:val="24"/>
          <w:highlight w:val="none"/>
          <w:lang w:val="en-US" w:eastAsia="zh-CN"/>
        </w:rPr>
        <w:t>盖章</w:t>
      </w:r>
      <w:r>
        <w:rPr>
          <w:rFonts w:hint="eastAsia" w:cs="Times New Roman"/>
          <w:color w:val="auto"/>
          <w:kern w:val="2"/>
          <w:sz w:val="24"/>
          <w:szCs w:val="24"/>
          <w:highlight w:val="none"/>
        </w:rPr>
        <w:t>：</w:t>
      </w:r>
      <w:r>
        <w:rPr>
          <w:rFonts w:cs="Times New Roman"/>
          <w:color w:val="auto"/>
          <w:kern w:val="2"/>
          <w:sz w:val="24"/>
          <w:szCs w:val="24"/>
          <w:highlight w:val="none"/>
          <w:u w:val="single"/>
        </w:rPr>
        <w:t xml:space="preserve">             </w:t>
      </w:r>
    </w:p>
    <w:p w14:paraId="688CAC9D">
      <w:pPr>
        <w:tabs>
          <w:tab w:val="left" w:pos="4620"/>
        </w:tabs>
        <w:spacing w:line="360" w:lineRule="auto"/>
        <w:ind w:firstLine="4252" w:firstLineChars="1772"/>
        <w:rPr>
          <w:rFonts w:cs="Times New Roman"/>
          <w:color w:val="auto"/>
          <w:kern w:val="2"/>
          <w:sz w:val="24"/>
          <w:szCs w:val="24"/>
          <w:highlight w:val="none"/>
          <w:u w:val="single"/>
        </w:rPr>
      </w:pPr>
      <w:r>
        <w:rPr>
          <w:rFonts w:hint="eastAsia" w:cs="Times New Roman"/>
          <w:color w:val="auto"/>
          <w:kern w:val="2"/>
          <w:sz w:val="24"/>
          <w:szCs w:val="24"/>
          <w:highlight w:val="none"/>
        </w:rPr>
        <w:t>日</w:t>
      </w:r>
      <w:r>
        <w:rPr>
          <w:rFonts w:cs="Times New Roman"/>
          <w:color w:val="auto"/>
          <w:kern w:val="2"/>
          <w:sz w:val="24"/>
          <w:szCs w:val="24"/>
          <w:highlight w:val="none"/>
        </w:rPr>
        <w:t xml:space="preserve">      </w:t>
      </w:r>
      <w:r>
        <w:rPr>
          <w:rFonts w:hint="eastAsia" w:cs="Times New Roman"/>
          <w:color w:val="auto"/>
          <w:kern w:val="2"/>
          <w:sz w:val="24"/>
          <w:szCs w:val="24"/>
          <w:highlight w:val="none"/>
        </w:rPr>
        <w:t xml:space="preserve">    期：</w:t>
      </w:r>
      <w:r>
        <w:rPr>
          <w:rFonts w:cs="Times New Roman"/>
          <w:color w:val="auto"/>
          <w:kern w:val="2"/>
          <w:sz w:val="24"/>
          <w:szCs w:val="24"/>
          <w:highlight w:val="none"/>
          <w:u w:val="single"/>
        </w:rPr>
        <w:t xml:space="preserve">             </w:t>
      </w:r>
    </w:p>
    <w:p w14:paraId="01B9DAAA">
      <w:pPr>
        <w:widowControl/>
        <w:jc w:val="left"/>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br w:type="page"/>
      </w:r>
    </w:p>
    <w:p w14:paraId="21946480">
      <w:pPr>
        <w:spacing w:line="360" w:lineRule="auto"/>
        <w:jc w:val="center"/>
        <w:outlineLvl w:val="1"/>
        <w:rPr>
          <w:rFonts w:asciiTheme="minorEastAsia" w:hAnsiTheme="minorEastAsia" w:eastAsiaTheme="minorEastAsia"/>
          <w:b/>
          <w:color w:val="auto"/>
          <w:sz w:val="24"/>
          <w:highlight w:val="none"/>
        </w:rPr>
      </w:pPr>
      <w:bookmarkStart w:id="760" w:name="_Toc8003"/>
      <w:bookmarkStart w:id="761" w:name="_Toc17768"/>
      <w:bookmarkStart w:id="762" w:name="_Toc26894"/>
      <w:bookmarkStart w:id="763" w:name="_Hlk44283088"/>
      <w:r>
        <w:rPr>
          <w:rFonts w:hint="eastAsia" w:asciiTheme="minorEastAsia" w:hAnsiTheme="minorEastAsia" w:eastAsiaTheme="minorEastAsia"/>
          <w:b/>
          <w:color w:val="auto"/>
          <w:sz w:val="24"/>
          <w:highlight w:val="none"/>
        </w:rPr>
        <w:t>十</w:t>
      </w:r>
      <w:r>
        <w:rPr>
          <w:rFonts w:hint="eastAsia" w:asciiTheme="minorEastAsia" w:hAnsiTheme="minorEastAsia" w:eastAsiaTheme="minorEastAsia"/>
          <w:b/>
          <w:color w:val="auto"/>
          <w:sz w:val="24"/>
          <w:highlight w:val="none"/>
          <w:lang w:val="en-US" w:eastAsia="zh-CN"/>
        </w:rPr>
        <w:t>三</w:t>
      </w:r>
      <w:r>
        <w:rPr>
          <w:rFonts w:hint="eastAsia" w:asciiTheme="minorEastAsia" w:hAnsiTheme="minorEastAsia" w:eastAsiaTheme="minorEastAsia"/>
          <w:b/>
          <w:color w:val="auto"/>
          <w:sz w:val="24"/>
          <w:highlight w:val="none"/>
        </w:rPr>
        <w:t>、诚信履约承诺函</w:t>
      </w:r>
      <w:bookmarkEnd w:id="760"/>
      <w:bookmarkEnd w:id="761"/>
      <w:bookmarkEnd w:id="762"/>
    </w:p>
    <w:p w14:paraId="5D590160">
      <w:pPr>
        <w:spacing w:line="360" w:lineRule="auto"/>
        <w:rPr>
          <w:rFonts w:cs="@仿宋_GB2312" w:asciiTheme="minorEastAsia" w:hAnsiTheme="minorEastAsia" w:eastAsiaTheme="minorEastAsia"/>
          <w:b/>
          <w:bCs/>
          <w:color w:val="auto"/>
          <w:kern w:val="2"/>
          <w:sz w:val="24"/>
          <w:highlight w:val="none"/>
        </w:rPr>
      </w:pPr>
    </w:p>
    <w:p w14:paraId="0465B409">
      <w:pPr>
        <w:spacing w:line="360" w:lineRule="auto"/>
        <w:rPr>
          <w:rFonts w:hint="eastAsia" w:cs="@仿宋_GB2312" w:asciiTheme="minorEastAsia" w:hAnsiTheme="minorEastAsia" w:eastAsiaTheme="minorEastAsia"/>
          <w:b/>
          <w:bCs/>
          <w:color w:val="auto"/>
          <w:kern w:val="2"/>
          <w:sz w:val="24"/>
          <w:highlight w:val="none"/>
          <w:u w:val="single"/>
          <w:lang w:eastAsia="zh-CN"/>
        </w:rPr>
      </w:pPr>
      <w:r>
        <w:rPr>
          <w:rFonts w:hint="eastAsia" w:cs="@仿宋_GB2312" w:asciiTheme="minorEastAsia" w:hAnsiTheme="minorEastAsia" w:eastAsiaTheme="minorEastAsia"/>
          <w:b/>
          <w:bCs/>
          <w:color w:val="auto"/>
          <w:kern w:val="2"/>
          <w:sz w:val="24"/>
          <w:highlight w:val="none"/>
        </w:rPr>
        <w:t>致：</w:t>
      </w:r>
      <w:r>
        <w:rPr>
          <w:rFonts w:hint="eastAsia" w:cs="@仿宋_GB2312" w:asciiTheme="minorEastAsia" w:hAnsiTheme="minorEastAsia" w:eastAsiaTheme="minorEastAsia"/>
          <w:b/>
          <w:bCs/>
          <w:color w:val="auto"/>
          <w:kern w:val="2"/>
          <w:sz w:val="24"/>
          <w:highlight w:val="none"/>
          <w:u w:val="none"/>
          <w:lang w:eastAsia="zh-CN"/>
        </w:rPr>
        <w:t>采购人</w:t>
      </w:r>
    </w:p>
    <w:p w14:paraId="0DF6EF0A">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如我单位被确定为本项目成交供应商，我单位承诺在合同签订及履约过程中将严格执行《中华人民共和国政府采购法》、《中华人民共和国政府采购法实施条例》及本项目采购文件中关于合同签订及履约的相关规定，不出现以下情形：</w:t>
      </w:r>
    </w:p>
    <w:p w14:paraId="791D9818">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（1）中标或者成交后无正当理由拒不与采购人签订政府采购合同；</w:t>
      </w:r>
    </w:p>
    <w:p w14:paraId="745F5172">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（2）未按照采购文件确定的事项签订政府采购合同；</w:t>
      </w:r>
    </w:p>
    <w:p w14:paraId="282E29E6">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（3）将政府采购合同转包；</w:t>
      </w:r>
    </w:p>
    <w:p w14:paraId="6FAECE85">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（4）提供假冒伪劣产品；</w:t>
      </w:r>
    </w:p>
    <w:p w14:paraId="0DC1E923">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（5）擅自变更、中止或者终止政府采购合同。</w:t>
      </w:r>
    </w:p>
    <w:p w14:paraId="059754D2">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本单位知悉如出现上述情形，将会被依法追究法律责任，可能的处理结果有：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61B72A83">
      <w:pPr>
        <w:spacing w:line="360" w:lineRule="auto"/>
        <w:rPr>
          <w:rFonts w:cs="@仿宋_GB2312" w:asciiTheme="minorEastAsia" w:hAnsiTheme="minorEastAsia" w:eastAsiaTheme="minorEastAsia"/>
          <w:bCs/>
          <w:color w:val="auto"/>
          <w:kern w:val="2"/>
          <w:sz w:val="24"/>
          <w:highlight w:val="none"/>
        </w:rPr>
      </w:pPr>
    </w:p>
    <w:p w14:paraId="1946DE53">
      <w:pPr>
        <w:spacing w:line="360" w:lineRule="auto"/>
        <w:rPr>
          <w:rFonts w:cs="@仿宋_GB2312" w:asciiTheme="minorEastAsia" w:hAnsiTheme="minorEastAsia" w:eastAsiaTheme="minorEastAsia"/>
          <w:bCs/>
          <w:color w:val="auto"/>
          <w:kern w:val="2"/>
          <w:sz w:val="24"/>
          <w:highlight w:val="none"/>
        </w:rPr>
      </w:pPr>
    </w:p>
    <w:p w14:paraId="31639C9F">
      <w:pPr>
        <w:spacing w:line="360" w:lineRule="auto"/>
        <w:ind w:firstLine="4320" w:firstLineChars="1800"/>
        <w:rPr>
          <w:rFonts w:cs="@仿宋_GB2312" w:asciiTheme="minorEastAsia" w:hAnsiTheme="minorEastAsia" w:eastAsiaTheme="minorEastAsia"/>
          <w:bCs/>
          <w:color w:val="auto"/>
          <w:kern w:val="2"/>
          <w:sz w:val="24"/>
          <w:highlight w:val="none"/>
          <w:u w:val="single"/>
        </w:rPr>
      </w:pPr>
      <w:r>
        <w:rPr>
          <w:rFonts w:hint="eastAsia" w:cs="@仿宋_GB2312" w:asciiTheme="minorEastAsia" w:hAnsiTheme="minorEastAsia" w:eastAsiaTheme="minorEastAsia"/>
          <w:bCs/>
          <w:color w:val="auto"/>
          <w:kern w:val="2"/>
          <w:sz w:val="24"/>
          <w:highlight w:val="none"/>
        </w:rPr>
        <w:t>供应商</w:t>
      </w:r>
      <w:r>
        <w:rPr>
          <w:rFonts w:hint="eastAsia" w:cs="@仿宋_GB2312" w:asciiTheme="minorEastAsia" w:hAnsiTheme="minorEastAsia" w:eastAsiaTheme="minorEastAsia"/>
          <w:bCs/>
          <w:color w:val="auto"/>
          <w:kern w:val="2"/>
          <w:sz w:val="24"/>
          <w:highlight w:val="none"/>
          <w:lang w:val="en-US" w:eastAsia="zh-CN"/>
        </w:rPr>
        <w:t>盖章</w:t>
      </w:r>
      <w:r>
        <w:rPr>
          <w:rFonts w:hint="eastAsia" w:cs="@仿宋_GB2312" w:asciiTheme="minorEastAsia" w:hAnsiTheme="minorEastAsia" w:eastAsiaTheme="minorEastAsia"/>
          <w:bCs/>
          <w:color w:val="auto"/>
          <w:kern w:val="2"/>
          <w:sz w:val="24"/>
          <w:highlight w:val="none"/>
        </w:rPr>
        <w:t>：</w:t>
      </w:r>
      <w:r>
        <w:rPr>
          <w:rFonts w:hint="eastAsia" w:cs="@仿宋_GB2312" w:asciiTheme="minorEastAsia" w:hAnsiTheme="minorEastAsia" w:eastAsiaTheme="minorEastAsia"/>
          <w:bCs/>
          <w:color w:val="auto"/>
          <w:kern w:val="2"/>
          <w:sz w:val="24"/>
          <w:highlight w:val="none"/>
          <w:u w:val="single"/>
        </w:rPr>
        <w:t xml:space="preserve">     </w:t>
      </w:r>
      <w:r>
        <w:rPr>
          <w:rFonts w:cs="@仿宋_GB2312" w:asciiTheme="minorEastAsia" w:hAnsiTheme="minorEastAsia" w:eastAsiaTheme="minorEastAsia"/>
          <w:bCs/>
          <w:color w:val="auto"/>
          <w:kern w:val="2"/>
          <w:sz w:val="24"/>
          <w:highlight w:val="none"/>
          <w:u w:val="single"/>
        </w:rPr>
        <w:t xml:space="preserve">    </w:t>
      </w:r>
      <w:r>
        <w:rPr>
          <w:rFonts w:hint="eastAsia" w:cs="@仿宋_GB2312" w:asciiTheme="minorEastAsia" w:hAnsiTheme="minorEastAsia" w:eastAsiaTheme="minorEastAsia"/>
          <w:bCs/>
          <w:color w:val="auto"/>
          <w:kern w:val="2"/>
          <w:sz w:val="24"/>
          <w:highlight w:val="none"/>
          <w:u w:val="single"/>
        </w:rPr>
        <w:t xml:space="preserve">    </w:t>
      </w:r>
    </w:p>
    <w:p w14:paraId="2D89EE74">
      <w:pPr>
        <w:spacing w:line="360" w:lineRule="auto"/>
        <w:ind w:firstLine="4320" w:firstLineChars="18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日          期：</w:t>
      </w:r>
      <w:r>
        <w:rPr>
          <w:rFonts w:hint="eastAsia" w:cs="@仿宋_GB2312" w:asciiTheme="minorEastAsia" w:hAnsiTheme="minorEastAsia" w:eastAsiaTheme="minorEastAsia"/>
          <w:bCs/>
          <w:color w:val="auto"/>
          <w:kern w:val="2"/>
          <w:sz w:val="24"/>
          <w:highlight w:val="none"/>
          <w:u w:val="single"/>
        </w:rPr>
        <w:t xml:space="preserve">             </w:t>
      </w:r>
    </w:p>
    <w:p w14:paraId="33B237AE">
      <w:pPr>
        <w:widowControl/>
        <w:jc w:val="left"/>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br w:type="page"/>
      </w:r>
    </w:p>
    <w:bookmarkEnd w:id="763"/>
    <w:p w14:paraId="08D6C737">
      <w:pPr>
        <w:spacing w:line="360" w:lineRule="auto"/>
        <w:jc w:val="center"/>
        <w:outlineLvl w:val="1"/>
        <w:rPr>
          <w:rFonts w:asciiTheme="minorEastAsia" w:hAnsiTheme="minorEastAsia" w:eastAsiaTheme="minorEastAsia"/>
          <w:b/>
          <w:color w:val="auto"/>
          <w:sz w:val="24"/>
          <w:highlight w:val="none"/>
        </w:rPr>
      </w:pPr>
      <w:bookmarkStart w:id="764" w:name="_Toc28645"/>
      <w:bookmarkStart w:id="765" w:name="_Toc29890"/>
      <w:bookmarkStart w:id="766" w:name="_Toc8176"/>
      <w:r>
        <w:rPr>
          <w:rFonts w:hint="eastAsia" w:asciiTheme="minorEastAsia" w:hAnsiTheme="minorEastAsia" w:eastAsiaTheme="minorEastAsia"/>
          <w:b/>
          <w:color w:val="auto"/>
          <w:sz w:val="24"/>
          <w:highlight w:val="none"/>
        </w:rPr>
        <w:t>十</w:t>
      </w:r>
      <w:r>
        <w:rPr>
          <w:rFonts w:hint="eastAsia" w:asciiTheme="minorEastAsia" w:hAnsiTheme="minorEastAsia" w:eastAsiaTheme="minorEastAsia"/>
          <w:b/>
          <w:color w:val="auto"/>
          <w:sz w:val="24"/>
          <w:highlight w:val="none"/>
          <w:lang w:val="en-US" w:eastAsia="zh-CN"/>
        </w:rPr>
        <w:t>四</w:t>
      </w:r>
      <w:r>
        <w:rPr>
          <w:rFonts w:hint="eastAsia" w:asciiTheme="minorEastAsia" w:hAnsiTheme="minorEastAsia" w:eastAsiaTheme="minorEastAsia"/>
          <w:b/>
          <w:color w:val="auto"/>
          <w:sz w:val="24"/>
          <w:highlight w:val="none"/>
        </w:rPr>
        <w:t>、其他相关证明材料</w:t>
      </w:r>
      <w:bookmarkEnd w:id="764"/>
      <w:bookmarkEnd w:id="765"/>
      <w:bookmarkEnd w:id="766"/>
    </w:p>
    <w:p w14:paraId="2A9B8AC1">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提供符合</w:t>
      </w:r>
      <w:r>
        <w:rPr>
          <w:rFonts w:hint="eastAsia" w:asciiTheme="minorEastAsia" w:hAnsiTheme="minorEastAsia" w:eastAsiaTheme="minorEastAsia"/>
          <w:color w:val="auto"/>
          <w:sz w:val="24"/>
          <w:highlight w:val="none"/>
          <w:lang w:val="en-US" w:eastAsia="zh-CN"/>
        </w:rPr>
        <w:t>磋商</w:t>
      </w:r>
      <w:r>
        <w:rPr>
          <w:rFonts w:hint="eastAsia" w:asciiTheme="minorEastAsia" w:hAnsiTheme="minorEastAsia" w:eastAsiaTheme="minorEastAsia"/>
          <w:color w:val="auto"/>
          <w:sz w:val="24"/>
          <w:highlight w:val="none"/>
        </w:rPr>
        <w:t>邀请、采购需求及评标方法和标准规定的相关证明文件。</w:t>
      </w:r>
    </w:p>
    <w:p w14:paraId="44CE782A">
      <w:pPr>
        <w:spacing w:line="360" w:lineRule="auto"/>
        <w:ind w:firstLine="480" w:firstLineChars="200"/>
        <w:rPr>
          <w:rFonts w:asciiTheme="minorEastAsia" w:hAnsiTheme="minorEastAsia" w:eastAsiaTheme="minorEastAsia"/>
          <w:color w:val="auto"/>
          <w:sz w:val="24"/>
          <w:highlight w:val="none"/>
        </w:rPr>
      </w:pPr>
    </w:p>
    <w:p w14:paraId="0E1152F5">
      <w:pPr>
        <w:spacing w:line="360" w:lineRule="auto"/>
        <w:ind w:firstLine="435"/>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特别提示：</w:t>
      </w:r>
    </w:p>
    <w:p w14:paraId="19F1D9CC">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供应商在响应文件制作时可在此栏内上传磋商文件</w:t>
      </w:r>
      <w:r>
        <w:rPr>
          <w:rFonts w:asciiTheme="minorEastAsia" w:hAnsiTheme="minorEastAsia" w:eastAsiaTheme="minorEastAsia"/>
          <w:color w:val="auto"/>
          <w:sz w:val="24"/>
          <w:highlight w:val="none"/>
        </w:rPr>
        <w:t>要求上传的证明资料</w:t>
      </w:r>
      <w:r>
        <w:rPr>
          <w:rFonts w:hint="eastAsia" w:asciiTheme="minorEastAsia" w:hAnsiTheme="minorEastAsia" w:eastAsiaTheme="minorEastAsia"/>
          <w:color w:val="auto"/>
          <w:sz w:val="24"/>
          <w:highlight w:val="none"/>
        </w:rPr>
        <w:t>，如营业执照、证书</w:t>
      </w:r>
      <w:r>
        <w:rPr>
          <w:rFonts w:asciiTheme="minorEastAsia" w:hAnsiTheme="minorEastAsia" w:eastAsiaTheme="minorEastAsia"/>
          <w:color w:val="auto"/>
          <w:sz w:val="24"/>
          <w:highlight w:val="none"/>
        </w:rPr>
        <w:t>等，应将上述证明材料制作成扫描件上传。</w:t>
      </w:r>
    </w:p>
    <w:p w14:paraId="19ADCBBA">
      <w:pPr>
        <w:pStyle w:val="51"/>
        <w:spacing w:before="0" w:beforeAutospacing="0" w:after="0" w:afterAutospacing="0" w:line="360" w:lineRule="auto"/>
        <w:ind w:firstLine="640"/>
        <w:jc w:val="both"/>
        <w:rPr>
          <w:color w:val="auto"/>
          <w:highlight w:val="none"/>
        </w:rPr>
      </w:pPr>
      <w:r>
        <w:rPr>
          <w:rFonts w:asciiTheme="minorEastAsia" w:hAnsiTheme="minorEastAsia" w:eastAsiaTheme="minorEastAsia"/>
          <w:color w:val="auto"/>
          <w:sz w:val="24"/>
          <w:highlight w:val="none"/>
        </w:rPr>
        <w:br w:type="page"/>
      </w:r>
    </w:p>
    <w:p w14:paraId="6B5F094B">
      <w:pPr>
        <w:widowControl/>
        <w:jc w:val="center"/>
        <w:outlineLvl w:val="0"/>
        <w:rPr>
          <w:b/>
          <w:bCs/>
          <w:color w:val="auto"/>
          <w:sz w:val="28"/>
          <w:highlight w:val="none"/>
        </w:rPr>
      </w:pPr>
      <w:bookmarkStart w:id="767" w:name="_Toc4801"/>
      <w:r>
        <w:rPr>
          <w:rFonts w:hint="eastAsia"/>
          <w:b/>
          <w:bCs/>
          <w:color w:val="auto"/>
          <w:sz w:val="28"/>
          <w:highlight w:val="none"/>
        </w:rPr>
        <w:t>第</w:t>
      </w:r>
      <w:r>
        <w:rPr>
          <w:rFonts w:hint="eastAsia"/>
          <w:b/>
          <w:bCs/>
          <w:color w:val="auto"/>
          <w:sz w:val="28"/>
          <w:highlight w:val="none"/>
          <w:lang w:val="en-US" w:eastAsia="zh-CN"/>
        </w:rPr>
        <w:t>七</w:t>
      </w:r>
      <w:r>
        <w:rPr>
          <w:rFonts w:hint="eastAsia"/>
          <w:b/>
          <w:bCs/>
          <w:color w:val="auto"/>
          <w:sz w:val="28"/>
          <w:highlight w:val="none"/>
        </w:rPr>
        <w:t>章  政府采购</w:t>
      </w:r>
      <w:r>
        <w:rPr>
          <w:rFonts w:hint="eastAsia" w:asciiTheme="minorEastAsia" w:hAnsiTheme="minorEastAsia" w:eastAsiaTheme="minorEastAsia"/>
          <w:b/>
          <w:color w:val="auto"/>
          <w:sz w:val="28"/>
          <w:highlight w:val="none"/>
        </w:rPr>
        <w:t>供应</w:t>
      </w:r>
      <w:r>
        <w:rPr>
          <w:rFonts w:hint="eastAsia"/>
          <w:b/>
          <w:bCs/>
          <w:color w:val="auto"/>
          <w:sz w:val="28"/>
          <w:highlight w:val="none"/>
        </w:rPr>
        <w:t>商询问函和质疑函范本</w:t>
      </w:r>
      <w:bookmarkEnd w:id="767"/>
    </w:p>
    <w:p w14:paraId="1FBF3105">
      <w:pPr>
        <w:spacing w:line="360" w:lineRule="auto"/>
        <w:jc w:val="center"/>
        <w:outlineLvl w:val="1"/>
        <w:rPr>
          <w:rFonts w:ascii="仿宋" w:hAnsi="仿宋" w:eastAsia="仿宋" w:cs="仿宋"/>
          <w:b/>
          <w:bCs/>
          <w:color w:val="auto"/>
          <w:sz w:val="32"/>
          <w:szCs w:val="44"/>
          <w:highlight w:val="none"/>
        </w:rPr>
      </w:pPr>
      <w:bookmarkStart w:id="768" w:name="_Toc8444"/>
      <w:bookmarkStart w:id="769" w:name="_Toc2290"/>
      <w:bookmarkStart w:id="770" w:name="_Toc26448"/>
      <w:r>
        <w:rPr>
          <w:rFonts w:hint="eastAsia" w:ascii="仿宋" w:hAnsi="仿宋" w:eastAsia="仿宋" w:cs="仿宋"/>
          <w:b/>
          <w:bCs/>
          <w:color w:val="auto"/>
          <w:sz w:val="32"/>
          <w:szCs w:val="44"/>
          <w:highlight w:val="none"/>
        </w:rPr>
        <w:t>询问函范本</w:t>
      </w:r>
      <w:bookmarkEnd w:id="768"/>
      <w:bookmarkEnd w:id="769"/>
      <w:bookmarkEnd w:id="770"/>
    </w:p>
    <w:p w14:paraId="1F91AD25">
      <w:pPr>
        <w:adjustRightInd w:val="0"/>
        <w:snapToGrid w:val="0"/>
        <w:spacing w:line="360" w:lineRule="auto"/>
        <w:ind w:firstLine="480" w:firstLineChars="200"/>
        <w:jc w:val="center"/>
        <w:rPr>
          <w:rFonts w:ascii="仿宋" w:hAnsi="仿宋" w:eastAsia="仿宋" w:cs="仿宋"/>
          <w:b/>
          <w:bCs/>
          <w:color w:val="auto"/>
          <w:sz w:val="32"/>
          <w:szCs w:val="44"/>
          <w:highlight w:val="none"/>
        </w:rPr>
      </w:pPr>
      <w:r>
        <w:rPr>
          <w:rFonts w:hint="eastAsia" w:cs="仿宋" w:asciiTheme="minorEastAsia" w:hAnsiTheme="minorEastAsia" w:eastAsiaTheme="minorEastAsia"/>
          <w:i/>
          <w:iCs/>
          <w:color w:val="auto"/>
          <w:sz w:val="24"/>
          <w:szCs w:val="24"/>
          <w:highlight w:val="none"/>
        </w:rPr>
        <w:t>（如为对采购文件或采购程序的询问或疑问，请按询问函范本或格式附件进行提交）</w:t>
      </w:r>
    </w:p>
    <w:p w14:paraId="3CAFF6CA">
      <w:pPr>
        <w:adjustRightInd w:val="0"/>
        <w:snapToGrid w:val="0"/>
        <w:spacing w:line="360" w:lineRule="auto"/>
        <w:rPr>
          <w:rFonts w:hint="eastAsia" w:cs="仿宋" w:asciiTheme="minorEastAsia" w:hAnsiTheme="minorEastAsia" w:eastAsiaTheme="minorEastAsia"/>
          <w:color w:val="auto"/>
          <w:sz w:val="24"/>
          <w:szCs w:val="24"/>
          <w:lang w:eastAsia="zh-CN"/>
        </w:rPr>
      </w:pPr>
      <w:r>
        <w:rPr>
          <w:rFonts w:hint="eastAsia" w:cs="仿宋" w:asciiTheme="minorEastAsia" w:hAnsiTheme="minorEastAsia" w:eastAsiaTheme="minorEastAsia"/>
          <w:color w:val="auto"/>
          <w:sz w:val="24"/>
          <w:szCs w:val="24"/>
          <w:highlight w:val="none"/>
          <w:lang w:val="en-US" w:eastAsia="zh-CN"/>
        </w:rPr>
        <w:t>致：</w:t>
      </w:r>
      <w:r>
        <w:rPr>
          <w:rFonts w:hint="eastAsia" w:cs="仿宋" w:asciiTheme="minorEastAsia" w:hAnsiTheme="minorEastAsia" w:eastAsiaTheme="minorEastAsia"/>
          <w:color w:val="auto"/>
          <w:sz w:val="24"/>
          <w:szCs w:val="24"/>
          <w:highlight w:val="none"/>
          <w:lang w:eastAsia="zh-CN"/>
        </w:rPr>
        <w:t>采购人</w:t>
      </w:r>
    </w:p>
    <w:p w14:paraId="642B2427">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rPr>
        <w:t>我单位拟参与</w:t>
      </w:r>
      <w:r>
        <w:rPr>
          <w:rFonts w:hint="eastAsia" w:cs="仿宋" w:asciiTheme="minorEastAsia" w:hAnsiTheme="minorEastAsia" w:eastAsiaTheme="minorEastAsia"/>
          <w:color w:val="auto"/>
          <w:sz w:val="24"/>
          <w:szCs w:val="24"/>
          <w:u w:val="single"/>
          <w:lang w:val="en-US" w:eastAsia="zh-CN"/>
        </w:rPr>
        <w:t xml:space="preserve">           </w:t>
      </w:r>
      <w:r>
        <w:rPr>
          <w:rFonts w:hint="eastAsia" w:cs="仿宋" w:asciiTheme="minorEastAsia" w:hAnsiTheme="minorEastAsia" w:eastAsiaTheme="minorEastAsia"/>
          <w:color w:val="auto"/>
          <w:sz w:val="24"/>
          <w:szCs w:val="24"/>
          <w:u w:val="none"/>
          <w:lang w:val="en-US" w:eastAsia="zh-CN"/>
        </w:rPr>
        <w:t>（</w:t>
      </w:r>
      <w:r>
        <w:rPr>
          <w:rFonts w:hint="eastAsia" w:cs="仿宋" w:asciiTheme="minorEastAsia" w:hAnsiTheme="minorEastAsia" w:eastAsiaTheme="minorEastAsia"/>
          <w:i/>
          <w:iCs/>
          <w:color w:val="auto"/>
          <w:sz w:val="24"/>
          <w:szCs w:val="24"/>
          <w:u w:val="none"/>
          <w:lang w:val="en-US" w:eastAsia="zh-CN"/>
        </w:rPr>
        <w:t>项目名称、编号</w:t>
      </w:r>
      <w:r>
        <w:rPr>
          <w:rFonts w:hint="eastAsia" w:cs="仿宋" w:asciiTheme="minorEastAsia" w:hAnsiTheme="minorEastAsia" w:eastAsiaTheme="minorEastAsia"/>
          <w:color w:val="auto"/>
          <w:sz w:val="24"/>
          <w:szCs w:val="24"/>
          <w:u w:val="none"/>
          <w:lang w:val="en-US" w:eastAsia="zh-CN"/>
        </w:rPr>
        <w:t>）</w:t>
      </w:r>
      <w:r>
        <w:rPr>
          <w:rFonts w:hint="eastAsia" w:cs="仿宋" w:asciiTheme="minorEastAsia" w:hAnsiTheme="minorEastAsia" w:eastAsiaTheme="minorEastAsia"/>
          <w:color w:val="auto"/>
          <w:sz w:val="24"/>
          <w:szCs w:val="24"/>
        </w:rPr>
        <w:t>的采购活动，现有以下内容(或条款)存在疑问(或无法理解)，</w:t>
      </w:r>
      <w:r>
        <w:rPr>
          <w:rFonts w:hint="eastAsia" w:cs="仿宋" w:asciiTheme="minorEastAsia" w:hAnsiTheme="minorEastAsia" w:eastAsiaTheme="minorEastAsia"/>
          <w:color w:val="auto"/>
          <w:sz w:val="24"/>
          <w:szCs w:val="24"/>
          <w:highlight w:val="none"/>
        </w:rPr>
        <w:t>特提出询问。</w:t>
      </w:r>
    </w:p>
    <w:p w14:paraId="3A0058D2">
      <w:pPr>
        <w:adjustRightInd w:val="0"/>
        <w:snapToGrid w:val="0"/>
        <w:spacing w:line="360" w:lineRule="auto"/>
        <w:ind w:firstLine="480" w:firstLineChars="200"/>
        <w:outlineLvl w:val="1"/>
        <w:rPr>
          <w:rFonts w:cs="仿宋" w:asciiTheme="minorEastAsia" w:hAnsiTheme="minorEastAsia" w:eastAsiaTheme="minorEastAsia"/>
          <w:color w:val="auto"/>
          <w:sz w:val="24"/>
          <w:szCs w:val="24"/>
          <w:highlight w:val="none"/>
        </w:rPr>
      </w:pPr>
      <w:bookmarkStart w:id="771" w:name="_Toc14234"/>
      <w:bookmarkStart w:id="772" w:name="_Toc12947"/>
      <w:bookmarkStart w:id="773" w:name="_Toc32070"/>
      <w:r>
        <w:rPr>
          <w:rFonts w:hint="eastAsia" w:cs="仿宋" w:asciiTheme="minorEastAsia" w:hAnsiTheme="minorEastAsia" w:eastAsiaTheme="minorEastAsia"/>
          <w:color w:val="auto"/>
          <w:sz w:val="24"/>
          <w:szCs w:val="24"/>
          <w:highlight w:val="none"/>
        </w:rPr>
        <w:t>一、(事项一)</w:t>
      </w:r>
      <w:bookmarkEnd w:id="771"/>
      <w:bookmarkEnd w:id="772"/>
      <w:bookmarkEnd w:id="773"/>
    </w:p>
    <w:p w14:paraId="3A77389D">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1、(内容或条款)</w:t>
      </w:r>
    </w:p>
    <w:p w14:paraId="7E557A4A">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2、(说明疑问或无法理解原因)</w:t>
      </w:r>
    </w:p>
    <w:p w14:paraId="295FBCFE">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3、(建议)</w:t>
      </w:r>
    </w:p>
    <w:p w14:paraId="70DBBA2F">
      <w:pPr>
        <w:adjustRightInd w:val="0"/>
        <w:snapToGrid w:val="0"/>
        <w:spacing w:line="360" w:lineRule="auto"/>
        <w:ind w:firstLine="480" w:firstLineChars="200"/>
        <w:outlineLvl w:val="1"/>
        <w:rPr>
          <w:rFonts w:cs="仿宋" w:asciiTheme="minorEastAsia" w:hAnsiTheme="minorEastAsia" w:eastAsiaTheme="minorEastAsia"/>
          <w:color w:val="auto"/>
          <w:sz w:val="24"/>
          <w:szCs w:val="24"/>
          <w:highlight w:val="none"/>
        </w:rPr>
      </w:pPr>
      <w:bookmarkStart w:id="774" w:name="_Toc16507"/>
      <w:bookmarkStart w:id="775" w:name="_Toc6489"/>
      <w:bookmarkStart w:id="776" w:name="_Toc10794"/>
      <w:r>
        <w:rPr>
          <w:rFonts w:hint="eastAsia" w:cs="仿宋" w:asciiTheme="minorEastAsia" w:hAnsiTheme="minorEastAsia" w:eastAsiaTheme="minorEastAsia"/>
          <w:color w:val="auto"/>
          <w:sz w:val="24"/>
          <w:szCs w:val="24"/>
          <w:highlight w:val="none"/>
        </w:rPr>
        <w:t>二、(事项二)</w:t>
      </w:r>
      <w:bookmarkEnd w:id="774"/>
      <w:bookmarkEnd w:id="775"/>
      <w:bookmarkEnd w:id="776"/>
    </w:p>
    <w:p w14:paraId="6B8DBB49">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w:t>
      </w:r>
    </w:p>
    <w:p w14:paraId="2014A16F">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 xml:space="preserve">随附相关证明材料如下： </w:t>
      </w:r>
    </w:p>
    <w:p w14:paraId="5041FEFB">
      <w:pPr>
        <w:spacing w:line="360" w:lineRule="auto"/>
        <w:ind w:firstLine="4228" w:firstLineChars="1762"/>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联 系 人：</w:t>
      </w:r>
      <w:r>
        <w:rPr>
          <w:rFonts w:hint="eastAsia" w:asciiTheme="minorEastAsia" w:hAnsiTheme="minorEastAsia" w:eastAsiaTheme="minorEastAsia"/>
          <w:color w:val="auto"/>
          <w:sz w:val="24"/>
          <w:highlight w:val="none"/>
          <w:u w:val="single"/>
        </w:rPr>
        <w:t xml:space="preserve">              </w:t>
      </w:r>
    </w:p>
    <w:p w14:paraId="7CF39444">
      <w:pPr>
        <w:spacing w:line="360" w:lineRule="auto"/>
        <w:ind w:firstLine="4228" w:firstLineChars="1762"/>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联系电话：</w:t>
      </w:r>
      <w:r>
        <w:rPr>
          <w:rFonts w:hint="eastAsia" w:asciiTheme="minorEastAsia" w:hAnsiTheme="minorEastAsia" w:eastAsiaTheme="minorEastAsia"/>
          <w:color w:val="auto"/>
          <w:sz w:val="24"/>
          <w:highlight w:val="none"/>
          <w:u w:val="single"/>
        </w:rPr>
        <w:t xml:space="preserve">              </w:t>
      </w:r>
    </w:p>
    <w:p w14:paraId="3D48B0BB">
      <w:pPr>
        <w:tabs>
          <w:tab w:val="left" w:pos="630"/>
        </w:tabs>
        <w:spacing w:line="360" w:lineRule="auto"/>
        <w:ind w:firstLine="4228" w:firstLineChars="1762"/>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日    期：</w:t>
      </w:r>
      <w:r>
        <w:rPr>
          <w:rFonts w:hint="eastAsia" w:asciiTheme="minorEastAsia" w:hAnsiTheme="minorEastAsia" w:eastAsiaTheme="minorEastAsia"/>
          <w:color w:val="auto"/>
          <w:sz w:val="24"/>
          <w:highlight w:val="none"/>
          <w:u w:val="single"/>
        </w:rPr>
        <w:t xml:space="preserve">       </w:t>
      </w:r>
      <w:r>
        <w:rPr>
          <w:rFonts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u w:val="single"/>
        </w:rPr>
        <w:t xml:space="preserve">    </w:t>
      </w:r>
    </w:p>
    <w:p w14:paraId="406DACE6">
      <w:pPr>
        <w:rPr>
          <w:rFonts w:asciiTheme="minorEastAsia" w:hAnsiTheme="minorEastAsia" w:eastAsiaTheme="minorEastAsia"/>
          <w:b/>
          <w:color w:val="auto"/>
          <w:sz w:val="52"/>
          <w:highlight w:val="none"/>
        </w:rPr>
      </w:pPr>
      <w:r>
        <w:rPr>
          <w:rFonts w:hint="eastAsia" w:ascii="仿宋" w:hAnsi="仿宋" w:eastAsia="仿宋" w:cs="仿宋"/>
          <w:b/>
          <w:bCs/>
          <w:color w:val="auto"/>
          <w:sz w:val="32"/>
          <w:szCs w:val="44"/>
          <w:highlight w:val="none"/>
        </w:rPr>
        <w:br w:type="page"/>
      </w:r>
    </w:p>
    <w:p w14:paraId="1C5958D7">
      <w:pPr>
        <w:jc w:val="center"/>
        <w:outlineLvl w:val="1"/>
        <w:rPr>
          <w:rFonts w:ascii="仿宋" w:hAnsi="仿宋" w:eastAsia="仿宋" w:cs="仿宋"/>
          <w:b/>
          <w:bCs/>
          <w:color w:val="auto"/>
          <w:sz w:val="32"/>
          <w:szCs w:val="44"/>
          <w:highlight w:val="none"/>
        </w:rPr>
      </w:pPr>
      <w:bookmarkStart w:id="777" w:name="_Toc23233"/>
      <w:bookmarkStart w:id="778" w:name="_Toc26224"/>
      <w:bookmarkStart w:id="779" w:name="_Toc4923"/>
      <w:r>
        <w:rPr>
          <w:rFonts w:hint="eastAsia" w:ascii="仿宋" w:hAnsi="仿宋" w:eastAsia="仿宋" w:cs="仿宋"/>
          <w:b/>
          <w:bCs/>
          <w:color w:val="auto"/>
          <w:sz w:val="32"/>
          <w:szCs w:val="44"/>
          <w:highlight w:val="none"/>
        </w:rPr>
        <w:t>质疑函范本</w:t>
      </w:r>
      <w:bookmarkEnd w:id="777"/>
      <w:bookmarkEnd w:id="778"/>
      <w:bookmarkEnd w:id="779"/>
    </w:p>
    <w:p w14:paraId="230ABBD0">
      <w:pPr>
        <w:adjustRightInd w:val="0"/>
        <w:snapToGrid w:val="0"/>
        <w:spacing w:before="312" w:beforeLines="100" w:line="360" w:lineRule="auto"/>
        <w:outlineLvl w:val="1"/>
        <w:rPr>
          <w:rFonts w:cs="仿宋" w:asciiTheme="minorEastAsia" w:hAnsiTheme="minorEastAsia" w:eastAsiaTheme="minorEastAsia"/>
          <w:b/>
          <w:bCs/>
          <w:color w:val="auto"/>
          <w:sz w:val="24"/>
          <w:szCs w:val="24"/>
          <w:highlight w:val="none"/>
        </w:rPr>
      </w:pPr>
      <w:bookmarkStart w:id="780" w:name="_Toc10663"/>
      <w:bookmarkStart w:id="781" w:name="_Toc28057"/>
      <w:bookmarkStart w:id="782" w:name="_Toc3847"/>
      <w:r>
        <w:rPr>
          <w:rFonts w:hint="eastAsia" w:cs="仿宋" w:asciiTheme="minorEastAsia" w:hAnsiTheme="minorEastAsia" w:eastAsiaTheme="minorEastAsia"/>
          <w:b/>
          <w:bCs/>
          <w:color w:val="auto"/>
          <w:sz w:val="24"/>
          <w:szCs w:val="24"/>
          <w:highlight w:val="none"/>
        </w:rPr>
        <w:t>一、质疑供应商基本信息</w:t>
      </w:r>
      <w:bookmarkEnd w:id="780"/>
      <w:bookmarkEnd w:id="781"/>
      <w:bookmarkEnd w:id="782"/>
    </w:p>
    <w:p w14:paraId="443AD467">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质疑供应商：</w:t>
      </w:r>
      <w:r>
        <w:rPr>
          <w:rFonts w:hint="eastAsia" w:cs="仿宋" w:asciiTheme="minorEastAsia" w:hAnsiTheme="minorEastAsia" w:eastAsiaTheme="minorEastAsia"/>
          <w:color w:val="auto"/>
          <w:sz w:val="24"/>
          <w:szCs w:val="24"/>
          <w:highlight w:val="none"/>
          <w:u w:val="dotted"/>
        </w:rPr>
        <w:t xml:space="preserve">                                        </w:t>
      </w:r>
    </w:p>
    <w:p w14:paraId="4C33D135">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地址：</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邮编：</w:t>
      </w:r>
      <w:r>
        <w:rPr>
          <w:rFonts w:hint="eastAsia" w:cs="仿宋" w:asciiTheme="minorEastAsia" w:hAnsiTheme="minorEastAsia" w:eastAsiaTheme="minorEastAsia"/>
          <w:color w:val="auto"/>
          <w:sz w:val="24"/>
          <w:szCs w:val="24"/>
          <w:highlight w:val="none"/>
          <w:u w:val="dotted"/>
        </w:rPr>
        <w:t xml:space="preserve">              </w:t>
      </w:r>
    </w:p>
    <w:p w14:paraId="238A5C7E">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联系人：</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联系电话：</w:t>
      </w:r>
      <w:r>
        <w:rPr>
          <w:rFonts w:hint="eastAsia" w:cs="仿宋" w:asciiTheme="minorEastAsia" w:hAnsiTheme="minorEastAsia" w:eastAsiaTheme="minorEastAsia"/>
          <w:color w:val="auto"/>
          <w:sz w:val="24"/>
          <w:szCs w:val="24"/>
          <w:highlight w:val="none"/>
          <w:u w:val="dotted"/>
        </w:rPr>
        <w:t xml:space="preserve">            </w:t>
      </w:r>
    </w:p>
    <w:p w14:paraId="1BA190D4">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授权代表：</w:t>
      </w:r>
      <w:r>
        <w:rPr>
          <w:rFonts w:hint="eastAsia" w:cs="仿宋" w:asciiTheme="minorEastAsia" w:hAnsiTheme="minorEastAsia" w:eastAsiaTheme="minorEastAsia"/>
          <w:color w:val="auto"/>
          <w:sz w:val="24"/>
          <w:szCs w:val="24"/>
          <w:highlight w:val="none"/>
          <w:u w:val="dotted"/>
        </w:rPr>
        <w:t xml:space="preserve">                                          </w:t>
      </w:r>
    </w:p>
    <w:p w14:paraId="65506973">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联系电话：</w:t>
      </w:r>
      <w:r>
        <w:rPr>
          <w:rFonts w:hint="eastAsia" w:cs="仿宋" w:asciiTheme="minorEastAsia" w:hAnsiTheme="minorEastAsia" w:eastAsiaTheme="minorEastAsia"/>
          <w:color w:val="auto"/>
          <w:sz w:val="24"/>
          <w:szCs w:val="24"/>
          <w:highlight w:val="none"/>
          <w:u w:val="dotted"/>
        </w:rPr>
        <w:t xml:space="preserve">                                          </w:t>
      </w:r>
    </w:p>
    <w:p w14:paraId="65ED69A3">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地址：</w:t>
      </w:r>
      <w:r>
        <w:rPr>
          <w:rFonts w:cs="仿宋" w:asciiTheme="minorEastAsia" w:hAnsiTheme="minorEastAsia" w:eastAsiaTheme="minorEastAsia"/>
          <w:color w:val="auto"/>
          <w:sz w:val="24"/>
          <w:szCs w:val="24"/>
          <w:highlight w:val="none"/>
        </w:rPr>
        <w:t xml:space="preserve"> </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邮编：</w:t>
      </w:r>
      <w:r>
        <w:rPr>
          <w:rFonts w:hint="eastAsia" w:cs="仿宋" w:asciiTheme="minorEastAsia" w:hAnsiTheme="minorEastAsia" w:eastAsiaTheme="minorEastAsia"/>
          <w:color w:val="auto"/>
          <w:sz w:val="24"/>
          <w:szCs w:val="24"/>
          <w:highlight w:val="none"/>
          <w:u w:val="dotted"/>
        </w:rPr>
        <w:t xml:space="preserve">               </w:t>
      </w:r>
    </w:p>
    <w:p w14:paraId="4464F773">
      <w:pPr>
        <w:adjustRightInd w:val="0"/>
        <w:snapToGrid w:val="0"/>
        <w:spacing w:line="360" w:lineRule="auto"/>
        <w:outlineLvl w:val="1"/>
        <w:rPr>
          <w:rFonts w:cs="仿宋" w:asciiTheme="minorEastAsia" w:hAnsiTheme="minorEastAsia" w:eastAsiaTheme="minorEastAsia"/>
          <w:b/>
          <w:bCs/>
          <w:color w:val="auto"/>
          <w:sz w:val="24"/>
          <w:szCs w:val="24"/>
          <w:highlight w:val="none"/>
        </w:rPr>
      </w:pPr>
      <w:bookmarkStart w:id="783" w:name="_Toc18212"/>
      <w:bookmarkStart w:id="784" w:name="_Toc30012"/>
      <w:bookmarkStart w:id="785" w:name="_Toc19182"/>
      <w:r>
        <w:rPr>
          <w:rFonts w:hint="eastAsia" w:cs="仿宋" w:asciiTheme="minorEastAsia" w:hAnsiTheme="minorEastAsia" w:eastAsiaTheme="minorEastAsia"/>
          <w:b/>
          <w:bCs/>
          <w:color w:val="auto"/>
          <w:sz w:val="24"/>
          <w:szCs w:val="24"/>
          <w:highlight w:val="none"/>
        </w:rPr>
        <w:t>二、质疑项目基本情况</w:t>
      </w:r>
      <w:bookmarkEnd w:id="783"/>
      <w:bookmarkEnd w:id="784"/>
      <w:bookmarkEnd w:id="785"/>
    </w:p>
    <w:p w14:paraId="49CE2B9F">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质疑项目的名称：</w:t>
      </w:r>
      <w:r>
        <w:rPr>
          <w:rFonts w:hint="eastAsia" w:cs="仿宋" w:asciiTheme="minorEastAsia" w:hAnsiTheme="minorEastAsia" w:eastAsiaTheme="minorEastAsia"/>
          <w:color w:val="auto"/>
          <w:sz w:val="24"/>
          <w:szCs w:val="24"/>
          <w:highlight w:val="none"/>
          <w:u w:val="dotted"/>
        </w:rPr>
        <w:t xml:space="preserve">                                    </w:t>
      </w:r>
    </w:p>
    <w:p w14:paraId="382B672D">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质疑项目的编号：</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包号：</w:t>
      </w:r>
      <w:r>
        <w:rPr>
          <w:rFonts w:hint="eastAsia" w:cs="仿宋" w:asciiTheme="minorEastAsia" w:hAnsiTheme="minorEastAsia" w:eastAsiaTheme="minorEastAsia"/>
          <w:color w:val="auto"/>
          <w:sz w:val="24"/>
          <w:szCs w:val="24"/>
          <w:highlight w:val="none"/>
          <w:u w:val="dotted"/>
        </w:rPr>
        <w:t xml:space="preserve">               </w:t>
      </w:r>
    </w:p>
    <w:p w14:paraId="2E92E730">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采购人名称：</w:t>
      </w:r>
      <w:r>
        <w:rPr>
          <w:rFonts w:hint="eastAsia" w:cs="仿宋" w:asciiTheme="minorEastAsia" w:hAnsiTheme="minorEastAsia" w:eastAsiaTheme="minorEastAsia"/>
          <w:color w:val="auto"/>
          <w:sz w:val="24"/>
          <w:szCs w:val="24"/>
          <w:highlight w:val="none"/>
          <w:u w:val="dotted"/>
        </w:rPr>
        <w:t xml:space="preserve">                                        </w:t>
      </w:r>
    </w:p>
    <w:p w14:paraId="3346FBBF">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采购文件获取日期：</w:t>
      </w:r>
      <w:r>
        <w:rPr>
          <w:rFonts w:hint="eastAsia" w:cs="仿宋" w:asciiTheme="minorEastAsia" w:hAnsiTheme="minorEastAsia" w:eastAsiaTheme="minorEastAsia"/>
          <w:color w:val="auto"/>
          <w:sz w:val="24"/>
          <w:szCs w:val="24"/>
          <w:highlight w:val="none"/>
          <w:u w:val="dotted"/>
        </w:rPr>
        <w:t xml:space="preserve">                                  </w:t>
      </w:r>
    </w:p>
    <w:p w14:paraId="31EAB6ED">
      <w:pPr>
        <w:adjustRightInd w:val="0"/>
        <w:snapToGrid w:val="0"/>
        <w:spacing w:line="360" w:lineRule="auto"/>
        <w:outlineLvl w:val="1"/>
        <w:rPr>
          <w:rFonts w:cs="仿宋" w:asciiTheme="minorEastAsia" w:hAnsiTheme="minorEastAsia" w:eastAsiaTheme="minorEastAsia"/>
          <w:b/>
          <w:bCs/>
          <w:color w:val="auto"/>
          <w:sz w:val="24"/>
          <w:szCs w:val="24"/>
          <w:highlight w:val="none"/>
        </w:rPr>
      </w:pPr>
      <w:bookmarkStart w:id="786" w:name="_Toc17533"/>
      <w:bookmarkStart w:id="787" w:name="_Toc21700"/>
      <w:bookmarkStart w:id="788" w:name="_Toc9989"/>
      <w:r>
        <w:rPr>
          <w:rFonts w:hint="eastAsia" w:cs="仿宋" w:asciiTheme="minorEastAsia" w:hAnsiTheme="minorEastAsia" w:eastAsiaTheme="minorEastAsia"/>
          <w:b/>
          <w:bCs/>
          <w:color w:val="auto"/>
          <w:sz w:val="24"/>
          <w:szCs w:val="24"/>
          <w:highlight w:val="none"/>
        </w:rPr>
        <w:t>三、质疑事项具体内容</w:t>
      </w:r>
      <w:bookmarkEnd w:id="786"/>
      <w:bookmarkEnd w:id="787"/>
      <w:bookmarkEnd w:id="788"/>
    </w:p>
    <w:p w14:paraId="2BEAEC14">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质疑事项1：</w:t>
      </w:r>
      <w:r>
        <w:rPr>
          <w:rFonts w:hint="eastAsia" w:cs="仿宋" w:asciiTheme="minorEastAsia" w:hAnsiTheme="minorEastAsia" w:eastAsiaTheme="minorEastAsia"/>
          <w:color w:val="auto"/>
          <w:sz w:val="24"/>
          <w:szCs w:val="24"/>
          <w:highlight w:val="none"/>
          <w:u w:val="dotted"/>
        </w:rPr>
        <w:t xml:space="preserve">                                         </w:t>
      </w:r>
    </w:p>
    <w:p w14:paraId="11C89822">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事实依据：</w:t>
      </w:r>
      <w:r>
        <w:rPr>
          <w:rFonts w:hint="eastAsia" w:cs="仿宋" w:asciiTheme="minorEastAsia" w:hAnsiTheme="minorEastAsia" w:eastAsiaTheme="minorEastAsia"/>
          <w:color w:val="auto"/>
          <w:sz w:val="24"/>
          <w:szCs w:val="24"/>
          <w:highlight w:val="none"/>
          <w:u w:val="dotted"/>
        </w:rPr>
        <w:t xml:space="preserve">                                          </w:t>
      </w:r>
    </w:p>
    <w:p w14:paraId="0DEC0346">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u w:val="dotted"/>
        </w:rPr>
        <w:t xml:space="preserve">                                                    </w:t>
      </w:r>
    </w:p>
    <w:p w14:paraId="6D354689">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法律依据：</w:t>
      </w:r>
      <w:r>
        <w:rPr>
          <w:rFonts w:hint="eastAsia" w:cs="仿宋" w:asciiTheme="minorEastAsia" w:hAnsiTheme="minorEastAsia" w:eastAsiaTheme="minorEastAsia"/>
          <w:color w:val="auto"/>
          <w:sz w:val="24"/>
          <w:szCs w:val="24"/>
          <w:highlight w:val="none"/>
          <w:u w:val="dotted"/>
        </w:rPr>
        <w:t xml:space="preserve">                                          </w:t>
      </w:r>
    </w:p>
    <w:p w14:paraId="1EB23627">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u w:val="dotted"/>
        </w:rPr>
        <w:t xml:space="preserve">                                                    </w:t>
      </w:r>
    </w:p>
    <w:p w14:paraId="70B6158B">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质疑事项2</w:t>
      </w:r>
    </w:p>
    <w:p w14:paraId="07A57D25">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w:t>
      </w:r>
    </w:p>
    <w:p w14:paraId="190186FB">
      <w:pPr>
        <w:adjustRightInd w:val="0"/>
        <w:snapToGrid w:val="0"/>
        <w:spacing w:line="360" w:lineRule="auto"/>
        <w:outlineLvl w:val="1"/>
        <w:rPr>
          <w:rFonts w:cs="仿宋" w:asciiTheme="minorEastAsia" w:hAnsiTheme="minorEastAsia" w:eastAsiaTheme="minorEastAsia"/>
          <w:b/>
          <w:bCs/>
          <w:color w:val="auto"/>
          <w:sz w:val="24"/>
          <w:szCs w:val="24"/>
          <w:highlight w:val="none"/>
        </w:rPr>
      </w:pPr>
      <w:bookmarkStart w:id="789" w:name="_Toc19016"/>
      <w:bookmarkStart w:id="790" w:name="_Toc10625"/>
      <w:bookmarkStart w:id="791" w:name="_Toc11766"/>
      <w:r>
        <w:rPr>
          <w:rFonts w:hint="eastAsia" w:cs="仿宋" w:asciiTheme="minorEastAsia" w:hAnsiTheme="minorEastAsia" w:eastAsiaTheme="minorEastAsia"/>
          <w:b/>
          <w:bCs/>
          <w:color w:val="auto"/>
          <w:sz w:val="24"/>
          <w:szCs w:val="24"/>
          <w:highlight w:val="none"/>
        </w:rPr>
        <w:t>四、与质疑事项相关的质疑请求</w:t>
      </w:r>
      <w:bookmarkEnd w:id="789"/>
      <w:bookmarkEnd w:id="790"/>
      <w:bookmarkEnd w:id="791"/>
    </w:p>
    <w:p w14:paraId="6EDCB528">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请求：</w:t>
      </w:r>
      <w:r>
        <w:rPr>
          <w:rFonts w:hint="eastAsia" w:cs="仿宋" w:asciiTheme="minorEastAsia" w:hAnsiTheme="minorEastAsia" w:eastAsiaTheme="minorEastAsia"/>
          <w:color w:val="auto"/>
          <w:sz w:val="24"/>
          <w:szCs w:val="24"/>
          <w:highlight w:val="none"/>
          <w:u w:val="dotted"/>
        </w:rPr>
        <w:t xml:space="preserve">                                              </w:t>
      </w:r>
    </w:p>
    <w:p w14:paraId="7527C1B9">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 xml:space="preserve">签字(签章)：                   公章：                      </w:t>
      </w:r>
    </w:p>
    <w:p w14:paraId="3C29E892">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 xml:space="preserve">日期：    </w:t>
      </w:r>
    </w:p>
    <w:p w14:paraId="7F2CECAD">
      <w:pPr>
        <w:widowControl/>
        <w:jc w:val="left"/>
        <w:rPr>
          <w:rFonts w:ascii="仿宋" w:hAnsi="仿宋" w:eastAsia="仿宋" w:cs="仿宋"/>
          <w:color w:val="auto"/>
          <w:sz w:val="32"/>
          <w:szCs w:val="32"/>
          <w:highlight w:val="none"/>
        </w:rPr>
      </w:pPr>
      <w:r>
        <w:rPr>
          <w:rFonts w:ascii="仿宋" w:hAnsi="仿宋" w:eastAsia="仿宋" w:cs="仿宋"/>
          <w:color w:val="auto"/>
          <w:sz w:val="32"/>
          <w:szCs w:val="32"/>
          <w:highlight w:val="none"/>
        </w:rPr>
        <w:br w:type="page"/>
      </w:r>
    </w:p>
    <w:p w14:paraId="5450D124">
      <w:pPr>
        <w:outlineLvl w:val="0"/>
        <w:rPr>
          <w:rFonts w:asciiTheme="minorEastAsia" w:hAnsiTheme="minorEastAsia" w:eastAsiaTheme="minorEastAsia"/>
          <w:b/>
          <w:color w:val="auto"/>
          <w:sz w:val="28"/>
          <w:szCs w:val="32"/>
          <w:highlight w:val="none"/>
        </w:rPr>
      </w:pPr>
      <w:bookmarkStart w:id="792" w:name="_Toc17684"/>
      <w:bookmarkStart w:id="793" w:name="_Toc25274"/>
      <w:bookmarkStart w:id="794" w:name="_Toc3758"/>
      <w:r>
        <w:rPr>
          <w:rFonts w:hint="eastAsia" w:asciiTheme="minorEastAsia" w:hAnsiTheme="minorEastAsia" w:eastAsiaTheme="minorEastAsia"/>
          <w:b/>
          <w:color w:val="auto"/>
          <w:sz w:val="28"/>
          <w:szCs w:val="32"/>
          <w:highlight w:val="none"/>
        </w:rPr>
        <w:t>质疑函制作说明：</w:t>
      </w:r>
      <w:bookmarkEnd w:id="792"/>
      <w:bookmarkEnd w:id="793"/>
      <w:bookmarkEnd w:id="794"/>
    </w:p>
    <w:p w14:paraId="3CF9E598">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1.供应商提出质疑时，应提交质疑函和必要的证明材料。</w:t>
      </w:r>
    </w:p>
    <w:p w14:paraId="5CB34450">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24426780">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3.质疑供应商若对项目的某一分包进行质疑，质疑函中应列明具体分包号。</w:t>
      </w:r>
    </w:p>
    <w:p w14:paraId="2674DE77">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4.质疑函的质疑事项应具体、明确，并有必要的事实依据和法律依据。</w:t>
      </w:r>
    </w:p>
    <w:p w14:paraId="67B6D8B2">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5.质疑函的质疑请求应与质疑事项相关。</w:t>
      </w:r>
    </w:p>
    <w:p w14:paraId="58445E50">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6.质疑供应商为自然人的，质疑函应由本人签字；质疑供应商为法人或者其他组织的，质疑函应由法定代表人、主要负责人，或者其授权代表签字或者盖章，并加盖公章。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简标宋">
    <w:altName w:val="@宋体"/>
    <w:panose1 w:val="00000000000000000000"/>
    <w:charset w:val="86"/>
    <w:family w:val="auto"/>
    <w:pitch w:val="default"/>
    <w:sig w:usb0="00000000" w:usb1="00000000" w:usb2="00000010" w:usb3="00000000" w:csb0="00040000" w:csb1="00000000"/>
  </w:font>
  <w:font w:name="@宋体">
    <w:panose1 w:val="02010600030101010101"/>
    <w:charset w:val="86"/>
    <w:family w:val="auto"/>
    <w:pitch w:val="default"/>
    <w:sig w:usb0="00000203" w:usb1="288F0000" w:usb2="00000006" w:usb3="00000000" w:csb0="00040001" w:csb1="00000000"/>
  </w:font>
  <w:font w:name="MS Sans Serif">
    <w:altName w:val="Arial"/>
    <w:panose1 w:val="020B0500000000000000"/>
    <w:charset w:val="00"/>
    <w:family w:val="swiss"/>
    <w:pitch w:val="default"/>
    <w:sig w:usb0="00000000" w:usb1="00000000" w:usb2="00000000" w:usb3="00000000" w:csb0="00000001" w:csb1="00000000"/>
  </w:font>
  <w:font w:name="Consolas">
    <w:panose1 w:val="020B0609020204030204"/>
    <w:charset w:val="00"/>
    <w:family w:val="auto"/>
    <w:pitch w:val="default"/>
    <w:sig w:usb0="E00006FF" w:usb1="0000FCFF" w:usb2="00000001" w:usb3="00000000" w:csb0="6000019F" w:csb1="DFD7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创艺简黑体">
    <w:altName w:val="黑体"/>
    <w:panose1 w:val="00000000000000000000"/>
    <w:charset w:val="7A"/>
    <w:family w:val="auto"/>
    <w:pitch w:val="default"/>
    <w:sig w:usb0="00000000" w:usb1="00000000" w:usb2="00000010" w:usb3="00000000" w:csb0="0004000A"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418E2">
    <w:pPr>
      <w:pStyle w:val="3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21"/>
        <w:szCs w:val="21"/>
      </w:rPr>
      <w:id w:val="-1000811171"/>
    </w:sdtPr>
    <w:sdtEndPr>
      <w:rPr>
        <w:rFonts w:asciiTheme="minorEastAsia" w:hAnsiTheme="minorEastAsia" w:eastAsiaTheme="minorEastAsia"/>
        <w:sz w:val="21"/>
        <w:szCs w:val="21"/>
      </w:rPr>
    </w:sdtEndPr>
    <w:sdtContent>
      <w:sdt>
        <w:sdtPr>
          <w:rPr>
            <w:sz w:val="21"/>
            <w:szCs w:val="21"/>
          </w:rPr>
          <w:id w:val="-1669238322"/>
        </w:sdtPr>
        <w:sdtEndPr>
          <w:rPr>
            <w:rFonts w:asciiTheme="minorEastAsia" w:hAnsiTheme="minorEastAsia" w:eastAsiaTheme="minorEastAsia"/>
            <w:sz w:val="21"/>
            <w:szCs w:val="21"/>
          </w:rPr>
        </w:sdtEndPr>
        <w:sdtContent>
          <w:p w14:paraId="6D68628D">
            <w:pPr>
              <w:pStyle w:val="34"/>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第</w:t>
            </w:r>
            <w:r>
              <w:rPr>
                <w:rFonts w:asciiTheme="minorEastAsia" w:hAnsiTheme="minorEastAsia" w:eastAsiaTheme="minorEastAsia"/>
                <w:sz w:val="21"/>
                <w:szCs w:val="21"/>
                <w:lang w:val="zh-CN"/>
              </w:rPr>
              <w:t xml:space="preserve"> </w:t>
            </w:r>
            <w:r>
              <w:rPr>
                <w:rFonts w:asciiTheme="minorEastAsia" w:hAnsiTheme="minorEastAsia" w:eastAsiaTheme="minorEastAsia"/>
                <w:b/>
                <w:bCs/>
                <w:sz w:val="21"/>
                <w:szCs w:val="21"/>
              </w:rPr>
              <w:fldChar w:fldCharType="begin"/>
            </w:r>
            <w:r>
              <w:rPr>
                <w:rFonts w:asciiTheme="minorEastAsia" w:hAnsiTheme="minorEastAsia" w:eastAsiaTheme="minorEastAsia"/>
                <w:b/>
                <w:bCs/>
                <w:sz w:val="21"/>
                <w:szCs w:val="21"/>
              </w:rPr>
              <w:instrText xml:space="preserve">PAGE</w:instrText>
            </w:r>
            <w:r>
              <w:rPr>
                <w:rFonts w:asciiTheme="minorEastAsia" w:hAnsiTheme="minorEastAsia" w:eastAsiaTheme="minorEastAsia"/>
                <w:b/>
                <w:bCs/>
                <w:sz w:val="21"/>
                <w:szCs w:val="21"/>
              </w:rPr>
              <w:fldChar w:fldCharType="separate"/>
            </w:r>
            <w:r>
              <w:rPr>
                <w:rFonts w:asciiTheme="minorEastAsia" w:hAnsiTheme="minorEastAsia" w:eastAsiaTheme="minorEastAsia"/>
                <w:b/>
                <w:bCs/>
                <w:sz w:val="21"/>
                <w:szCs w:val="21"/>
              </w:rPr>
              <w:t>94</w:t>
            </w:r>
            <w:r>
              <w:rPr>
                <w:rFonts w:asciiTheme="minorEastAsia" w:hAnsiTheme="minorEastAsia" w:eastAsiaTheme="minorEastAsia"/>
                <w:b/>
                <w:bCs/>
                <w:sz w:val="21"/>
                <w:szCs w:val="21"/>
              </w:rPr>
              <w:fldChar w:fldCharType="end"/>
            </w:r>
            <w:r>
              <w:rPr>
                <w:rFonts w:hint="eastAsia" w:asciiTheme="minorEastAsia" w:hAnsiTheme="minorEastAsia" w:eastAsiaTheme="minorEastAsia"/>
                <w:bCs/>
                <w:sz w:val="21"/>
                <w:szCs w:val="21"/>
              </w:rPr>
              <w:t xml:space="preserve"> 页/共 </w:t>
            </w:r>
            <w:r>
              <w:rPr>
                <w:rFonts w:asciiTheme="minorEastAsia" w:hAnsiTheme="minorEastAsia" w:eastAsiaTheme="minorEastAsia"/>
                <w:b/>
                <w:bCs/>
                <w:sz w:val="21"/>
                <w:szCs w:val="21"/>
              </w:rPr>
              <w:fldChar w:fldCharType="begin"/>
            </w:r>
            <w:r>
              <w:rPr>
                <w:rFonts w:asciiTheme="minorEastAsia" w:hAnsiTheme="minorEastAsia" w:eastAsiaTheme="minorEastAsia"/>
                <w:b/>
                <w:bCs/>
                <w:sz w:val="21"/>
                <w:szCs w:val="21"/>
              </w:rPr>
              <w:instrText xml:space="preserve"> </w:instrText>
            </w:r>
            <w:r>
              <w:rPr>
                <w:rFonts w:hint="eastAsia" w:asciiTheme="minorEastAsia" w:hAnsiTheme="minorEastAsia" w:eastAsiaTheme="minorEastAsia"/>
                <w:b/>
                <w:bCs/>
                <w:sz w:val="21"/>
                <w:szCs w:val="21"/>
              </w:rPr>
              <w:instrText xml:space="preserve">=</w:instrText>
            </w:r>
            <w:r>
              <w:rPr>
                <w:rFonts w:asciiTheme="minorEastAsia" w:hAnsiTheme="minorEastAsia" w:eastAsiaTheme="minorEastAsia"/>
                <w:b/>
                <w:bCs/>
                <w:sz w:val="21"/>
                <w:szCs w:val="21"/>
              </w:rPr>
              <w:fldChar w:fldCharType="begin"/>
            </w:r>
            <w:r>
              <w:rPr>
                <w:rFonts w:asciiTheme="minorEastAsia" w:hAnsiTheme="minorEastAsia" w:eastAsiaTheme="minorEastAsia"/>
                <w:b/>
                <w:bCs/>
                <w:sz w:val="21"/>
                <w:szCs w:val="21"/>
              </w:rPr>
              <w:instrText xml:space="preserve">NUMPAGES</w:instrText>
            </w:r>
            <w:r>
              <w:rPr>
                <w:rFonts w:asciiTheme="minorEastAsia" w:hAnsiTheme="minorEastAsia" w:eastAsiaTheme="minorEastAsia"/>
                <w:b/>
                <w:bCs/>
                <w:sz w:val="21"/>
                <w:szCs w:val="21"/>
              </w:rPr>
              <w:fldChar w:fldCharType="separate"/>
            </w:r>
            <w:r>
              <w:rPr>
                <w:rFonts w:asciiTheme="minorEastAsia" w:hAnsiTheme="minorEastAsia" w:eastAsiaTheme="minorEastAsia"/>
                <w:b/>
                <w:bCs/>
                <w:sz w:val="21"/>
                <w:szCs w:val="21"/>
              </w:rPr>
              <w:instrText xml:space="preserve">106</w:instrText>
            </w:r>
            <w:r>
              <w:rPr>
                <w:rFonts w:asciiTheme="minorEastAsia" w:hAnsiTheme="minorEastAsia" w:eastAsiaTheme="minorEastAsia"/>
                <w:b/>
                <w:bCs/>
                <w:sz w:val="21"/>
                <w:szCs w:val="21"/>
              </w:rPr>
              <w:fldChar w:fldCharType="end"/>
            </w:r>
            <w:r>
              <w:rPr>
                <w:rFonts w:hint="eastAsia" w:asciiTheme="minorEastAsia" w:hAnsiTheme="minorEastAsia" w:eastAsiaTheme="minorEastAsia"/>
                <w:b/>
                <w:bCs/>
                <w:sz w:val="21"/>
                <w:szCs w:val="21"/>
              </w:rPr>
              <w:instrText xml:space="preserve">-2</w:instrText>
            </w:r>
            <w:r>
              <w:rPr>
                <w:rFonts w:asciiTheme="minorEastAsia" w:hAnsiTheme="minorEastAsia" w:eastAsiaTheme="minorEastAsia"/>
                <w:b/>
                <w:bCs/>
                <w:sz w:val="21"/>
                <w:szCs w:val="21"/>
              </w:rPr>
              <w:instrText xml:space="preserve"> </w:instrText>
            </w:r>
            <w:r>
              <w:rPr>
                <w:rFonts w:asciiTheme="minorEastAsia" w:hAnsiTheme="minorEastAsia" w:eastAsiaTheme="minorEastAsia"/>
                <w:b/>
                <w:bCs/>
                <w:sz w:val="21"/>
                <w:szCs w:val="21"/>
              </w:rPr>
              <w:fldChar w:fldCharType="separate"/>
            </w:r>
            <w:r>
              <w:rPr>
                <w:rFonts w:asciiTheme="minorEastAsia" w:hAnsiTheme="minorEastAsia" w:eastAsiaTheme="minorEastAsia"/>
                <w:b/>
                <w:bCs/>
                <w:sz w:val="21"/>
                <w:szCs w:val="21"/>
              </w:rPr>
              <w:t>104</w:t>
            </w:r>
            <w:r>
              <w:rPr>
                <w:rFonts w:asciiTheme="minorEastAsia" w:hAnsiTheme="minorEastAsia" w:eastAsiaTheme="minorEastAsia"/>
                <w:b/>
                <w:bCs/>
                <w:sz w:val="21"/>
                <w:szCs w:val="21"/>
              </w:rPr>
              <w:fldChar w:fldCharType="end"/>
            </w:r>
            <w:r>
              <w:rPr>
                <w:rFonts w:hint="eastAsia" w:asciiTheme="minorEastAsia" w:hAnsiTheme="minorEastAsia" w:eastAsiaTheme="minorEastAsia"/>
                <w:bCs/>
                <w:sz w:val="21"/>
                <w:szCs w:val="21"/>
              </w:rPr>
              <w:t xml:space="preserve"> 页</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229CF">
    <w:pPr>
      <w:spacing w:line="189" w:lineRule="auto"/>
      <w:ind w:left="4430"/>
      <w:rPr>
        <w:rFonts w:ascii="Arial" w:hAnsi="Arial" w:eastAsia="Arial" w:cs="Arial"/>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E58668">
                          <w:pPr>
                            <w:pStyle w:val="34"/>
                            <w:rPr>
                              <w:rFonts w:hint="eastAsia" w:ascii="宋体" w:hAnsi="宋体" w:eastAsia="宋体" w:cs="宋体"/>
                              <w:b/>
                              <w:bCs/>
                              <w:sz w:val="21"/>
                              <w:szCs w:val="21"/>
                            </w:rPr>
                          </w:pPr>
                          <w:r>
                            <w:rPr>
                              <w:rFonts w:hint="eastAsia" w:ascii="宋体" w:hAnsi="宋体" w:eastAsia="宋体" w:cs="宋体"/>
                              <w:b/>
                              <w:bCs/>
                              <w:sz w:val="21"/>
                              <w:szCs w:val="21"/>
                            </w:rPr>
                            <w:t xml:space="preserve">第 </w:t>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  \* MERGEFORMAT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4</w:t>
                          </w:r>
                          <w:r>
                            <w:rPr>
                              <w:rFonts w:hint="eastAsia" w:ascii="宋体" w:hAnsi="宋体" w:eastAsia="宋体" w:cs="宋体"/>
                              <w:b/>
                              <w:bCs/>
                              <w:sz w:val="21"/>
                              <w:szCs w:val="21"/>
                            </w:rPr>
                            <w:fldChar w:fldCharType="end"/>
                          </w:r>
                          <w:r>
                            <w:rPr>
                              <w:rFonts w:hint="eastAsia" w:ascii="宋体" w:hAnsi="宋体" w:eastAsia="宋体" w:cs="宋体"/>
                              <w:b/>
                              <w:bCs/>
                              <w:sz w:val="21"/>
                              <w:szCs w:val="21"/>
                            </w:rPr>
                            <w:t xml:space="preserve"> 页 共 </w:t>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NUMPAGES  \* MERGEFORMAT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64</w:t>
                          </w:r>
                          <w:r>
                            <w:rPr>
                              <w:rFonts w:hint="eastAsia" w:ascii="宋体" w:hAnsi="宋体" w:eastAsia="宋体" w:cs="宋体"/>
                              <w:b/>
                              <w:bCs/>
                              <w:sz w:val="21"/>
                              <w:szCs w:val="21"/>
                            </w:rPr>
                            <w:fldChar w:fldCharType="end"/>
                          </w:r>
                          <w:r>
                            <w:rPr>
                              <w:rFonts w:hint="eastAsia" w:ascii="宋体" w:hAnsi="宋体" w:eastAsia="宋体" w:cs="宋体"/>
                              <w:b/>
                              <w:bCs/>
                              <w:sz w:val="21"/>
                              <w:szCs w:val="21"/>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16E58668">
                    <w:pPr>
                      <w:pStyle w:val="34"/>
                      <w:rPr>
                        <w:rFonts w:hint="eastAsia" w:ascii="宋体" w:hAnsi="宋体" w:eastAsia="宋体" w:cs="宋体"/>
                        <w:b/>
                        <w:bCs/>
                        <w:sz w:val="21"/>
                        <w:szCs w:val="21"/>
                      </w:rPr>
                    </w:pPr>
                    <w:r>
                      <w:rPr>
                        <w:rFonts w:hint="eastAsia" w:ascii="宋体" w:hAnsi="宋体" w:eastAsia="宋体" w:cs="宋体"/>
                        <w:b/>
                        <w:bCs/>
                        <w:sz w:val="21"/>
                        <w:szCs w:val="21"/>
                      </w:rPr>
                      <w:t xml:space="preserve">第 </w:t>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  \* MERGEFORMAT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4</w:t>
                    </w:r>
                    <w:r>
                      <w:rPr>
                        <w:rFonts w:hint="eastAsia" w:ascii="宋体" w:hAnsi="宋体" w:eastAsia="宋体" w:cs="宋体"/>
                        <w:b/>
                        <w:bCs/>
                        <w:sz w:val="21"/>
                        <w:szCs w:val="21"/>
                      </w:rPr>
                      <w:fldChar w:fldCharType="end"/>
                    </w:r>
                    <w:r>
                      <w:rPr>
                        <w:rFonts w:hint="eastAsia" w:ascii="宋体" w:hAnsi="宋体" w:eastAsia="宋体" w:cs="宋体"/>
                        <w:b/>
                        <w:bCs/>
                        <w:sz w:val="21"/>
                        <w:szCs w:val="21"/>
                      </w:rPr>
                      <w:t xml:space="preserve"> 页 共 </w:t>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NUMPAGES  \* MERGEFORMAT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64</w:t>
                    </w:r>
                    <w:r>
                      <w:rPr>
                        <w:rFonts w:hint="eastAsia" w:ascii="宋体" w:hAnsi="宋体" w:eastAsia="宋体" w:cs="宋体"/>
                        <w:b/>
                        <w:bCs/>
                        <w:sz w:val="21"/>
                        <w:szCs w:val="21"/>
                      </w:rPr>
                      <w:fldChar w:fldCharType="end"/>
                    </w:r>
                    <w:r>
                      <w:rPr>
                        <w:rFonts w:hint="eastAsia" w:ascii="宋体" w:hAnsi="宋体" w:eastAsia="宋体" w:cs="宋体"/>
                        <w:b/>
                        <w:bCs/>
                        <w:sz w:val="21"/>
                        <w:szCs w:val="21"/>
                      </w:rP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21"/>
        <w:szCs w:val="21"/>
      </w:rPr>
      <w:id w:val="147481303"/>
    </w:sdtPr>
    <w:sdtEndPr>
      <w:rPr>
        <w:rFonts w:asciiTheme="minorEastAsia" w:hAnsiTheme="minorEastAsia" w:eastAsiaTheme="minorEastAsia"/>
        <w:sz w:val="21"/>
        <w:szCs w:val="21"/>
      </w:rPr>
    </w:sdtEndPr>
    <w:sdtContent>
      <w:sdt>
        <w:sdtPr>
          <w:rPr>
            <w:sz w:val="21"/>
            <w:szCs w:val="21"/>
          </w:rPr>
          <w:id w:val="147479258"/>
        </w:sdtPr>
        <w:sdtEndPr>
          <w:rPr>
            <w:rFonts w:asciiTheme="minorEastAsia" w:hAnsiTheme="minorEastAsia" w:eastAsiaTheme="minorEastAsia"/>
            <w:sz w:val="21"/>
            <w:szCs w:val="21"/>
          </w:rPr>
        </w:sdtEndPr>
        <w:sdtContent>
          <w:p w14:paraId="0C36AD20">
            <w:pPr>
              <w:pStyle w:val="34"/>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第</w:t>
            </w:r>
            <w:r>
              <w:rPr>
                <w:rFonts w:asciiTheme="minorEastAsia" w:hAnsiTheme="minorEastAsia" w:eastAsiaTheme="minorEastAsia"/>
                <w:sz w:val="21"/>
                <w:szCs w:val="21"/>
                <w:lang w:val="zh-CN"/>
              </w:rPr>
              <w:t xml:space="preserve"> </w:t>
            </w:r>
            <w:r>
              <w:rPr>
                <w:rFonts w:asciiTheme="minorEastAsia" w:hAnsiTheme="minorEastAsia" w:eastAsiaTheme="minorEastAsia"/>
                <w:b/>
                <w:bCs/>
                <w:sz w:val="21"/>
                <w:szCs w:val="21"/>
              </w:rPr>
              <w:fldChar w:fldCharType="begin"/>
            </w:r>
            <w:r>
              <w:rPr>
                <w:rFonts w:asciiTheme="minorEastAsia" w:hAnsiTheme="minorEastAsia" w:eastAsiaTheme="minorEastAsia"/>
                <w:b/>
                <w:bCs/>
                <w:sz w:val="21"/>
                <w:szCs w:val="21"/>
              </w:rPr>
              <w:instrText xml:space="preserve">PAGE</w:instrText>
            </w:r>
            <w:r>
              <w:rPr>
                <w:rFonts w:asciiTheme="minorEastAsia" w:hAnsiTheme="minorEastAsia" w:eastAsiaTheme="minorEastAsia"/>
                <w:b/>
                <w:bCs/>
                <w:sz w:val="21"/>
                <w:szCs w:val="21"/>
              </w:rPr>
              <w:fldChar w:fldCharType="separate"/>
            </w:r>
            <w:r>
              <w:rPr>
                <w:rFonts w:asciiTheme="minorEastAsia" w:hAnsiTheme="minorEastAsia" w:eastAsiaTheme="minorEastAsia"/>
                <w:b/>
                <w:bCs/>
                <w:sz w:val="21"/>
                <w:szCs w:val="21"/>
              </w:rPr>
              <w:t>101</w:t>
            </w:r>
            <w:r>
              <w:rPr>
                <w:rFonts w:asciiTheme="minorEastAsia" w:hAnsiTheme="minorEastAsia" w:eastAsiaTheme="minorEastAsia"/>
                <w:b/>
                <w:bCs/>
                <w:sz w:val="21"/>
                <w:szCs w:val="21"/>
              </w:rPr>
              <w:fldChar w:fldCharType="end"/>
            </w:r>
            <w:r>
              <w:rPr>
                <w:rFonts w:hint="eastAsia" w:asciiTheme="minorEastAsia" w:hAnsiTheme="minorEastAsia" w:eastAsiaTheme="minorEastAsia"/>
                <w:bCs/>
                <w:sz w:val="21"/>
                <w:szCs w:val="21"/>
              </w:rPr>
              <w:t xml:space="preserve"> 页/共 </w:t>
            </w:r>
            <w:r>
              <w:rPr>
                <w:rFonts w:asciiTheme="minorEastAsia" w:hAnsiTheme="minorEastAsia" w:eastAsiaTheme="minorEastAsia"/>
                <w:b/>
                <w:bCs/>
                <w:sz w:val="21"/>
                <w:szCs w:val="21"/>
              </w:rPr>
              <w:fldChar w:fldCharType="begin"/>
            </w:r>
            <w:r>
              <w:rPr>
                <w:rFonts w:asciiTheme="minorEastAsia" w:hAnsiTheme="minorEastAsia" w:eastAsiaTheme="minorEastAsia"/>
                <w:b/>
                <w:bCs/>
                <w:sz w:val="21"/>
                <w:szCs w:val="21"/>
              </w:rPr>
              <w:instrText xml:space="preserve"> </w:instrText>
            </w:r>
            <w:r>
              <w:rPr>
                <w:rFonts w:hint="eastAsia" w:asciiTheme="minorEastAsia" w:hAnsiTheme="minorEastAsia" w:eastAsiaTheme="minorEastAsia"/>
                <w:b/>
                <w:bCs/>
                <w:sz w:val="21"/>
                <w:szCs w:val="21"/>
              </w:rPr>
              <w:instrText xml:space="preserve">=</w:instrText>
            </w:r>
            <w:r>
              <w:rPr>
                <w:rFonts w:asciiTheme="minorEastAsia" w:hAnsiTheme="minorEastAsia" w:eastAsiaTheme="minorEastAsia"/>
                <w:b/>
                <w:bCs/>
                <w:sz w:val="21"/>
                <w:szCs w:val="21"/>
              </w:rPr>
              <w:fldChar w:fldCharType="begin"/>
            </w:r>
            <w:r>
              <w:rPr>
                <w:rFonts w:asciiTheme="minorEastAsia" w:hAnsiTheme="minorEastAsia" w:eastAsiaTheme="minorEastAsia"/>
                <w:b/>
                <w:bCs/>
                <w:sz w:val="21"/>
                <w:szCs w:val="21"/>
              </w:rPr>
              <w:instrText xml:space="preserve">NUMPAGES</w:instrText>
            </w:r>
            <w:r>
              <w:rPr>
                <w:rFonts w:asciiTheme="minorEastAsia" w:hAnsiTheme="minorEastAsia" w:eastAsiaTheme="minorEastAsia"/>
                <w:b/>
                <w:bCs/>
                <w:sz w:val="21"/>
                <w:szCs w:val="21"/>
              </w:rPr>
              <w:fldChar w:fldCharType="separate"/>
            </w:r>
            <w:r>
              <w:rPr>
                <w:rFonts w:asciiTheme="minorEastAsia" w:hAnsiTheme="minorEastAsia" w:eastAsiaTheme="minorEastAsia"/>
                <w:b/>
                <w:bCs/>
                <w:sz w:val="21"/>
                <w:szCs w:val="21"/>
              </w:rPr>
              <w:instrText xml:space="preserve">108</w:instrText>
            </w:r>
            <w:r>
              <w:rPr>
                <w:rFonts w:asciiTheme="minorEastAsia" w:hAnsiTheme="minorEastAsia" w:eastAsiaTheme="minorEastAsia"/>
                <w:b/>
                <w:bCs/>
                <w:sz w:val="21"/>
                <w:szCs w:val="21"/>
              </w:rPr>
              <w:fldChar w:fldCharType="end"/>
            </w:r>
            <w:r>
              <w:rPr>
                <w:rFonts w:hint="eastAsia" w:asciiTheme="minorEastAsia" w:hAnsiTheme="minorEastAsia" w:eastAsiaTheme="minorEastAsia"/>
                <w:b/>
                <w:bCs/>
                <w:sz w:val="21"/>
                <w:szCs w:val="21"/>
              </w:rPr>
              <w:instrText xml:space="preserve">-2</w:instrText>
            </w:r>
            <w:r>
              <w:rPr>
                <w:rFonts w:asciiTheme="minorEastAsia" w:hAnsiTheme="minorEastAsia" w:eastAsiaTheme="minorEastAsia"/>
                <w:b/>
                <w:bCs/>
                <w:sz w:val="21"/>
                <w:szCs w:val="21"/>
              </w:rPr>
              <w:instrText xml:space="preserve"> </w:instrText>
            </w:r>
            <w:r>
              <w:rPr>
                <w:rFonts w:asciiTheme="minorEastAsia" w:hAnsiTheme="minorEastAsia" w:eastAsiaTheme="minorEastAsia"/>
                <w:b/>
                <w:bCs/>
                <w:sz w:val="21"/>
                <w:szCs w:val="21"/>
              </w:rPr>
              <w:fldChar w:fldCharType="separate"/>
            </w:r>
            <w:r>
              <w:rPr>
                <w:rFonts w:asciiTheme="minorEastAsia" w:hAnsiTheme="minorEastAsia" w:eastAsiaTheme="minorEastAsia"/>
                <w:b/>
                <w:bCs/>
                <w:sz w:val="21"/>
                <w:szCs w:val="21"/>
              </w:rPr>
              <w:t>106</w:t>
            </w:r>
            <w:r>
              <w:rPr>
                <w:rFonts w:asciiTheme="minorEastAsia" w:hAnsiTheme="minorEastAsia" w:eastAsiaTheme="minorEastAsia"/>
                <w:b/>
                <w:bCs/>
                <w:sz w:val="21"/>
                <w:szCs w:val="21"/>
              </w:rPr>
              <w:fldChar w:fldCharType="end"/>
            </w:r>
            <w:r>
              <w:rPr>
                <w:rFonts w:hint="eastAsia" w:asciiTheme="minorEastAsia" w:hAnsiTheme="minorEastAsia" w:eastAsiaTheme="minorEastAsia"/>
                <w:bCs/>
                <w:sz w:val="21"/>
                <w:szCs w:val="21"/>
              </w:rPr>
              <w:t xml:space="preserve"> 页</w:t>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96AE6">
    <w:pPr>
      <w:pStyle w:val="35"/>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6EAE1">
    <w:pPr>
      <w:pStyle w:val="35"/>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auto"/>
        <w:sz w:val="18"/>
        <w:szCs w:val="18"/>
        <w:highlight w:val="none"/>
        <w:u w:val="none"/>
        <w:lang w:eastAsia="zh-CN"/>
      </w:rPr>
      <w:t>界首市顺河路、经二路、胜利路清淤及检测工程</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41E5B">
    <w:pPr>
      <w:pStyle w:val="35"/>
      <w:jc w:val="left"/>
      <w:rPr>
        <w:rFonts w:hint="eastAsia"/>
      </w:rPr>
    </w:pPr>
    <w:r>
      <w:rPr>
        <w:rFonts w:hint="eastAsia" w:asciiTheme="minorEastAsia" w:hAnsiTheme="minorEastAsia" w:eastAsiaTheme="minorEastAsia"/>
        <w:lang w:val="en-US" w:eastAsia="zh-CN"/>
      </w:rPr>
      <w:t>安徽省</w:t>
    </w:r>
    <w:r>
      <w:rPr>
        <w:rFonts w:hint="eastAsia" w:asciiTheme="minorEastAsia" w:hAnsiTheme="minorEastAsia" w:eastAsiaTheme="minorEastAsia"/>
      </w:rPr>
      <w:t>政府采购</w:t>
    </w:r>
    <w:r>
      <w:rPr>
        <w:rFonts w:hint="eastAsia" w:asciiTheme="minorEastAsia" w:hAnsiTheme="minorEastAsia" w:eastAsiaTheme="minorEastAsia"/>
        <w:lang w:eastAsia="zh-CN"/>
      </w:rPr>
      <w:t>项目公开</w:t>
    </w:r>
    <w:r>
      <w:rPr>
        <w:rFonts w:hint="eastAsia" w:asciiTheme="minorEastAsia" w:hAnsiTheme="minorEastAsia" w:eastAsiaTheme="minorEastAsia"/>
      </w:rPr>
      <w:t>招标文件</w:t>
    </w:r>
    <w:r>
      <w:rPr>
        <w:rFonts w:hint="eastAsia" w:asciiTheme="minorEastAsia" w:hAnsiTheme="minorEastAsia" w:eastAsiaTheme="minorEastAsia"/>
        <w:lang w:eastAsia="zh-CN"/>
      </w:rPr>
      <w:t>示范文本（</w:t>
    </w:r>
    <w:r>
      <w:rPr>
        <w:rFonts w:hint="eastAsia" w:asciiTheme="minorEastAsia" w:hAnsiTheme="minorEastAsia" w:eastAsiaTheme="minorEastAsia"/>
        <w:lang w:val="en-US" w:eastAsia="zh-CN"/>
      </w:rPr>
      <w:t>工程类</w:t>
    </w:r>
    <w:r>
      <w:rPr>
        <w:rFonts w:hint="eastAsia" w:asciiTheme="minorEastAsia" w:hAnsiTheme="minorEastAsia" w:eastAsiaTheme="minorEastAsia"/>
        <w:lang w:eastAsia="zh-CN"/>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E5CFB">
    <w:pPr>
      <w:pStyle w:val="35"/>
      <w:jc w:val="left"/>
    </w:pPr>
    <w:r>
      <w:rPr>
        <w:rFonts w:hint="eastAsia" w:asciiTheme="minorEastAsia" w:hAnsiTheme="minorEastAsia" w:eastAsiaTheme="minorEastAsia" w:cstheme="minorEastAsia"/>
        <w:color w:val="auto"/>
        <w:sz w:val="18"/>
        <w:szCs w:val="18"/>
        <w:highlight w:val="none"/>
        <w:u w:val="none"/>
        <w:lang w:eastAsia="zh-CN"/>
      </w:rPr>
      <w:t>界首市顺河路、经二路、胜利路清淤及检测工程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BF563F"/>
    <w:multiLevelType w:val="singleLevel"/>
    <w:tmpl w:val="97BF563F"/>
    <w:lvl w:ilvl="0" w:tentative="0">
      <w:start w:val="1"/>
      <w:numFmt w:val="decimal"/>
      <w:suff w:val="nothing"/>
      <w:lvlText w:val="（%1）"/>
      <w:lvlJc w:val="left"/>
    </w:lvl>
  </w:abstractNum>
  <w:abstractNum w:abstractNumId="1">
    <w:nsid w:val="D4FE7534"/>
    <w:multiLevelType w:val="singleLevel"/>
    <w:tmpl w:val="D4FE7534"/>
    <w:lvl w:ilvl="0" w:tentative="0">
      <w:start w:val="1"/>
      <w:numFmt w:val="decimal"/>
      <w:suff w:val="nothing"/>
      <w:lvlText w:val="（%1）"/>
      <w:lvlJc w:val="left"/>
    </w:lvl>
  </w:abstractNum>
  <w:abstractNum w:abstractNumId="2">
    <w:nsid w:val="D59201F4"/>
    <w:multiLevelType w:val="singleLevel"/>
    <w:tmpl w:val="D59201F4"/>
    <w:lvl w:ilvl="0" w:tentative="0">
      <w:start w:val="1"/>
      <w:numFmt w:val="decimal"/>
      <w:lvlText w:val="%1"/>
      <w:lvlJc w:val="left"/>
      <w:pPr>
        <w:tabs>
          <w:tab w:val="left" w:pos="420"/>
        </w:tabs>
        <w:ind w:left="425" w:hanging="425"/>
      </w:pPr>
      <w:rPr>
        <w:rFonts w:hint="default"/>
      </w:rPr>
    </w:lvl>
  </w:abstractNum>
  <w:abstractNum w:abstractNumId="3">
    <w:nsid w:val="7F7E5238"/>
    <w:multiLevelType w:val="multilevel"/>
    <w:tmpl w:val="7F7E5238"/>
    <w:lvl w:ilvl="0" w:tentative="0">
      <w:start w:val="1"/>
      <w:numFmt w:val="none"/>
      <w:pStyle w:val="175"/>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172"/>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177"/>
      <w:lvlText w:val="           "/>
      <w:lvlJc w:val="left"/>
      <w:pPr>
        <w:tabs>
          <w:tab w:val="left" w:pos="1440"/>
        </w:tabs>
        <w:ind w:left="1152" w:hanging="1152"/>
      </w:pPr>
      <w:rPr>
        <w:rFonts w:hint="eastAsia"/>
      </w:rPr>
    </w:lvl>
    <w:lvl w:ilvl="6" w:tentative="0">
      <w:start w:val="1"/>
      <w:numFmt w:val="decimal"/>
      <w:pStyle w:val="179"/>
      <w:lvlText w:val="%1.%2.%3.%4.%5.%6.%7"/>
      <w:lvlJc w:val="left"/>
      <w:pPr>
        <w:tabs>
          <w:tab w:val="left" w:pos="2520"/>
        </w:tabs>
        <w:ind w:left="1296" w:hanging="1296"/>
      </w:pPr>
      <w:rPr>
        <w:rFonts w:hint="eastAsia"/>
      </w:rPr>
    </w:lvl>
    <w:lvl w:ilvl="7" w:tentative="0">
      <w:start w:val="1"/>
      <w:numFmt w:val="decimal"/>
      <w:pStyle w:val="181"/>
      <w:lvlText w:val="%1.%2.%3.%4.%5.%6.%7.%8"/>
      <w:lvlJc w:val="left"/>
      <w:pPr>
        <w:tabs>
          <w:tab w:val="left" w:pos="1440"/>
        </w:tabs>
        <w:ind w:left="1440" w:hanging="1440"/>
      </w:pPr>
      <w:rPr>
        <w:rFonts w:hint="eastAsia"/>
      </w:rPr>
    </w:lvl>
    <w:lvl w:ilvl="8" w:tentative="0">
      <w:start w:val="1"/>
      <w:numFmt w:val="decimal"/>
      <w:pStyle w:val="183"/>
      <w:lvlText w:val="%1.%2.%3.%4.%5.%6.%7.%8.%9"/>
      <w:lvlJc w:val="left"/>
      <w:pPr>
        <w:tabs>
          <w:tab w:val="left" w:pos="1584"/>
        </w:tabs>
        <w:ind w:left="1584" w:hanging="1584"/>
      </w:pPr>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xMzRhNjcxZjRlZDU3OWM3OWY5ZDhiNmFlZTllMmIifQ=="/>
  </w:docVars>
  <w:rsids>
    <w:rsidRoot w:val="00276BA1"/>
    <w:rsid w:val="0000043F"/>
    <w:rsid w:val="000037F9"/>
    <w:rsid w:val="000049DA"/>
    <w:rsid w:val="000056B7"/>
    <w:rsid w:val="00005914"/>
    <w:rsid w:val="00007D87"/>
    <w:rsid w:val="000131F7"/>
    <w:rsid w:val="00014039"/>
    <w:rsid w:val="00016B6C"/>
    <w:rsid w:val="00020B57"/>
    <w:rsid w:val="00020B6D"/>
    <w:rsid w:val="00022976"/>
    <w:rsid w:val="000323E2"/>
    <w:rsid w:val="00040C25"/>
    <w:rsid w:val="00042139"/>
    <w:rsid w:val="00042B14"/>
    <w:rsid w:val="00044F49"/>
    <w:rsid w:val="000450C3"/>
    <w:rsid w:val="0005061B"/>
    <w:rsid w:val="00050A3F"/>
    <w:rsid w:val="00054AA3"/>
    <w:rsid w:val="00056ECB"/>
    <w:rsid w:val="00057B40"/>
    <w:rsid w:val="000623EA"/>
    <w:rsid w:val="000648D2"/>
    <w:rsid w:val="00066AD7"/>
    <w:rsid w:val="00070E0E"/>
    <w:rsid w:val="0007146E"/>
    <w:rsid w:val="00076DB7"/>
    <w:rsid w:val="00080FEB"/>
    <w:rsid w:val="00084047"/>
    <w:rsid w:val="00094D41"/>
    <w:rsid w:val="00097CB9"/>
    <w:rsid w:val="000A0161"/>
    <w:rsid w:val="000A10A9"/>
    <w:rsid w:val="000A2DA0"/>
    <w:rsid w:val="000A6693"/>
    <w:rsid w:val="000A7403"/>
    <w:rsid w:val="000A7970"/>
    <w:rsid w:val="000A7D94"/>
    <w:rsid w:val="000B1511"/>
    <w:rsid w:val="000B6249"/>
    <w:rsid w:val="000B6562"/>
    <w:rsid w:val="000C1DB1"/>
    <w:rsid w:val="000C6302"/>
    <w:rsid w:val="000D3F37"/>
    <w:rsid w:val="000E3C74"/>
    <w:rsid w:val="000E3F9B"/>
    <w:rsid w:val="000E478E"/>
    <w:rsid w:val="000E6689"/>
    <w:rsid w:val="000E69B9"/>
    <w:rsid w:val="000F0EBF"/>
    <w:rsid w:val="000F172B"/>
    <w:rsid w:val="000F2198"/>
    <w:rsid w:val="000F39B6"/>
    <w:rsid w:val="000F3A94"/>
    <w:rsid w:val="000F6B7B"/>
    <w:rsid w:val="000F6F95"/>
    <w:rsid w:val="0010021F"/>
    <w:rsid w:val="00100B0F"/>
    <w:rsid w:val="0010187C"/>
    <w:rsid w:val="0010219C"/>
    <w:rsid w:val="001037E3"/>
    <w:rsid w:val="00107022"/>
    <w:rsid w:val="0011660B"/>
    <w:rsid w:val="0012143A"/>
    <w:rsid w:val="0012203E"/>
    <w:rsid w:val="001258BA"/>
    <w:rsid w:val="0012753E"/>
    <w:rsid w:val="00130601"/>
    <w:rsid w:val="00130690"/>
    <w:rsid w:val="00130CD3"/>
    <w:rsid w:val="00132F4D"/>
    <w:rsid w:val="00133EA0"/>
    <w:rsid w:val="00140687"/>
    <w:rsid w:val="0014543C"/>
    <w:rsid w:val="00146421"/>
    <w:rsid w:val="00153B20"/>
    <w:rsid w:val="00153DC0"/>
    <w:rsid w:val="00155F64"/>
    <w:rsid w:val="001571EE"/>
    <w:rsid w:val="00157856"/>
    <w:rsid w:val="00157B7B"/>
    <w:rsid w:val="00160729"/>
    <w:rsid w:val="00162F2F"/>
    <w:rsid w:val="0016455F"/>
    <w:rsid w:val="00165398"/>
    <w:rsid w:val="00166794"/>
    <w:rsid w:val="00166ED8"/>
    <w:rsid w:val="001714C9"/>
    <w:rsid w:val="00171515"/>
    <w:rsid w:val="00172B93"/>
    <w:rsid w:val="001776E1"/>
    <w:rsid w:val="0018119B"/>
    <w:rsid w:val="001844AB"/>
    <w:rsid w:val="001853C7"/>
    <w:rsid w:val="001903BA"/>
    <w:rsid w:val="00192879"/>
    <w:rsid w:val="001944B8"/>
    <w:rsid w:val="00196DA3"/>
    <w:rsid w:val="001971E5"/>
    <w:rsid w:val="001974FD"/>
    <w:rsid w:val="001A0C0F"/>
    <w:rsid w:val="001A68E5"/>
    <w:rsid w:val="001B25BE"/>
    <w:rsid w:val="001B2A54"/>
    <w:rsid w:val="001B2BA4"/>
    <w:rsid w:val="001B5014"/>
    <w:rsid w:val="001B7327"/>
    <w:rsid w:val="001C1E34"/>
    <w:rsid w:val="001D22EA"/>
    <w:rsid w:val="001D487F"/>
    <w:rsid w:val="001D503E"/>
    <w:rsid w:val="001D53B4"/>
    <w:rsid w:val="001E1835"/>
    <w:rsid w:val="001E3498"/>
    <w:rsid w:val="001E6BA1"/>
    <w:rsid w:val="001F28D2"/>
    <w:rsid w:val="001F2F45"/>
    <w:rsid w:val="001F3023"/>
    <w:rsid w:val="001F35F6"/>
    <w:rsid w:val="001F4AAF"/>
    <w:rsid w:val="001F74CA"/>
    <w:rsid w:val="001F7590"/>
    <w:rsid w:val="002003B6"/>
    <w:rsid w:val="0020244A"/>
    <w:rsid w:val="002049B4"/>
    <w:rsid w:val="0020520B"/>
    <w:rsid w:val="002076AD"/>
    <w:rsid w:val="00213C55"/>
    <w:rsid w:val="0021401C"/>
    <w:rsid w:val="00216DA5"/>
    <w:rsid w:val="00223CF4"/>
    <w:rsid w:val="00224B69"/>
    <w:rsid w:val="00224C4A"/>
    <w:rsid w:val="00231187"/>
    <w:rsid w:val="002329EB"/>
    <w:rsid w:val="0023407E"/>
    <w:rsid w:val="00240B40"/>
    <w:rsid w:val="00244182"/>
    <w:rsid w:val="002544A1"/>
    <w:rsid w:val="00257ECE"/>
    <w:rsid w:val="00260382"/>
    <w:rsid w:val="00260B94"/>
    <w:rsid w:val="00264F2E"/>
    <w:rsid w:val="00271245"/>
    <w:rsid w:val="00273F66"/>
    <w:rsid w:val="00274A9E"/>
    <w:rsid w:val="00276BA1"/>
    <w:rsid w:val="00280984"/>
    <w:rsid w:val="002832CF"/>
    <w:rsid w:val="002835E3"/>
    <w:rsid w:val="00284542"/>
    <w:rsid w:val="002A0EE7"/>
    <w:rsid w:val="002A14D1"/>
    <w:rsid w:val="002A1A1D"/>
    <w:rsid w:val="002A28AD"/>
    <w:rsid w:val="002B04FD"/>
    <w:rsid w:val="002B5318"/>
    <w:rsid w:val="002B6D27"/>
    <w:rsid w:val="002B7A09"/>
    <w:rsid w:val="002C00C4"/>
    <w:rsid w:val="002C060C"/>
    <w:rsid w:val="002C078A"/>
    <w:rsid w:val="002D05DD"/>
    <w:rsid w:val="002D0E4D"/>
    <w:rsid w:val="002D2965"/>
    <w:rsid w:val="002D3D02"/>
    <w:rsid w:val="002D4CB5"/>
    <w:rsid w:val="002D5900"/>
    <w:rsid w:val="002D684B"/>
    <w:rsid w:val="002E003E"/>
    <w:rsid w:val="002E05AB"/>
    <w:rsid w:val="002E2142"/>
    <w:rsid w:val="002E2D3A"/>
    <w:rsid w:val="002E3B26"/>
    <w:rsid w:val="002E4406"/>
    <w:rsid w:val="002E4AB8"/>
    <w:rsid w:val="002E7FC4"/>
    <w:rsid w:val="0030667B"/>
    <w:rsid w:val="00310070"/>
    <w:rsid w:val="0031081B"/>
    <w:rsid w:val="003110EC"/>
    <w:rsid w:val="00314289"/>
    <w:rsid w:val="003206A6"/>
    <w:rsid w:val="0032560D"/>
    <w:rsid w:val="00327C92"/>
    <w:rsid w:val="00333292"/>
    <w:rsid w:val="003344E7"/>
    <w:rsid w:val="0033580B"/>
    <w:rsid w:val="003365E7"/>
    <w:rsid w:val="003378D5"/>
    <w:rsid w:val="003473D7"/>
    <w:rsid w:val="00351AC8"/>
    <w:rsid w:val="00353075"/>
    <w:rsid w:val="00363E02"/>
    <w:rsid w:val="00363F8C"/>
    <w:rsid w:val="00370201"/>
    <w:rsid w:val="00373A37"/>
    <w:rsid w:val="00373A96"/>
    <w:rsid w:val="003826C2"/>
    <w:rsid w:val="00383728"/>
    <w:rsid w:val="00384E57"/>
    <w:rsid w:val="003903BB"/>
    <w:rsid w:val="0039195E"/>
    <w:rsid w:val="00392627"/>
    <w:rsid w:val="00394128"/>
    <w:rsid w:val="00394ADC"/>
    <w:rsid w:val="00395235"/>
    <w:rsid w:val="0039561A"/>
    <w:rsid w:val="00397C7D"/>
    <w:rsid w:val="003A004F"/>
    <w:rsid w:val="003A2158"/>
    <w:rsid w:val="003A3AC4"/>
    <w:rsid w:val="003A5521"/>
    <w:rsid w:val="003B25A5"/>
    <w:rsid w:val="003B4130"/>
    <w:rsid w:val="003B715B"/>
    <w:rsid w:val="003C2C62"/>
    <w:rsid w:val="003C5566"/>
    <w:rsid w:val="003C577A"/>
    <w:rsid w:val="003C7E43"/>
    <w:rsid w:val="003D1D14"/>
    <w:rsid w:val="003D6C7C"/>
    <w:rsid w:val="003D6EFB"/>
    <w:rsid w:val="003D7E52"/>
    <w:rsid w:val="003E259A"/>
    <w:rsid w:val="003E25C6"/>
    <w:rsid w:val="003E46E1"/>
    <w:rsid w:val="003F7528"/>
    <w:rsid w:val="004011AA"/>
    <w:rsid w:val="0040202C"/>
    <w:rsid w:val="00404A8F"/>
    <w:rsid w:val="00406508"/>
    <w:rsid w:val="004110F6"/>
    <w:rsid w:val="00412755"/>
    <w:rsid w:val="0041456E"/>
    <w:rsid w:val="004148E3"/>
    <w:rsid w:val="00414F7E"/>
    <w:rsid w:val="004164F8"/>
    <w:rsid w:val="00421164"/>
    <w:rsid w:val="00426F05"/>
    <w:rsid w:val="004328E1"/>
    <w:rsid w:val="004427B7"/>
    <w:rsid w:val="0044349F"/>
    <w:rsid w:val="00443AB7"/>
    <w:rsid w:val="0044541D"/>
    <w:rsid w:val="00445F1F"/>
    <w:rsid w:val="00447862"/>
    <w:rsid w:val="00451F60"/>
    <w:rsid w:val="00452BB2"/>
    <w:rsid w:val="00456054"/>
    <w:rsid w:val="0045656D"/>
    <w:rsid w:val="00462D98"/>
    <w:rsid w:val="00463E7D"/>
    <w:rsid w:val="00472498"/>
    <w:rsid w:val="00472A44"/>
    <w:rsid w:val="00473A89"/>
    <w:rsid w:val="00475899"/>
    <w:rsid w:val="00482C78"/>
    <w:rsid w:val="00483ABC"/>
    <w:rsid w:val="0048634A"/>
    <w:rsid w:val="004874AE"/>
    <w:rsid w:val="0049056F"/>
    <w:rsid w:val="0049106C"/>
    <w:rsid w:val="004916E7"/>
    <w:rsid w:val="00491FF7"/>
    <w:rsid w:val="00492217"/>
    <w:rsid w:val="00494D24"/>
    <w:rsid w:val="004951D1"/>
    <w:rsid w:val="004960BB"/>
    <w:rsid w:val="004A1BA3"/>
    <w:rsid w:val="004A27D0"/>
    <w:rsid w:val="004A4D67"/>
    <w:rsid w:val="004B7E79"/>
    <w:rsid w:val="004C13CB"/>
    <w:rsid w:val="004C5B90"/>
    <w:rsid w:val="004D3D4B"/>
    <w:rsid w:val="004D4557"/>
    <w:rsid w:val="004D5498"/>
    <w:rsid w:val="004D66A5"/>
    <w:rsid w:val="004D6B00"/>
    <w:rsid w:val="004E1D50"/>
    <w:rsid w:val="004E3266"/>
    <w:rsid w:val="004E38BA"/>
    <w:rsid w:val="004E3EB6"/>
    <w:rsid w:val="004E50CA"/>
    <w:rsid w:val="004F27A0"/>
    <w:rsid w:val="0050027D"/>
    <w:rsid w:val="00501382"/>
    <w:rsid w:val="005048FB"/>
    <w:rsid w:val="00510798"/>
    <w:rsid w:val="005119B5"/>
    <w:rsid w:val="005125F1"/>
    <w:rsid w:val="005150CC"/>
    <w:rsid w:val="0052451A"/>
    <w:rsid w:val="00524A11"/>
    <w:rsid w:val="00527768"/>
    <w:rsid w:val="00530EA4"/>
    <w:rsid w:val="005327FB"/>
    <w:rsid w:val="00533251"/>
    <w:rsid w:val="00533FCA"/>
    <w:rsid w:val="005346EF"/>
    <w:rsid w:val="005369F1"/>
    <w:rsid w:val="005470D4"/>
    <w:rsid w:val="00547BAB"/>
    <w:rsid w:val="0055705E"/>
    <w:rsid w:val="005616B5"/>
    <w:rsid w:val="00566690"/>
    <w:rsid w:val="005679A4"/>
    <w:rsid w:val="00574CE6"/>
    <w:rsid w:val="0059223D"/>
    <w:rsid w:val="0059365B"/>
    <w:rsid w:val="00593ABC"/>
    <w:rsid w:val="00597B15"/>
    <w:rsid w:val="005A044C"/>
    <w:rsid w:val="005A149F"/>
    <w:rsid w:val="005A3A32"/>
    <w:rsid w:val="005B2C9F"/>
    <w:rsid w:val="005B34C9"/>
    <w:rsid w:val="005B3C39"/>
    <w:rsid w:val="005B7D08"/>
    <w:rsid w:val="005C1D52"/>
    <w:rsid w:val="005D0200"/>
    <w:rsid w:val="005D44EF"/>
    <w:rsid w:val="005D5112"/>
    <w:rsid w:val="005D5D67"/>
    <w:rsid w:val="005F34CC"/>
    <w:rsid w:val="005F3914"/>
    <w:rsid w:val="005F3B5A"/>
    <w:rsid w:val="005F6AB4"/>
    <w:rsid w:val="00607471"/>
    <w:rsid w:val="00610A66"/>
    <w:rsid w:val="006119B8"/>
    <w:rsid w:val="00613177"/>
    <w:rsid w:val="00613F7C"/>
    <w:rsid w:val="00614BF2"/>
    <w:rsid w:val="0061557C"/>
    <w:rsid w:val="006208E4"/>
    <w:rsid w:val="00623DE2"/>
    <w:rsid w:val="00627601"/>
    <w:rsid w:val="006300D0"/>
    <w:rsid w:val="00632012"/>
    <w:rsid w:val="00634694"/>
    <w:rsid w:val="00634D55"/>
    <w:rsid w:val="00636517"/>
    <w:rsid w:val="00636EE7"/>
    <w:rsid w:val="00637690"/>
    <w:rsid w:val="00640E1E"/>
    <w:rsid w:val="00641BA3"/>
    <w:rsid w:val="0064389A"/>
    <w:rsid w:val="00645442"/>
    <w:rsid w:val="006525CD"/>
    <w:rsid w:val="00653F7F"/>
    <w:rsid w:val="006572DE"/>
    <w:rsid w:val="00662DCD"/>
    <w:rsid w:val="00662EE8"/>
    <w:rsid w:val="00663813"/>
    <w:rsid w:val="00664AFD"/>
    <w:rsid w:val="006665DC"/>
    <w:rsid w:val="00667567"/>
    <w:rsid w:val="0067391A"/>
    <w:rsid w:val="00674173"/>
    <w:rsid w:val="0067534F"/>
    <w:rsid w:val="00676A33"/>
    <w:rsid w:val="0067717E"/>
    <w:rsid w:val="00677D87"/>
    <w:rsid w:val="00690C2D"/>
    <w:rsid w:val="00690DB1"/>
    <w:rsid w:val="00693404"/>
    <w:rsid w:val="00693E5C"/>
    <w:rsid w:val="006953D9"/>
    <w:rsid w:val="006A1269"/>
    <w:rsid w:val="006A36E7"/>
    <w:rsid w:val="006A5803"/>
    <w:rsid w:val="006A65F3"/>
    <w:rsid w:val="006A69C3"/>
    <w:rsid w:val="006A7C15"/>
    <w:rsid w:val="006B1242"/>
    <w:rsid w:val="006B1DBC"/>
    <w:rsid w:val="006B1F84"/>
    <w:rsid w:val="006B3712"/>
    <w:rsid w:val="006B7D9A"/>
    <w:rsid w:val="006C06D9"/>
    <w:rsid w:val="006C3E22"/>
    <w:rsid w:val="006C5716"/>
    <w:rsid w:val="006C64B2"/>
    <w:rsid w:val="006C74A9"/>
    <w:rsid w:val="006D07DE"/>
    <w:rsid w:val="006D361A"/>
    <w:rsid w:val="006D5B6D"/>
    <w:rsid w:val="006D6A81"/>
    <w:rsid w:val="006D7213"/>
    <w:rsid w:val="006E06D9"/>
    <w:rsid w:val="006E1D40"/>
    <w:rsid w:val="006E2E1F"/>
    <w:rsid w:val="006E5059"/>
    <w:rsid w:val="006F4C5B"/>
    <w:rsid w:val="006F5F03"/>
    <w:rsid w:val="006F5FFF"/>
    <w:rsid w:val="006F7F4C"/>
    <w:rsid w:val="00701431"/>
    <w:rsid w:val="00710804"/>
    <w:rsid w:val="00711FC6"/>
    <w:rsid w:val="00712952"/>
    <w:rsid w:val="007130B1"/>
    <w:rsid w:val="00713487"/>
    <w:rsid w:val="00715071"/>
    <w:rsid w:val="007231E9"/>
    <w:rsid w:val="00723731"/>
    <w:rsid w:val="00724F0E"/>
    <w:rsid w:val="007270A6"/>
    <w:rsid w:val="00727C59"/>
    <w:rsid w:val="007328C6"/>
    <w:rsid w:val="00733730"/>
    <w:rsid w:val="00734E5D"/>
    <w:rsid w:val="0073514E"/>
    <w:rsid w:val="00736013"/>
    <w:rsid w:val="00737BF8"/>
    <w:rsid w:val="0074339B"/>
    <w:rsid w:val="007469DD"/>
    <w:rsid w:val="00750B60"/>
    <w:rsid w:val="00756245"/>
    <w:rsid w:val="00761662"/>
    <w:rsid w:val="00764043"/>
    <w:rsid w:val="00766A36"/>
    <w:rsid w:val="007757CF"/>
    <w:rsid w:val="007769F6"/>
    <w:rsid w:val="00780F9D"/>
    <w:rsid w:val="0078128F"/>
    <w:rsid w:val="007819D9"/>
    <w:rsid w:val="0078642F"/>
    <w:rsid w:val="0078683C"/>
    <w:rsid w:val="00790EDB"/>
    <w:rsid w:val="00791538"/>
    <w:rsid w:val="0079326E"/>
    <w:rsid w:val="00796E1C"/>
    <w:rsid w:val="00796EDE"/>
    <w:rsid w:val="007A5A58"/>
    <w:rsid w:val="007B1C56"/>
    <w:rsid w:val="007B29AB"/>
    <w:rsid w:val="007C1DD7"/>
    <w:rsid w:val="007C35D3"/>
    <w:rsid w:val="007C3CD5"/>
    <w:rsid w:val="007C4756"/>
    <w:rsid w:val="007C5E88"/>
    <w:rsid w:val="007C61EF"/>
    <w:rsid w:val="007D03DE"/>
    <w:rsid w:val="007D1C0D"/>
    <w:rsid w:val="007D2D23"/>
    <w:rsid w:val="007E27D6"/>
    <w:rsid w:val="007E2B06"/>
    <w:rsid w:val="007E3921"/>
    <w:rsid w:val="00801028"/>
    <w:rsid w:val="00803793"/>
    <w:rsid w:val="00804000"/>
    <w:rsid w:val="00805254"/>
    <w:rsid w:val="008101A2"/>
    <w:rsid w:val="00817A01"/>
    <w:rsid w:val="00820937"/>
    <w:rsid w:val="00823DDD"/>
    <w:rsid w:val="00825E35"/>
    <w:rsid w:val="00830A4E"/>
    <w:rsid w:val="008334F8"/>
    <w:rsid w:val="00834249"/>
    <w:rsid w:val="00835FFD"/>
    <w:rsid w:val="0084381F"/>
    <w:rsid w:val="00843E35"/>
    <w:rsid w:val="00845F72"/>
    <w:rsid w:val="00846020"/>
    <w:rsid w:val="0084791E"/>
    <w:rsid w:val="00850A91"/>
    <w:rsid w:val="008524CE"/>
    <w:rsid w:val="00856D9D"/>
    <w:rsid w:val="00857633"/>
    <w:rsid w:val="0086440C"/>
    <w:rsid w:val="008674ED"/>
    <w:rsid w:val="00874EE6"/>
    <w:rsid w:val="00876659"/>
    <w:rsid w:val="0087734C"/>
    <w:rsid w:val="00882141"/>
    <w:rsid w:val="00886BD4"/>
    <w:rsid w:val="00886CA2"/>
    <w:rsid w:val="008876EC"/>
    <w:rsid w:val="008922A8"/>
    <w:rsid w:val="00895BD5"/>
    <w:rsid w:val="00895F79"/>
    <w:rsid w:val="008A16C4"/>
    <w:rsid w:val="008A4A27"/>
    <w:rsid w:val="008A649F"/>
    <w:rsid w:val="008A6FED"/>
    <w:rsid w:val="008B0945"/>
    <w:rsid w:val="008B39C5"/>
    <w:rsid w:val="008B51AA"/>
    <w:rsid w:val="008B73C2"/>
    <w:rsid w:val="008C67F2"/>
    <w:rsid w:val="008C7E63"/>
    <w:rsid w:val="008D064A"/>
    <w:rsid w:val="008D2537"/>
    <w:rsid w:val="008D2B0F"/>
    <w:rsid w:val="008D5EE5"/>
    <w:rsid w:val="008D633C"/>
    <w:rsid w:val="008D76DA"/>
    <w:rsid w:val="008D7DB2"/>
    <w:rsid w:val="008E449E"/>
    <w:rsid w:val="008E4BDD"/>
    <w:rsid w:val="008E5387"/>
    <w:rsid w:val="008E770C"/>
    <w:rsid w:val="008F00F4"/>
    <w:rsid w:val="008F187F"/>
    <w:rsid w:val="008F402F"/>
    <w:rsid w:val="008F76E8"/>
    <w:rsid w:val="00904508"/>
    <w:rsid w:val="009078A1"/>
    <w:rsid w:val="00911E9C"/>
    <w:rsid w:val="00917405"/>
    <w:rsid w:val="00920F7C"/>
    <w:rsid w:val="00922718"/>
    <w:rsid w:val="00924743"/>
    <w:rsid w:val="00932A87"/>
    <w:rsid w:val="00934CAE"/>
    <w:rsid w:val="0093560E"/>
    <w:rsid w:val="0094257D"/>
    <w:rsid w:val="009443B6"/>
    <w:rsid w:val="00946F68"/>
    <w:rsid w:val="0095467C"/>
    <w:rsid w:val="00954A61"/>
    <w:rsid w:val="00955C6F"/>
    <w:rsid w:val="00966C7B"/>
    <w:rsid w:val="009679A2"/>
    <w:rsid w:val="009701DC"/>
    <w:rsid w:val="009715D8"/>
    <w:rsid w:val="009811A8"/>
    <w:rsid w:val="00985C4F"/>
    <w:rsid w:val="00986E3C"/>
    <w:rsid w:val="00991460"/>
    <w:rsid w:val="009932CF"/>
    <w:rsid w:val="009941BF"/>
    <w:rsid w:val="00995BF9"/>
    <w:rsid w:val="009975CC"/>
    <w:rsid w:val="009A0CAF"/>
    <w:rsid w:val="009A2207"/>
    <w:rsid w:val="009B0EDA"/>
    <w:rsid w:val="009B6C42"/>
    <w:rsid w:val="009C3F38"/>
    <w:rsid w:val="009D2998"/>
    <w:rsid w:val="009D31F7"/>
    <w:rsid w:val="009D32C2"/>
    <w:rsid w:val="009D50DB"/>
    <w:rsid w:val="009E2932"/>
    <w:rsid w:val="009E2DFA"/>
    <w:rsid w:val="009E3A0A"/>
    <w:rsid w:val="009F1936"/>
    <w:rsid w:val="009F3E91"/>
    <w:rsid w:val="009F4E0E"/>
    <w:rsid w:val="00A008DA"/>
    <w:rsid w:val="00A00C93"/>
    <w:rsid w:val="00A0571E"/>
    <w:rsid w:val="00A1397D"/>
    <w:rsid w:val="00A13A27"/>
    <w:rsid w:val="00A1499B"/>
    <w:rsid w:val="00A170D8"/>
    <w:rsid w:val="00A26BC5"/>
    <w:rsid w:val="00A27D73"/>
    <w:rsid w:val="00A30A1B"/>
    <w:rsid w:val="00A314C2"/>
    <w:rsid w:val="00A40B71"/>
    <w:rsid w:val="00A501BF"/>
    <w:rsid w:val="00A519A0"/>
    <w:rsid w:val="00A6249F"/>
    <w:rsid w:val="00A62A2E"/>
    <w:rsid w:val="00A630B4"/>
    <w:rsid w:val="00A63E86"/>
    <w:rsid w:val="00A75185"/>
    <w:rsid w:val="00A754A0"/>
    <w:rsid w:val="00A757C3"/>
    <w:rsid w:val="00A75E5B"/>
    <w:rsid w:val="00A75F4B"/>
    <w:rsid w:val="00A7684A"/>
    <w:rsid w:val="00A80C58"/>
    <w:rsid w:val="00A83B69"/>
    <w:rsid w:val="00A86533"/>
    <w:rsid w:val="00A91CA2"/>
    <w:rsid w:val="00A9220A"/>
    <w:rsid w:val="00A92FB8"/>
    <w:rsid w:val="00A948F1"/>
    <w:rsid w:val="00AA0BE3"/>
    <w:rsid w:val="00AA18F9"/>
    <w:rsid w:val="00AA1D7D"/>
    <w:rsid w:val="00AA2790"/>
    <w:rsid w:val="00AA3806"/>
    <w:rsid w:val="00AB01AC"/>
    <w:rsid w:val="00AB139D"/>
    <w:rsid w:val="00AB2A35"/>
    <w:rsid w:val="00AB2D05"/>
    <w:rsid w:val="00AB348D"/>
    <w:rsid w:val="00AB3EFB"/>
    <w:rsid w:val="00AC0B05"/>
    <w:rsid w:val="00AC1962"/>
    <w:rsid w:val="00AC7F9D"/>
    <w:rsid w:val="00AD079A"/>
    <w:rsid w:val="00AD1890"/>
    <w:rsid w:val="00AD6588"/>
    <w:rsid w:val="00AD7CCB"/>
    <w:rsid w:val="00AE2149"/>
    <w:rsid w:val="00AE2BF3"/>
    <w:rsid w:val="00AE33AE"/>
    <w:rsid w:val="00AE3F91"/>
    <w:rsid w:val="00AF5B63"/>
    <w:rsid w:val="00B0053D"/>
    <w:rsid w:val="00B00FF1"/>
    <w:rsid w:val="00B039E3"/>
    <w:rsid w:val="00B06D36"/>
    <w:rsid w:val="00B12BC4"/>
    <w:rsid w:val="00B22838"/>
    <w:rsid w:val="00B33E8F"/>
    <w:rsid w:val="00B33E95"/>
    <w:rsid w:val="00B3720B"/>
    <w:rsid w:val="00B372DF"/>
    <w:rsid w:val="00B420C8"/>
    <w:rsid w:val="00B45D0B"/>
    <w:rsid w:val="00B5558A"/>
    <w:rsid w:val="00B56513"/>
    <w:rsid w:val="00B5736B"/>
    <w:rsid w:val="00B576F1"/>
    <w:rsid w:val="00B6167E"/>
    <w:rsid w:val="00B61B64"/>
    <w:rsid w:val="00B64376"/>
    <w:rsid w:val="00B6570C"/>
    <w:rsid w:val="00B7401F"/>
    <w:rsid w:val="00B748E5"/>
    <w:rsid w:val="00B769CF"/>
    <w:rsid w:val="00B806C3"/>
    <w:rsid w:val="00B80D6F"/>
    <w:rsid w:val="00B84FCA"/>
    <w:rsid w:val="00B9089F"/>
    <w:rsid w:val="00B91826"/>
    <w:rsid w:val="00B91AEE"/>
    <w:rsid w:val="00B93568"/>
    <w:rsid w:val="00B95F5A"/>
    <w:rsid w:val="00B96EAD"/>
    <w:rsid w:val="00BA4B7C"/>
    <w:rsid w:val="00BA79F5"/>
    <w:rsid w:val="00BA7EA7"/>
    <w:rsid w:val="00BB3AB6"/>
    <w:rsid w:val="00BB766D"/>
    <w:rsid w:val="00BC007B"/>
    <w:rsid w:val="00BC26BA"/>
    <w:rsid w:val="00BC35F8"/>
    <w:rsid w:val="00BC403F"/>
    <w:rsid w:val="00BC481B"/>
    <w:rsid w:val="00BC6EB9"/>
    <w:rsid w:val="00BD08DF"/>
    <w:rsid w:val="00BD2D29"/>
    <w:rsid w:val="00BD617C"/>
    <w:rsid w:val="00BE5974"/>
    <w:rsid w:val="00BE746B"/>
    <w:rsid w:val="00BE782C"/>
    <w:rsid w:val="00BF17B4"/>
    <w:rsid w:val="00BF376F"/>
    <w:rsid w:val="00BF426A"/>
    <w:rsid w:val="00BF46A6"/>
    <w:rsid w:val="00BF572F"/>
    <w:rsid w:val="00BF6CAD"/>
    <w:rsid w:val="00BF71FB"/>
    <w:rsid w:val="00C04DBF"/>
    <w:rsid w:val="00C05C07"/>
    <w:rsid w:val="00C05E4C"/>
    <w:rsid w:val="00C06545"/>
    <w:rsid w:val="00C11D8C"/>
    <w:rsid w:val="00C134AF"/>
    <w:rsid w:val="00C220FC"/>
    <w:rsid w:val="00C24DFA"/>
    <w:rsid w:val="00C24F9D"/>
    <w:rsid w:val="00C2521C"/>
    <w:rsid w:val="00C30182"/>
    <w:rsid w:val="00C31FC9"/>
    <w:rsid w:val="00C37A63"/>
    <w:rsid w:val="00C42248"/>
    <w:rsid w:val="00C46A36"/>
    <w:rsid w:val="00C47037"/>
    <w:rsid w:val="00C509E3"/>
    <w:rsid w:val="00C53625"/>
    <w:rsid w:val="00C548BA"/>
    <w:rsid w:val="00C5679D"/>
    <w:rsid w:val="00C57784"/>
    <w:rsid w:val="00C602C1"/>
    <w:rsid w:val="00C63FC0"/>
    <w:rsid w:val="00C66392"/>
    <w:rsid w:val="00C71B9E"/>
    <w:rsid w:val="00C73D09"/>
    <w:rsid w:val="00C74C5E"/>
    <w:rsid w:val="00C768B0"/>
    <w:rsid w:val="00C82558"/>
    <w:rsid w:val="00C827A2"/>
    <w:rsid w:val="00C82965"/>
    <w:rsid w:val="00C82B69"/>
    <w:rsid w:val="00C82C8E"/>
    <w:rsid w:val="00C82CB3"/>
    <w:rsid w:val="00C91B28"/>
    <w:rsid w:val="00C91F3A"/>
    <w:rsid w:val="00C92E1A"/>
    <w:rsid w:val="00C93590"/>
    <w:rsid w:val="00CA4C7F"/>
    <w:rsid w:val="00CA5446"/>
    <w:rsid w:val="00CB14E5"/>
    <w:rsid w:val="00CB15F8"/>
    <w:rsid w:val="00CB218D"/>
    <w:rsid w:val="00CB377B"/>
    <w:rsid w:val="00CB5625"/>
    <w:rsid w:val="00CB5797"/>
    <w:rsid w:val="00CC1400"/>
    <w:rsid w:val="00CC1C17"/>
    <w:rsid w:val="00CC4CD2"/>
    <w:rsid w:val="00CC4F7F"/>
    <w:rsid w:val="00CD09E1"/>
    <w:rsid w:val="00CD1BB5"/>
    <w:rsid w:val="00CE1780"/>
    <w:rsid w:val="00CE4913"/>
    <w:rsid w:val="00CE66BD"/>
    <w:rsid w:val="00CF0671"/>
    <w:rsid w:val="00CF247A"/>
    <w:rsid w:val="00CF44AD"/>
    <w:rsid w:val="00CF4D7C"/>
    <w:rsid w:val="00CF4FC0"/>
    <w:rsid w:val="00CF7486"/>
    <w:rsid w:val="00D1072F"/>
    <w:rsid w:val="00D108A5"/>
    <w:rsid w:val="00D14585"/>
    <w:rsid w:val="00D153C8"/>
    <w:rsid w:val="00D169F2"/>
    <w:rsid w:val="00D20EFF"/>
    <w:rsid w:val="00D236BB"/>
    <w:rsid w:val="00D3019D"/>
    <w:rsid w:val="00D31324"/>
    <w:rsid w:val="00D4386E"/>
    <w:rsid w:val="00D51432"/>
    <w:rsid w:val="00D53ED8"/>
    <w:rsid w:val="00D541A0"/>
    <w:rsid w:val="00D5697F"/>
    <w:rsid w:val="00D64857"/>
    <w:rsid w:val="00D6493A"/>
    <w:rsid w:val="00D649A5"/>
    <w:rsid w:val="00D660EA"/>
    <w:rsid w:val="00D66833"/>
    <w:rsid w:val="00D67875"/>
    <w:rsid w:val="00D71E86"/>
    <w:rsid w:val="00D72F0F"/>
    <w:rsid w:val="00D731C6"/>
    <w:rsid w:val="00D745C5"/>
    <w:rsid w:val="00D75327"/>
    <w:rsid w:val="00D77D6B"/>
    <w:rsid w:val="00D801FE"/>
    <w:rsid w:val="00D80C36"/>
    <w:rsid w:val="00D81A32"/>
    <w:rsid w:val="00D86EE1"/>
    <w:rsid w:val="00D945DC"/>
    <w:rsid w:val="00D95E90"/>
    <w:rsid w:val="00D96126"/>
    <w:rsid w:val="00DA090D"/>
    <w:rsid w:val="00DA0FCD"/>
    <w:rsid w:val="00DA2FD5"/>
    <w:rsid w:val="00DB0C86"/>
    <w:rsid w:val="00DB4B1C"/>
    <w:rsid w:val="00DB5085"/>
    <w:rsid w:val="00DB619F"/>
    <w:rsid w:val="00DB7211"/>
    <w:rsid w:val="00DC1062"/>
    <w:rsid w:val="00DC132C"/>
    <w:rsid w:val="00DC181A"/>
    <w:rsid w:val="00DC5727"/>
    <w:rsid w:val="00DD13B9"/>
    <w:rsid w:val="00DD149F"/>
    <w:rsid w:val="00DD43F0"/>
    <w:rsid w:val="00DD44DE"/>
    <w:rsid w:val="00DE09AB"/>
    <w:rsid w:val="00DE352F"/>
    <w:rsid w:val="00DE4A3F"/>
    <w:rsid w:val="00DE5A99"/>
    <w:rsid w:val="00DF2880"/>
    <w:rsid w:val="00DF4367"/>
    <w:rsid w:val="00DF7291"/>
    <w:rsid w:val="00E03FF0"/>
    <w:rsid w:val="00E055BF"/>
    <w:rsid w:val="00E0574A"/>
    <w:rsid w:val="00E1243D"/>
    <w:rsid w:val="00E12742"/>
    <w:rsid w:val="00E146D4"/>
    <w:rsid w:val="00E14815"/>
    <w:rsid w:val="00E21D37"/>
    <w:rsid w:val="00E220ED"/>
    <w:rsid w:val="00E22B44"/>
    <w:rsid w:val="00E233AD"/>
    <w:rsid w:val="00E26EB1"/>
    <w:rsid w:val="00E30ACD"/>
    <w:rsid w:val="00E32735"/>
    <w:rsid w:val="00E34236"/>
    <w:rsid w:val="00E44B88"/>
    <w:rsid w:val="00E50BFA"/>
    <w:rsid w:val="00E66E36"/>
    <w:rsid w:val="00E702ED"/>
    <w:rsid w:val="00E709A4"/>
    <w:rsid w:val="00E71D4A"/>
    <w:rsid w:val="00E75917"/>
    <w:rsid w:val="00E772DB"/>
    <w:rsid w:val="00E86012"/>
    <w:rsid w:val="00E860CA"/>
    <w:rsid w:val="00E86BAB"/>
    <w:rsid w:val="00E92962"/>
    <w:rsid w:val="00E94E10"/>
    <w:rsid w:val="00E96743"/>
    <w:rsid w:val="00E96A42"/>
    <w:rsid w:val="00E97497"/>
    <w:rsid w:val="00EA046F"/>
    <w:rsid w:val="00EA49C5"/>
    <w:rsid w:val="00EA6279"/>
    <w:rsid w:val="00EB402C"/>
    <w:rsid w:val="00EB5027"/>
    <w:rsid w:val="00EC1836"/>
    <w:rsid w:val="00EC3990"/>
    <w:rsid w:val="00EC484B"/>
    <w:rsid w:val="00EC7E58"/>
    <w:rsid w:val="00ED15FA"/>
    <w:rsid w:val="00ED5C9F"/>
    <w:rsid w:val="00EE050C"/>
    <w:rsid w:val="00EE2113"/>
    <w:rsid w:val="00EE5730"/>
    <w:rsid w:val="00EE6E9A"/>
    <w:rsid w:val="00EF2AC4"/>
    <w:rsid w:val="00EF397E"/>
    <w:rsid w:val="00EF762E"/>
    <w:rsid w:val="00F0340C"/>
    <w:rsid w:val="00F04CED"/>
    <w:rsid w:val="00F06F68"/>
    <w:rsid w:val="00F11241"/>
    <w:rsid w:val="00F11D35"/>
    <w:rsid w:val="00F15E9D"/>
    <w:rsid w:val="00F23FA7"/>
    <w:rsid w:val="00F24C2D"/>
    <w:rsid w:val="00F2717E"/>
    <w:rsid w:val="00F272C4"/>
    <w:rsid w:val="00F27D59"/>
    <w:rsid w:val="00F316E1"/>
    <w:rsid w:val="00F32155"/>
    <w:rsid w:val="00F32A81"/>
    <w:rsid w:val="00F40C82"/>
    <w:rsid w:val="00F4197F"/>
    <w:rsid w:val="00F438EE"/>
    <w:rsid w:val="00F44F2A"/>
    <w:rsid w:val="00F45367"/>
    <w:rsid w:val="00F46998"/>
    <w:rsid w:val="00F5093F"/>
    <w:rsid w:val="00F5382D"/>
    <w:rsid w:val="00F53D9C"/>
    <w:rsid w:val="00F5462B"/>
    <w:rsid w:val="00F54653"/>
    <w:rsid w:val="00F569DE"/>
    <w:rsid w:val="00F57205"/>
    <w:rsid w:val="00F634AD"/>
    <w:rsid w:val="00F63677"/>
    <w:rsid w:val="00F659DA"/>
    <w:rsid w:val="00F671CE"/>
    <w:rsid w:val="00F674DA"/>
    <w:rsid w:val="00F70658"/>
    <w:rsid w:val="00F74B50"/>
    <w:rsid w:val="00F75B81"/>
    <w:rsid w:val="00F761CA"/>
    <w:rsid w:val="00F804C4"/>
    <w:rsid w:val="00F80C7E"/>
    <w:rsid w:val="00F82F83"/>
    <w:rsid w:val="00F90C64"/>
    <w:rsid w:val="00F9210C"/>
    <w:rsid w:val="00F92B30"/>
    <w:rsid w:val="00F933B9"/>
    <w:rsid w:val="00F94674"/>
    <w:rsid w:val="00F94919"/>
    <w:rsid w:val="00F94A59"/>
    <w:rsid w:val="00FA25B6"/>
    <w:rsid w:val="00FA2FAF"/>
    <w:rsid w:val="00FA54F6"/>
    <w:rsid w:val="00FA64B1"/>
    <w:rsid w:val="00FA70F3"/>
    <w:rsid w:val="00FA71CD"/>
    <w:rsid w:val="00FA7C66"/>
    <w:rsid w:val="00FB0453"/>
    <w:rsid w:val="00FB0C07"/>
    <w:rsid w:val="00FB298D"/>
    <w:rsid w:val="00FB3171"/>
    <w:rsid w:val="00FB38B5"/>
    <w:rsid w:val="00FB444E"/>
    <w:rsid w:val="00FB5DC9"/>
    <w:rsid w:val="00FC1439"/>
    <w:rsid w:val="00FC3F65"/>
    <w:rsid w:val="00FC5007"/>
    <w:rsid w:val="00FC724B"/>
    <w:rsid w:val="00FC7910"/>
    <w:rsid w:val="00FD01E0"/>
    <w:rsid w:val="00FD50FC"/>
    <w:rsid w:val="00FE1627"/>
    <w:rsid w:val="00FE2D4E"/>
    <w:rsid w:val="00FF092F"/>
    <w:rsid w:val="00FF0DA7"/>
    <w:rsid w:val="00FF2DF6"/>
    <w:rsid w:val="00FF44E0"/>
    <w:rsid w:val="00FF6C72"/>
    <w:rsid w:val="01216A43"/>
    <w:rsid w:val="01B46088"/>
    <w:rsid w:val="02186A33"/>
    <w:rsid w:val="02D45050"/>
    <w:rsid w:val="0580501B"/>
    <w:rsid w:val="060D5ED0"/>
    <w:rsid w:val="06597472"/>
    <w:rsid w:val="06EE74DB"/>
    <w:rsid w:val="071D4AEC"/>
    <w:rsid w:val="072015CC"/>
    <w:rsid w:val="072D443A"/>
    <w:rsid w:val="08444A26"/>
    <w:rsid w:val="08617CF0"/>
    <w:rsid w:val="093E5132"/>
    <w:rsid w:val="099C3247"/>
    <w:rsid w:val="0B34273F"/>
    <w:rsid w:val="0B5759D8"/>
    <w:rsid w:val="0B584B6B"/>
    <w:rsid w:val="0B9A6428"/>
    <w:rsid w:val="0BC1638D"/>
    <w:rsid w:val="0BC76A6E"/>
    <w:rsid w:val="0BD069A1"/>
    <w:rsid w:val="0C0B76AE"/>
    <w:rsid w:val="0C695EBF"/>
    <w:rsid w:val="0C764D16"/>
    <w:rsid w:val="0D3E7892"/>
    <w:rsid w:val="0D7E2680"/>
    <w:rsid w:val="0DB72352"/>
    <w:rsid w:val="0DBA5101"/>
    <w:rsid w:val="0DFC12FE"/>
    <w:rsid w:val="0DFF1A91"/>
    <w:rsid w:val="0E30091C"/>
    <w:rsid w:val="0EA0228A"/>
    <w:rsid w:val="0EB116DF"/>
    <w:rsid w:val="0EB9796D"/>
    <w:rsid w:val="0ED93BBF"/>
    <w:rsid w:val="0F4B47C9"/>
    <w:rsid w:val="0F8C0A60"/>
    <w:rsid w:val="0FC76BB7"/>
    <w:rsid w:val="10F935A7"/>
    <w:rsid w:val="112E6273"/>
    <w:rsid w:val="12935F2D"/>
    <w:rsid w:val="12E83133"/>
    <w:rsid w:val="13607801"/>
    <w:rsid w:val="1375778E"/>
    <w:rsid w:val="14186D67"/>
    <w:rsid w:val="14E43199"/>
    <w:rsid w:val="14FE3C87"/>
    <w:rsid w:val="163D2AB4"/>
    <w:rsid w:val="16666FB8"/>
    <w:rsid w:val="16DA6555"/>
    <w:rsid w:val="16F15C51"/>
    <w:rsid w:val="17146EEB"/>
    <w:rsid w:val="181F06D4"/>
    <w:rsid w:val="189F49EE"/>
    <w:rsid w:val="18A85F98"/>
    <w:rsid w:val="1A134258"/>
    <w:rsid w:val="1C56042C"/>
    <w:rsid w:val="1CF77E61"/>
    <w:rsid w:val="1D015171"/>
    <w:rsid w:val="1D0C2403"/>
    <w:rsid w:val="1D191BE5"/>
    <w:rsid w:val="1D3B78BE"/>
    <w:rsid w:val="1D3C5874"/>
    <w:rsid w:val="1DC31AF1"/>
    <w:rsid w:val="1DEC70E9"/>
    <w:rsid w:val="1E0B00F8"/>
    <w:rsid w:val="1E112FC8"/>
    <w:rsid w:val="1E205195"/>
    <w:rsid w:val="1E8C6387"/>
    <w:rsid w:val="1EC17205"/>
    <w:rsid w:val="1F2E6A6D"/>
    <w:rsid w:val="1F330EF8"/>
    <w:rsid w:val="21326E5F"/>
    <w:rsid w:val="21A12912"/>
    <w:rsid w:val="223B259E"/>
    <w:rsid w:val="237C1D35"/>
    <w:rsid w:val="241D3932"/>
    <w:rsid w:val="247E2DFD"/>
    <w:rsid w:val="24D334D1"/>
    <w:rsid w:val="24E16934"/>
    <w:rsid w:val="265B0373"/>
    <w:rsid w:val="269232C0"/>
    <w:rsid w:val="274D5052"/>
    <w:rsid w:val="27E85AF1"/>
    <w:rsid w:val="28520641"/>
    <w:rsid w:val="28617BEB"/>
    <w:rsid w:val="288E11CC"/>
    <w:rsid w:val="28A96E2F"/>
    <w:rsid w:val="2A1534D2"/>
    <w:rsid w:val="2B5044AE"/>
    <w:rsid w:val="2B89414F"/>
    <w:rsid w:val="2BAE73B5"/>
    <w:rsid w:val="2D1633EB"/>
    <w:rsid w:val="2D611D48"/>
    <w:rsid w:val="2DB3247A"/>
    <w:rsid w:val="2E7D5CEC"/>
    <w:rsid w:val="2E992065"/>
    <w:rsid w:val="2EB60132"/>
    <w:rsid w:val="2F850E2A"/>
    <w:rsid w:val="2F8779B7"/>
    <w:rsid w:val="2FC040E2"/>
    <w:rsid w:val="2FC31E25"/>
    <w:rsid w:val="2FEC3129"/>
    <w:rsid w:val="307D6477"/>
    <w:rsid w:val="3215051D"/>
    <w:rsid w:val="32BF4B25"/>
    <w:rsid w:val="336B346D"/>
    <w:rsid w:val="339233A3"/>
    <w:rsid w:val="34152599"/>
    <w:rsid w:val="35415CC5"/>
    <w:rsid w:val="3544508A"/>
    <w:rsid w:val="36AD04C3"/>
    <w:rsid w:val="36E71BB0"/>
    <w:rsid w:val="37E05E09"/>
    <w:rsid w:val="385414FE"/>
    <w:rsid w:val="38CD4FE1"/>
    <w:rsid w:val="3AB40CE8"/>
    <w:rsid w:val="3B1A2F4A"/>
    <w:rsid w:val="3B5006E0"/>
    <w:rsid w:val="3C2546B9"/>
    <w:rsid w:val="3C9227B9"/>
    <w:rsid w:val="3DAC3EF8"/>
    <w:rsid w:val="3E287A22"/>
    <w:rsid w:val="3F7171A7"/>
    <w:rsid w:val="408D59ED"/>
    <w:rsid w:val="40B54BA9"/>
    <w:rsid w:val="40C024C0"/>
    <w:rsid w:val="41320BB8"/>
    <w:rsid w:val="41A90E7A"/>
    <w:rsid w:val="41D83E8E"/>
    <w:rsid w:val="42565524"/>
    <w:rsid w:val="43317379"/>
    <w:rsid w:val="43406525"/>
    <w:rsid w:val="44CC5046"/>
    <w:rsid w:val="44F243AD"/>
    <w:rsid w:val="45B649C6"/>
    <w:rsid w:val="45CF4C28"/>
    <w:rsid w:val="45E76415"/>
    <w:rsid w:val="46D629D1"/>
    <w:rsid w:val="479954ED"/>
    <w:rsid w:val="47C27D6C"/>
    <w:rsid w:val="482C45B3"/>
    <w:rsid w:val="4838270D"/>
    <w:rsid w:val="484F02A2"/>
    <w:rsid w:val="48EC3373"/>
    <w:rsid w:val="48F007C1"/>
    <w:rsid w:val="493B64BB"/>
    <w:rsid w:val="495639FF"/>
    <w:rsid w:val="495E0E6D"/>
    <w:rsid w:val="49CD7090"/>
    <w:rsid w:val="49D55251"/>
    <w:rsid w:val="4BD72A88"/>
    <w:rsid w:val="4BE87A98"/>
    <w:rsid w:val="4C141F88"/>
    <w:rsid w:val="4C1743E7"/>
    <w:rsid w:val="4C2E43AC"/>
    <w:rsid w:val="4D525435"/>
    <w:rsid w:val="4D6D36A4"/>
    <w:rsid w:val="4E616C92"/>
    <w:rsid w:val="4E6F2E5D"/>
    <w:rsid w:val="4E8A7553"/>
    <w:rsid w:val="4ECA2430"/>
    <w:rsid w:val="4F9B25B3"/>
    <w:rsid w:val="508A5A0C"/>
    <w:rsid w:val="50951E8B"/>
    <w:rsid w:val="50B11419"/>
    <w:rsid w:val="50B13DEA"/>
    <w:rsid w:val="529F5982"/>
    <w:rsid w:val="532D11DF"/>
    <w:rsid w:val="5407371F"/>
    <w:rsid w:val="55076EDB"/>
    <w:rsid w:val="557F62EE"/>
    <w:rsid w:val="565019E7"/>
    <w:rsid w:val="56861129"/>
    <w:rsid w:val="569861B6"/>
    <w:rsid w:val="56B6493F"/>
    <w:rsid w:val="56D26221"/>
    <w:rsid w:val="56D83DF0"/>
    <w:rsid w:val="5809250B"/>
    <w:rsid w:val="58946959"/>
    <w:rsid w:val="589E1721"/>
    <w:rsid w:val="593E5EF4"/>
    <w:rsid w:val="59F36AF7"/>
    <w:rsid w:val="5A421407"/>
    <w:rsid w:val="5A5113C2"/>
    <w:rsid w:val="5B1D74CF"/>
    <w:rsid w:val="5B465534"/>
    <w:rsid w:val="5C8F7148"/>
    <w:rsid w:val="5CEB6393"/>
    <w:rsid w:val="5D2D2508"/>
    <w:rsid w:val="5D5B355A"/>
    <w:rsid w:val="5D855BEE"/>
    <w:rsid w:val="5D8C4430"/>
    <w:rsid w:val="5F6103C2"/>
    <w:rsid w:val="5F64370E"/>
    <w:rsid w:val="5FCD130C"/>
    <w:rsid w:val="5FD07FE9"/>
    <w:rsid w:val="60613CC2"/>
    <w:rsid w:val="61737CE0"/>
    <w:rsid w:val="617A62BB"/>
    <w:rsid w:val="621E2D67"/>
    <w:rsid w:val="62450E0A"/>
    <w:rsid w:val="6270505E"/>
    <w:rsid w:val="62A2790D"/>
    <w:rsid w:val="62EB49FC"/>
    <w:rsid w:val="632B05B6"/>
    <w:rsid w:val="635527B8"/>
    <w:rsid w:val="63D905AD"/>
    <w:rsid w:val="645F3309"/>
    <w:rsid w:val="64796BEF"/>
    <w:rsid w:val="647A03AB"/>
    <w:rsid w:val="652674EA"/>
    <w:rsid w:val="65B46500"/>
    <w:rsid w:val="66E2747D"/>
    <w:rsid w:val="66F7550A"/>
    <w:rsid w:val="673047EC"/>
    <w:rsid w:val="6833421D"/>
    <w:rsid w:val="683B31A6"/>
    <w:rsid w:val="68784853"/>
    <w:rsid w:val="68E17DD0"/>
    <w:rsid w:val="69482477"/>
    <w:rsid w:val="6A4B69A3"/>
    <w:rsid w:val="6A9874AE"/>
    <w:rsid w:val="6AAD1A41"/>
    <w:rsid w:val="6B9C347D"/>
    <w:rsid w:val="6BAC18E9"/>
    <w:rsid w:val="6D2F1B21"/>
    <w:rsid w:val="6D49361E"/>
    <w:rsid w:val="6E5F172B"/>
    <w:rsid w:val="6E7206C2"/>
    <w:rsid w:val="6E8126B3"/>
    <w:rsid w:val="6F366AAA"/>
    <w:rsid w:val="6F5D0B2F"/>
    <w:rsid w:val="6F6117F5"/>
    <w:rsid w:val="6F84274A"/>
    <w:rsid w:val="6FBE314B"/>
    <w:rsid w:val="6FDC216E"/>
    <w:rsid w:val="6FFE1AE2"/>
    <w:rsid w:val="70217AAF"/>
    <w:rsid w:val="70A0444C"/>
    <w:rsid w:val="714D47BD"/>
    <w:rsid w:val="718D3D8C"/>
    <w:rsid w:val="71A32941"/>
    <w:rsid w:val="71E7396A"/>
    <w:rsid w:val="72B34E05"/>
    <w:rsid w:val="74FC2405"/>
    <w:rsid w:val="76056484"/>
    <w:rsid w:val="76CF6EC2"/>
    <w:rsid w:val="76F854DD"/>
    <w:rsid w:val="78373BAC"/>
    <w:rsid w:val="78485FF0"/>
    <w:rsid w:val="78D4376C"/>
    <w:rsid w:val="79775D93"/>
    <w:rsid w:val="799B26EC"/>
    <w:rsid w:val="79DA107C"/>
    <w:rsid w:val="7B853EC3"/>
    <w:rsid w:val="7CAE2B9E"/>
    <w:rsid w:val="7D18299B"/>
    <w:rsid w:val="7E2F5732"/>
    <w:rsid w:val="7E9D0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0" w:semiHidden="0" w:name="footnote text"/>
    <w:lsdException w:qFormat="1" w:unhideWhenUsed="0" w:uiPriority="0" w:semiHidden="0" w:name="annotation text"/>
    <w:lsdException w:qFormat="1" w:uiPriority="99" w:semiHidden="0" w:name="header"/>
    <w:lsdException w:qFormat="1" w:uiPriority="99"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qFormat="1" w:uiPriority="0" w:semiHidden="0"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qFormat="1" w:unhideWhenUsed="0" w:uiPriority="0" w:semiHidden="0" w:name="List Continue"/>
    <w:lsdException w:qFormat="1" w:unhideWhenUsed="0" w:uiPriority="0" w:semiHidden="0" w:name="List Continue 2"/>
    <w:lsdException w:uiPriority="99" w:name="List Continue 3"/>
    <w:lsdException w:qFormat="1" w:unhideWhenUsed="0" w:uiPriority="0" w:semiHidden="0"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99" w:name="Body Text First Indent"/>
    <w:lsdException w:qFormat="1"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nhideWhenUsed="0" w:uiPriority="0" w:semiHidden="0" w:name="HTML Sample"/>
    <w:lsdException w:uiPriority="99" w:name="HTML Typewriter"/>
    <w:lsdException w:qFormat="1"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theme="minorBidi"/>
      <w:lang w:val="en-US" w:eastAsia="zh-CN" w:bidi="ar-SA"/>
    </w:rPr>
  </w:style>
  <w:style w:type="paragraph" w:styleId="5">
    <w:name w:val="heading 1"/>
    <w:basedOn w:val="1"/>
    <w:next w:val="1"/>
    <w:link w:val="89"/>
    <w:autoRedefine/>
    <w:qFormat/>
    <w:uiPriority w:val="0"/>
    <w:pPr>
      <w:keepNext/>
      <w:keepLines/>
      <w:spacing w:before="340" w:after="330" w:line="578" w:lineRule="auto"/>
      <w:outlineLvl w:val="0"/>
    </w:pPr>
    <w:rPr>
      <w:b/>
      <w:bCs/>
      <w:kern w:val="44"/>
      <w:sz w:val="44"/>
      <w:szCs w:val="44"/>
    </w:rPr>
  </w:style>
  <w:style w:type="paragraph" w:styleId="6">
    <w:name w:val="heading 2"/>
    <w:basedOn w:val="1"/>
    <w:next w:val="1"/>
    <w:link w:val="102"/>
    <w:autoRedefine/>
    <w:unhideWhenUsed/>
    <w:qFormat/>
    <w:uiPriority w:val="0"/>
    <w:pPr>
      <w:keepNext/>
      <w:keepLines/>
      <w:spacing w:before="260" w:after="260" w:line="416" w:lineRule="auto"/>
      <w:outlineLvl w:val="1"/>
    </w:pPr>
    <w:rPr>
      <w:rFonts w:ascii="Cambria" w:hAnsi="Cambria" w:cs="Times New Roman"/>
      <w:b/>
      <w:bCs/>
      <w:kern w:val="2"/>
      <w:sz w:val="32"/>
      <w:szCs w:val="32"/>
      <w:lang w:val="zh-CN"/>
    </w:rPr>
  </w:style>
  <w:style w:type="paragraph" w:styleId="7">
    <w:name w:val="heading 3"/>
    <w:basedOn w:val="1"/>
    <w:next w:val="1"/>
    <w:link w:val="91"/>
    <w:autoRedefine/>
    <w:unhideWhenUsed/>
    <w:qFormat/>
    <w:uiPriority w:val="0"/>
    <w:pPr>
      <w:keepNext/>
      <w:keepLines/>
      <w:spacing w:before="260" w:after="260" w:line="416" w:lineRule="auto"/>
      <w:outlineLvl w:val="2"/>
    </w:pPr>
    <w:rPr>
      <w:b/>
      <w:bCs/>
      <w:sz w:val="32"/>
      <w:szCs w:val="32"/>
    </w:rPr>
  </w:style>
  <w:style w:type="paragraph" w:styleId="8">
    <w:name w:val="heading 4"/>
    <w:basedOn w:val="1"/>
    <w:next w:val="1"/>
    <w:link w:val="96"/>
    <w:autoRedefine/>
    <w:qFormat/>
    <w:uiPriority w:val="0"/>
    <w:pPr>
      <w:keepNext/>
      <w:keepLines/>
      <w:spacing w:before="280" w:after="290" w:line="376" w:lineRule="auto"/>
      <w:outlineLvl w:val="3"/>
    </w:pPr>
    <w:rPr>
      <w:b/>
      <w:bCs/>
      <w:sz w:val="28"/>
      <w:szCs w:val="28"/>
    </w:rPr>
  </w:style>
  <w:style w:type="paragraph" w:styleId="9">
    <w:name w:val="heading 5"/>
    <w:basedOn w:val="1"/>
    <w:next w:val="1"/>
    <w:link w:val="103"/>
    <w:autoRedefine/>
    <w:qFormat/>
    <w:uiPriority w:val="0"/>
    <w:pPr>
      <w:keepNext/>
      <w:keepLines/>
      <w:spacing w:before="280" w:after="290" w:line="376" w:lineRule="auto"/>
      <w:outlineLvl w:val="4"/>
    </w:pPr>
    <w:rPr>
      <w:rFonts w:ascii="Calibri" w:hAnsi="Calibri" w:cs="Times New Roman"/>
      <w:b/>
      <w:bCs/>
      <w:kern w:val="2"/>
      <w:sz w:val="28"/>
      <w:szCs w:val="28"/>
      <w:lang w:val="zh-CN"/>
    </w:rPr>
  </w:style>
  <w:style w:type="paragraph" w:styleId="10">
    <w:name w:val="heading 6"/>
    <w:basedOn w:val="9"/>
    <w:next w:val="1"/>
    <w:link w:val="104"/>
    <w:autoRedefine/>
    <w:qFormat/>
    <w:uiPriority w:val="0"/>
    <w:pPr>
      <w:tabs>
        <w:tab w:val="left" w:pos="1440"/>
      </w:tabs>
      <w:spacing w:before="260" w:after="260" w:line="360" w:lineRule="auto"/>
      <w:ind w:left="1134" w:hanging="1134"/>
      <w:outlineLvl w:val="5"/>
    </w:pPr>
    <w:rPr>
      <w:rFonts w:ascii="Times New Roman" w:hAnsi="Times New Roman"/>
      <w:sz w:val="30"/>
      <w:szCs w:val="18"/>
    </w:rPr>
  </w:style>
  <w:style w:type="paragraph" w:styleId="11">
    <w:name w:val="heading 7"/>
    <w:basedOn w:val="10"/>
    <w:next w:val="1"/>
    <w:link w:val="105"/>
    <w:autoRedefine/>
    <w:qFormat/>
    <w:uiPriority w:val="0"/>
    <w:pPr>
      <w:tabs>
        <w:tab w:val="left" w:pos="1800"/>
        <w:tab w:val="clear" w:pos="1440"/>
      </w:tabs>
      <w:ind w:left="1276" w:hanging="1276"/>
      <w:outlineLvl w:val="6"/>
    </w:pPr>
  </w:style>
  <w:style w:type="paragraph" w:styleId="12">
    <w:name w:val="heading 8"/>
    <w:basedOn w:val="1"/>
    <w:next w:val="1"/>
    <w:link w:val="106"/>
    <w:autoRedefine/>
    <w:qFormat/>
    <w:uiPriority w:val="0"/>
    <w:pPr>
      <w:keepNext/>
      <w:keepLines/>
      <w:spacing w:line="400" w:lineRule="exact"/>
      <w:jc w:val="center"/>
      <w:outlineLvl w:val="7"/>
    </w:pPr>
    <w:rPr>
      <w:rFonts w:eastAsia="黑体" w:cs="Times New Roman"/>
      <w:kern w:val="2"/>
      <w:sz w:val="32"/>
      <w:szCs w:val="32"/>
      <w:lang w:val="zh-CN"/>
    </w:rPr>
  </w:style>
  <w:style w:type="paragraph" w:styleId="13">
    <w:name w:val="heading 9"/>
    <w:basedOn w:val="1"/>
    <w:next w:val="1"/>
    <w:link w:val="107"/>
    <w:autoRedefine/>
    <w:unhideWhenUsed/>
    <w:qFormat/>
    <w:uiPriority w:val="0"/>
    <w:pPr>
      <w:keepNext/>
      <w:keepLines/>
      <w:spacing w:before="240" w:after="64" w:line="320" w:lineRule="auto"/>
      <w:outlineLvl w:val="8"/>
    </w:pPr>
    <w:rPr>
      <w:rFonts w:ascii="Cambria" w:hAnsi="Cambria" w:cs="Times New Roman"/>
      <w:kern w:val="2"/>
      <w:sz w:val="21"/>
      <w:szCs w:val="21"/>
      <w:lang w:val="zh-CN"/>
    </w:rPr>
  </w:style>
  <w:style w:type="character" w:default="1" w:styleId="57">
    <w:name w:val="Default Paragraph Font"/>
    <w:autoRedefine/>
    <w:semiHidden/>
    <w:unhideWhenUsed/>
    <w:qFormat/>
    <w:uiPriority w:val="1"/>
  </w:style>
  <w:style w:type="table" w:default="1" w:styleId="55">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99"/>
    <w:pPr>
      <w:spacing w:after="120"/>
      <w:ind w:left="420" w:leftChars="200" w:firstLine="420" w:firstLineChars="200"/>
    </w:pPr>
    <w:rPr>
      <w:sz w:val="21"/>
    </w:rPr>
  </w:style>
  <w:style w:type="paragraph" w:styleId="3">
    <w:name w:val="Body Text Indent"/>
    <w:basedOn w:val="1"/>
    <w:next w:val="4"/>
    <w:link w:val="112"/>
    <w:autoRedefine/>
    <w:unhideWhenUsed/>
    <w:qFormat/>
    <w:uiPriority w:val="0"/>
    <w:pPr>
      <w:spacing w:after="120"/>
      <w:ind w:left="420" w:leftChars="200"/>
    </w:pPr>
    <w:rPr>
      <w:rFonts w:asciiTheme="minorHAnsi" w:hAnsiTheme="minorHAnsi"/>
      <w:kern w:val="2"/>
      <w:sz w:val="21"/>
      <w:szCs w:val="22"/>
    </w:rPr>
  </w:style>
  <w:style w:type="paragraph" w:styleId="4">
    <w:name w:val="envelope return"/>
    <w:basedOn w:val="1"/>
    <w:qFormat/>
    <w:uiPriority w:val="0"/>
    <w:pPr>
      <w:snapToGrid w:val="0"/>
    </w:pPr>
    <w:rPr>
      <w:rFonts w:ascii="Arial" w:hAnsi="Arial"/>
    </w:rPr>
  </w:style>
  <w:style w:type="paragraph" w:styleId="14">
    <w:name w:val="List 3"/>
    <w:basedOn w:val="1"/>
    <w:autoRedefine/>
    <w:qFormat/>
    <w:uiPriority w:val="0"/>
    <w:pPr>
      <w:ind w:left="100" w:leftChars="400" w:hanging="200" w:hangingChars="200"/>
    </w:pPr>
    <w:rPr>
      <w:rFonts w:ascii="Calibri" w:hAnsi="Calibri" w:cs="Times New Roman"/>
      <w:kern w:val="2"/>
      <w:sz w:val="21"/>
      <w:szCs w:val="22"/>
    </w:rPr>
  </w:style>
  <w:style w:type="paragraph" w:styleId="15">
    <w:name w:val="toc 7"/>
    <w:basedOn w:val="1"/>
    <w:next w:val="1"/>
    <w:autoRedefine/>
    <w:unhideWhenUsed/>
    <w:qFormat/>
    <w:uiPriority w:val="39"/>
    <w:pPr>
      <w:ind w:left="1260"/>
      <w:jc w:val="left"/>
    </w:pPr>
    <w:rPr>
      <w:rFonts w:ascii="Calibri" w:hAnsi="Calibri" w:cs="Calibri"/>
      <w:kern w:val="2"/>
      <w:sz w:val="18"/>
      <w:szCs w:val="18"/>
    </w:rPr>
  </w:style>
  <w:style w:type="paragraph" w:styleId="16">
    <w:name w:val="Normal Indent"/>
    <w:basedOn w:val="1"/>
    <w:autoRedefine/>
    <w:qFormat/>
    <w:uiPriority w:val="0"/>
    <w:pPr>
      <w:autoSpaceDE w:val="0"/>
      <w:autoSpaceDN w:val="0"/>
      <w:adjustRightInd w:val="0"/>
      <w:ind w:firstLine="420"/>
      <w:jc w:val="left"/>
    </w:pPr>
    <w:rPr>
      <w:rFonts w:hAnsi="Times New Roman" w:cs="Times New Roman"/>
      <w:sz w:val="24"/>
    </w:rPr>
  </w:style>
  <w:style w:type="paragraph" w:styleId="17">
    <w:name w:val="caption"/>
    <w:basedOn w:val="1"/>
    <w:next w:val="1"/>
    <w:autoRedefine/>
    <w:qFormat/>
    <w:uiPriority w:val="0"/>
    <w:pPr>
      <w:spacing w:before="152" w:after="160"/>
    </w:pPr>
    <w:rPr>
      <w:rFonts w:ascii="Arial" w:hAnsi="Arial" w:eastAsia="黑体" w:cs="Arial"/>
      <w:kern w:val="2"/>
    </w:rPr>
  </w:style>
  <w:style w:type="paragraph" w:styleId="18">
    <w:name w:val="Document Map"/>
    <w:basedOn w:val="1"/>
    <w:link w:val="152"/>
    <w:autoRedefine/>
    <w:qFormat/>
    <w:uiPriority w:val="0"/>
    <w:pPr>
      <w:shd w:val="clear" w:color="auto" w:fill="000080"/>
    </w:pPr>
    <w:rPr>
      <w:rFonts w:ascii="Calibri" w:hAnsi="Calibri" w:cs="Times New Roman"/>
      <w:bCs/>
      <w:kern w:val="2"/>
      <w:sz w:val="21"/>
      <w:szCs w:val="32"/>
      <w:lang w:val="zh-CN"/>
    </w:rPr>
  </w:style>
  <w:style w:type="paragraph" w:styleId="19">
    <w:name w:val="annotation text"/>
    <w:basedOn w:val="1"/>
    <w:link w:val="88"/>
    <w:autoRedefine/>
    <w:qFormat/>
    <w:uiPriority w:val="0"/>
    <w:pPr>
      <w:jc w:val="left"/>
    </w:pPr>
    <w:rPr>
      <w:rFonts w:ascii="Arial" w:hAnsi="Arial" w:eastAsia="黑体" w:cs="Arial"/>
    </w:rPr>
  </w:style>
  <w:style w:type="paragraph" w:styleId="20">
    <w:name w:val="Salutation"/>
    <w:basedOn w:val="1"/>
    <w:next w:val="1"/>
    <w:link w:val="118"/>
    <w:autoRedefine/>
    <w:qFormat/>
    <w:uiPriority w:val="0"/>
    <w:rPr>
      <w:rFonts w:ascii="仿宋_GB2312" w:hAnsi="Times New Roman" w:eastAsia="仿宋_GB2312" w:cs="Times New Roman"/>
      <w:kern w:val="2"/>
      <w:sz w:val="28"/>
      <w:lang w:val="zh-CN"/>
    </w:rPr>
  </w:style>
  <w:style w:type="paragraph" w:styleId="21">
    <w:name w:val="Body Text 3"/>
    <w:basedOn w:val="1"/>
    <w:link w:val="138"/>
    <w:autoRedefine/>
    <w:qFormat/>
    <w:uiPriority w:val="0"/>
    <w:pPr>
      <w:adjustRightInd w:val="0"/>
      <w:snapToGrid w:val="0"/>
    </w:pPr>
    <w:rPr>
      <w:rFonts w:ascii="仿宋_GB2312" w:eastAsia="仿宋_GB2312" w:cs="Times New Roman"/>
      <w:bCs/>
      <w:color w:val="000000"/>
      <w:kern w:val="2"/>
      <w:sz w:val="24"/>
      <w:szCs w:val="32"/>
      <w:lang w:val="zh-CN"/>
    </w:rPr>
  </w:style>
  <w:style w:type="paragraph" w:styleId="22">
    <w:name w:val="Body Text"/>
    <w:basedOn w:val="1"/>
    <w:link w:val="97"/>
    <w:autoRedefine/>
    <w:qFormat/>
    <w:uiPriority w:val="0"/>
    <w:pPr>
      <w:spacing w:after="120"/>
    </w:pPr>
    <w:rPr>
      <w:rFonts w:ascii="@微软简标宋" w:hAnsi="@微软简标宋" w:eastAsia="@微软简标宋" w:cs="@微软简标宋"/>
      <w:szCs w:val="24"/>
      <w:lang w:val="zh-CN"/>
    </w:rPr>
  </w:style>
  <w:style w:type="paragraph" w:styleId="23">
    <w:name w:val="List 2"/>
    <w:basedOn w:val="1"/>
    <w:autoRedefine/>
    <w:qFormat/>
    <w:uiPriority w:val="0"/>
    <w:pPr>
      <w:ind w:left="100" w:leftChars="200" w:hanging="200" w:hangingChars="200"/>
    </w:pPr>
    <w:rPr>
      <w:rFonts w:ascii="Calibri" w:hAnsi="Calibri" w:cs="Times New Roman"/>
      <w:kern w:val="2"/>
      <w:sz w:val="21"/>
      <w:szCs w:val="22"/>
    </w:rPr>
  </w:style>
  <w:style w:type="paragraph" w:styleId="24">
    <w:name w:val="List Continue"/>
    <w:basedOn w:val="1"/>
    <w:autoRedefine/>
    <w:qFormat/>
    <w:uiPriority w:val="0"/>
    <w:pPr>
      <w:spacing w:after="120"/>
      <w:ind w:left="420" w:leftChars="200"/>
    </w:pPr>
    <w:rPr>
      <w:rFonts w:ascii="Calibri" w:hAnsi="Calibri" w:cs="Times New Roman"/>
      <w:kern w:val="2"/>
      <w:sz w:val="21"/>
      <w:szCs w:val="22"/>
    </w:rPr>
  </w:style>
  <w:style w:type="paragraph" w:styleId="25">
    <w:name w:val="Block Text"/>
    <w:basedOn w:val="1"/>
    <w:autoRedefine/>
    <w:qFormat/>
    <w:uiPriority w:val="0"/>
    <w:pPr>
      <w:autoSpaceDE w:val="0"/>
      <w:autoSpaceDN w:val="0"/>
      <w:adjustRightInd w:val="0"/>
      <w:spacing w:line="1270" w:lineRule="exact"/>
      <w:ind w:left="2160" w:right="-20" w:hanging="2160" w:hangingChars="300"/>
      <w:jc w:val="left"/>
    </w:pPr>
    <w:rPr>
      <w:rFonts w:ascii="Calibri" w:hAnsi="Calibri" w:eastAsia="仿宋_GB2312" w:cs="Times New Roman"/>
      <w:kern w:val="2"/>
      <w:sz w:val="72"/>
    </w:rPr>
  </w:style>
  <w:style w:type="paragraph" w:styleId="26">
    <w:name w:val="index 4"/>
    <w:basedOn w:val="1"/>
    <w:next w:val="1"/>
    <w:autoRedefine/>
    <w:qFormat/>
    <w:uiPriority w:val="0"/>
    <w:pPr>
      <w:ind w:left="600" w:leftChars="600"/>
    </w:pPr>
    <w:rPr>
      <w:rFonts w:ascii="Times New Roman" w:hAnsi="Times New Roman" w:cs="Times New Roman"/>
      <w:kern w:val="2"/>
      <w:sz w:val="21"/>
      <w:szCs w:val="24"/>
    </w:rPr>
  </w:style>
  <w:style w:type="paragraph" w:styleId="27">
    <w:name w:val="toc 5"/>
    <w:basedOn w:val="1"/>
    <w:next w:val="1"/>
    <w:autoRedefine/>
    <w:unhideWhenUsed/>
    <w:qFormat/>
    <w:uiPriority w:val="39"/>
    <w:pPr>
      <w:ind w:left="840"/>
      <w:jc w:val="left"/>
    </w:pPr>
    <w:rPr>
      <w:rFonts w:ascii="Calibri" w:hAnsi="Calibri" w:cs="Calibri"/>
      <w:kern w:val="2"/>
      <w:sz w:val="18"/>
      <w:szCs w:val="18"/>
    </w:rPr>
  </w:style>
  <w:style w:type="paragraph" w:styleId="28">
    <w:name w:val="toc 3"/>
    <w:basedOn w:val="1"/>
    <w:next w:val="1"/>
    <w:autoRedefine/>
    <w:unhideWhenUsed/>
    <w:qFormat/>
    <w:uiPriority w:val="39"/>
    <w:pPr>
      <w:widowControl/>
      <w:spacing w:after="100" w:line="276" w:lineRule="auto"/>
      <w:ind w:left="440"/>
      <w:jc w:val="left"/>
    </w:pPr>
    <w:rPr>
      <w:rFonts w:asciiTheme="minorHAnsi" w:hAnsiTheme="minorHAnsi" w:eastAsiaTheme="minorEastAsia"/>
      <w:sz w:val="22"/>
      <w:szCs w:val="22"/>
    </w:rPr>
  </w:style>
  <w:style w:type="paragraph" w:styleId="29">
    <w:name w:val="Plain Text"/>
    <w:basedOn w:val="1"/>
    <w:link w:val="77"/>
    <w:autoRedefine/>
    <w:qFormat/>
    <w:uiPriority w:val="0"/>
    <w:rPr>
      <w:rFonts w:hAnsi="Courier New" w:eastAsiaTheme="minorEastAsia"/>
      <w:szCs w:val="22"/>
    </w:rPr>
  </w:style>
  <w:style w:type="paragraph" w:styleId="30">
    <w:name w:val="toc 8"/>
    <w:basedOn w:val="1"/>
    <w:next w:val="1"/>
    <w:autoRedefine/>
    <w:unhideWhenUsed/>
    <w:qFormat/>
    <w:uiPriority w:val="39"/>
    <w:pPr>
      <w:ind w:left="1470"/>
      <w:jc w:val="left"/>
    </w:pPr>
    <w:rPr>
      <w:rFonts w:ascii="Calibri" w:hAnsi="Calibri" w:cs="Calibri"/>
      <w:kern w:val="2"/>
      <w:sz w:val="18"/>
      <w:szCs w:val="18"/>
    </w:rPr>
  </w:style>
  <w:style w:type="paragraph" w:styleId="31">
    <w:name w:val="Date"/>
    <w:basedOn w:val="1"/>
    <w:next w:val="1"/>
    <w:link w:val="84"/>
    <w:autoRedefine/>
    <w:qFormat/>
    <w:uiPriority w:val="0"/>
    <w:rPr>
      <w:rFonts w:ascii="Arial" w:hAnsi="Arial" w:cs="Arial"/>
      <w:b/>
      <w:sz w:val="28"/>
    </w:rPr>
  </w:style>
  <w:style w:type="paragraph" w:styleId="32">
    <w:name w:val="Body Text Indent 2"/>
    <w:basedOn w:val="1"/>
    <w:link w:val="134"/>
    <w:autoRedefine/>
    <w:qFormat/>
    <w:uiPriority w:val="0"/>
    <w:pPr>
      <w:widowControl/>
      <w:overflowPunct w:val="0"/>
      <w:autoSpaceDE w:val="0"/>
      <w:autoSpaceDN w:val="0"/>
      <w:adjustRightInd w:val="0"/>
      <w:spacing w:line="360" w:lineRule="auto"/>
      <w:ind w:firstLine="555"/>
      <w:textAlignment w:val="baseline"/>
    </w:pPr>
    <w:rPr>
      <w:rFonts w:hAnsi="MS Sans Serif" w:cs="Times New Roman"/>
      <w:bCs/>
      <w:spacing w:val="12"/>
      <w:sz w:val="24"/>
      <w:lang w:val="zh-CN"/>
    </w:rPr>
  </w:style>
  <w:style w:type="paragraph" w:styleId="33">
    <w:name w:val="Balloon Text"/>
    <w:basedOn w:val="1"/>
    <w:link w:val="71"/>
    <w:autoRedefine/>
    <w:unhideWhenUsed/>
    <w:qFormat/>
    <w:uiPriority w:val="0"/>
    <w:rPr>
      <w:sz w:val="18"/>
      <w:szCs w:val="18"/>
    </w:rPr>
  </w:style>
  <w:style w:type="paragraph" w:styleId="34">
    <w:name w:val="footer"/>
    <w:basedOn w:val="1"/>
    <w:link w:val="76"/>
    <w:autoRedefine/>
    <w:unhideWhenUsed/>
    <w:qFormat/>
    <w:uiPriority w:val="99"/>
    <w:pPr>
      <w:tabs>
        <w:tab w:val="center" w:pos="4153"/>
        <w:tab w:val="right" w:pos="8306"/>
      </w:tabs>
      <w:snapToGrid w:val="0"/>
      <w:jc w:val="left"/>
    </w:pPr>
    <w:rPr>
      <w:sz w:val="18"/>
      <w:szCs w:val="18"/>
    </w:rPr>
  </w:style>
  <w:style w:type="paragraph" w:styleId="35">
    <w:name w:val="header"/>
    <w:basedOn w:val="1"/>
    <w:link w:val="7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36">
    <w:name w:val="toc 1"/>
    <w:basedOn w:val="1"/>
    <w:next w:val="1"/>
    <w:autoRedefine/>
    <w:unhideWhenUsed/>
    <w:qFormat/>
    <w:uiPriority w:val="39"/>
    <w:pPr>
      <w:widowControl/>
      <w:spacing w:after="100" w:line="276" w:lineRule="auto"/>
      <w:jc w:val="left"/>
    </w:pPr>
    <w:rPr>
      <w:rFonts w:asciiTheme="minorHAnsi" w:hAnsiTheme="minorHAnsi" w:eastAsiaTheme="minorEastAsia"/>
      <w:sz w:val="22"/>
      <w:szCs w:val="22"/>
    </w:rPr>
  </w:style>
  <w:style w:type="paragraph" w:styleId="37">
    <w:name w:val="List Continue 4"/>
    <w:basedOn w:val="1"/>
    <w:autoRedefine/>
    <w:qFormat/>
    <w:uiPriority w:val="0"/>
    <w:pPr>
      <w:spacing w:after="120"/>
      <w:ind w:left="1680" w:leftChars="800"/>
    </w:pPr>
    <w:rPr>
      <w:rFonts w:ascii="Calibri" w:hAnsi="Calibri" w:cs="Times New Roman"/>
      <w:kern w:val="2"/>
      <w:sz w:val="21"/>
      <w:szCs w:val="22"/>
    </w:rPr>
  </w:style>
  <w:style w:type="paragraph" w:styleId="38">
    <w:name w:val="toc 4"/>
    <w:basedOn w:val="1"/>
    <w:next w:val="1"/>
    <w:autoRedefine/>
    <w:unhideWhenUsed/>
    <w:qFormat/>
    <w:uiPriority w:val="39"/>
    <w:pPr>
      <w:ind w:left="630"/>
      <w:jc w:val="left"/>
    </w:pPr>
    <w:rPr>
      <w:rFonts w:ascii="Calibri" w:hAnsi="Calibri" w:cs="Calibri"/>
      <w:kern w:val="2"/>
      <w:sz w:val="18"/>
      <w:szCs w:val="18"/>
    </w:rPr>
  </w:style>
  <w:style w:type="paragraph" w:styleId="39">
    <w:name w:val="index heading"/>
    <w:basedOn w:val="1"/>
    <w:next w:val="40"/>
    <w:autoRedefine/>
    <w:semiHidden/>
    <w:qFormat/>
    <w:uiPriority w:val="0"/>
    <w:rPr>
      <w:rFonts w:ascii="Times New Roman" w:hAnsi="Times New Roman" w:cs="Times New Roman"/>
      <w:kern w:val="2"/>
      <w:sz w:val="21"/>
      <w:szCs w:val="24"/>
    </w:rPr>
  </w:style>
  <w:style w:type="paragraph" w:styleId="40">
    <w:name w:val="index 1"/>
    <w:basedOn w:val="1"/>
    <w:next w:val="1"/>
    <w:autoRedefine/>
    <w:qFormat/>
    <w:uiPriority w:val="0"/>
    <w:pPr>
      <w:jc w:val="center"/>
    </w:pPr>
    <w:rPr>
      <w:rFonts w:ascii="Arial" w:hAnsi="Arial" w:eastAsia="Arial" w:cs="Arial"/>
      <w:b/>
      <w:bCs/>
      <w:sz w:val="28"/>
    </w:rPr>
  </w:style>
  <w:style w:type="paragraph" w:styleId="41">
    <w:name w:val="Subtitle"/>
    <w:basedOn w:val="1"/>
    <w:link w:val="226"/>
    <w:autoRedefine/>
    <w:qFormat/>
    <w:uiPriority w:val="0"/>
    <w:pPr>
      <w:spacing w:before="240" w:after="60" w:line="312" w:lineRule="auto"/>
      <w:jc w:val="center"/>
      <w:outlineLvl w:val="1"/>
    </w:pPr>
    <w:rPr>
      <w:rFonts w:ascii="Arial" w:hAnsi="Arial" w:cs="Times New Roman"/>
      <w:b/>
      <w:bCs/>
      <w:kern w:val="28"/>
      <w:sz w:val="32"/>
      <w:szCs w:val="32"/>
      <w:lang w:val="zh-CN"/>
    </w:rPr>
  </w:style>
  <w:style w:type="paragraph" w:styleId="42">
    <w:name w:val="List"/>
    <w:basedOn w:val="1"/>
    <w:autoRedefine/>
    <w:qFormat/>
    <w:uiPriority w:val="0"/>
    <w:pPr>
      <w:ind w:left="200" w:hanging="200" w:hangingChars="200"/>
    </w:pPr>
    <w:rPr>
      <w:rFonts w:ascii="Calibri" w:hAnsi="Calibri" w:cs="Times New Roman"/>
      <w:kern w:val="2"/>
      <w:sz w:val="21"/>
      <w:szCs w:val="22"/>
    </w:rPr>
  </w:style>
  <w:style w:type="paragraph" w:styleId="43">
    <w:name w:val="footnote text"/>
    <w:basedOn w:val="1"/>
    <w:link w:val="114"/>
    <w:autoRedefine/>
    <w:unhideWhenUsed/>
    <w:qFormat/>
    <w:uiPriority w:val="0"/>
    <w:pPr>
      <w:snapToGrid w:val="0"/>
      <w:jc w:val="left"/>
    </w:pPr>
    <w:rPr>
      <w:rFonts w:ascii="Times New Roman" w:hAnsi="Times New Roman" w:cs="Times New Roman"/>
      <w:kern w:val="2"/>
      <w:sz w:val="18"/>
      <w:szCs w:val="18"/>
      <w:lang w:val="zh-CN"/>
    </w:rPr>
  </w:style>
  <w:style w:type="paragraph" w:styleId="44">
    <w:name w:val="toc 6"/>
    <w:basedOn w:val="1"/>
    <w:next w:val="1"/>
    <w:autoRedefine/>
    <w:unhideWhenUsed/>
    <w:qFormat/>
    <w:uiPriority w:val="39"/>
    <w:pPr>
      <w:ind w:left="1050"/>
      <w:jc w:val="left"/>
    </w:pPr>
    <w:rPr>
      <w:rFonts w:ascii="Calibri" w:hAnsi="Calibri" w:cs="Calibri"/>
      <w:kern w:val="2"/>
      <w:sz w:val="18"/>
      <w:szCs w:val="18"/>
    </w:rPr>
  </w:style>
  <w:style w:type="paragraph" w:styleId="45">
    <w:name w:val="Body Text Indent 3"/>
    <w:basedOn w:val="1"/>
    <w:link w:val="133"/>
    <w:autoRedefine/>
    <w:qFormat/>
    <w:uiPriority w:val="0"/>
    <w:pPr>
      <w:widowControl/>
      <w:overflowPunct w:val="0"/>
      <w:autoSpaceDE w:val="0"/>
      <w:autoSpaceDN w:val="0"/>
      <w:adjustRightInd w:val="0"/>
      <w:spacing w:line="360" w:lineRule="auto"/>
      <w:ind w:firstLine="540"/>
      <w:textAlignment w:val="baseline"/>
    </w:pPr>
    <w:rPr>
      <w:rFonts w:hAnsi="MS Sans Serif" w:cs="Times New Roman"/>
      <w:bCs/>
      <w:color w:val="000000"/>
      <w:sz w:val="24"/>
      <w:lang w:val="zh-CN"/>
    </w:rPr>
  </w:style>
  <w:style w:type="paragraph" w:styleId="46">
    <w:name w:val="toc 2"/>
    <w:basedOn w:val="1"/>
    <w:next w:val="1"/>
    <w:autoRedefine/>
    <w:unhideWhenUsed/>
    <w:qFormat/>
    <w:uiPriority w:val="39"/>
    <w:pPr>
      <w:widowControl/>
      <w:spacing w:after="100" w:line="276" w:lineRule="auto"/>
      <w:ind w:left="220"/>
      <w:jc w:val="left"/>
    </w:pPr>
    <w:rPr>
      <w:rFonts w:asciiTheme="minorHAnsi" w:hAnsiTheme="minorHAnsi" w:eastAsiaTheme="minorEastAsia"/>
      <w:sz w:val="22"/>
      <w:szCs w:val="22"/>
    </w:rPr>
  </w:style>
  <w:style w:type="paragraph" w:styleId="47">
    <w:name w:val="toc 9"/>
    <w:basedOn w:val="1"/>
    <w:next w:val="1"/>
    <w:autoRedefine/>
    <w:unhideWhenUsed/>
    <w:qFormat/>
    <w:uiPriority w:val="39"/>
    <w:pPr>
      <w:ind w:left="1680"/>
      <w:jc w:val="left"/>
    </w:pPr>
    <w:rPr>
      <w:rFonts w:ascii="Calibri" w:hAnsi="Calibri" w:cs="Calibri"/>
      <w:kern w:val="2"/>
      <w:sz w:val="18"/>
      <w:szCs w:val="18"/>
    </w:rPr>
  </w:style>
  <w:style w:type="paragraph" w:styleId="48">
    <w:name w:val="Body Text 2"/>
    <w:basedOn w:val="1"/>
    <w:link w:val="137"/>
    <w:autoRedefine/>
    <w:qFormat/>
    <w:uiPriority w:val="0"/>
    <w:pPr>
      <w:spacing w:line="360" w:lineRule="auto"/>
    </w:pPr>
    <w:rPr>
      <w:rFonts w:hAnsi="Times New Roman" w:cs="Times New Roman"/>
      <w:spacing w:val="-20"/>
      <w:kern w:val="2"/>
      <w:sz w:val="28"/>
      <w:lang w:val="zh-CN"/>
    </w:rPr>
  </w:style>
  <w:style w:type="paragraph" w:styleId="49">
    <w:name w:val="List 4"/>
    <w:basedOn w:val="1"/>
    <w:autoRedefine/>
    <w:qFormat/>
    <w:uiPriority w:val="0"/>
    <w:pPr>
      <w:ind w:left="100" w:leftChars="600" w:hanging="200" w:hangingChars="200"/>
    </w:pPr>
    <w:rPr>
      <w:rFonts w:ascii="Calibri" w:hAnsi="Calibri" w:cs="Times New Roman"/>
      <w:kern w:val="2"/>
      <w:sz w:val="21"/>
      <w:szCs w:val="22"/>
    </w:rPr>
  </w:style>
  <w:style w:type="paragraph" w:styleId="50">
    <w:name w:val="List Continue 2"/>
    <w:basedOn w:val="1"/>
    <w:autoRedefine/>
    <w:qFormat/>
    <w:uiPriority w:val="0"/>
    <w:pPr>
      <w:spacing w:after="120"/>
      <w:ind w:left="840" w:leftChars="400"/>
    </w:pPr>
    <w:rPr>
      <w:rFonts w:ascii="Calibri" w:hAnsi="Calibri" w:cs="Times New Roman"/>
      <w:kern w:val="2"/>
      <w:sz w:val="21"/>
      <w:szCs w:val="22"/>
    </w:rPr>
  </w:style>
  <w:style w:type="paragraph" w:styleId="51">
    <w:name w:val="Normal (Web)"/>
    <w:basedOn w:val="1"/>
    <w:autoRedefine/>
    <w:qFormat/>
    <w:uiPriority w:val="0"/>
    <w:pPr>
      <w:widowControl/>
      <w:spacing w:before="100" w:beforeAutospacing="1" w:after="100" w:afterAutospacing="1"/>
      <w:jc w:val="left"/>
    </w:pPr>
    <w:rPr>
      <w:rFonts w:cs="宋体"/>
      <w:color w:val="0066CC"/>
      <w:sz w:val="24"/>
      <w:szCs w:val="24"/>
    </w:rPr>
  </w:style>
  <w:style w:type="paragraph" w:styleId="52">
    <w:name w:val="Title"/>
    <w:basedOn w:val="6"/>
    <w:next w:val="1"/>
    <w:link w:val="141"/>
    <w:autoRedefine/>
    <w:qFormat/>
    <w:uiPriority w:val="0"/>
    <w:pPr>
      <w:spacing w:before="0" w:after="0" w:line="360" w:lineRule="auto"/>
      <w:jc w:val="center"/>
    </w:pPr>
    <w:rPr>
      <w:rFonts w:ascii="宋体" w:hAnsi="宋体" w:eastAsia="黑体"/>
      <w:bCs w:val="0"/>
      <w:smallCaps/>
      <w:snapToGrid w:val="0"/>
      <w:sz w:val="44"/>
      <w:szCs w:val="24"/>
    </w:rPr>
  </w:style>
  <w:style w:type="paragraph" w:styleId="53">
    <w:name w:val="annotation subject"/>
    <w:basedOn w:val="19"/>
    <w:next w:val="19"/>
    <w:link w:val="99"/>
    <w:autoRedefine/>
    <w:unhideWhenUsed/>
    <w:qFormat/>
    <w:uiPriority w:val="0"/>
    <w:rPr>
      <w:rFonts w:ascii="宋体" w:hAnsi="宋体" w:eastAsia="宋体" w:cstheme="minorBidi"/>
      <w:b/>
      <w:bCs/>
    </w:rPr>
  </w:style>
  <w:style w:type="paragraph" w:styleId="54">
    <w:name w:val="Body Text First Indent"/>
    <w:basedOn w:val="22"/>
    <w:autoRedefine/>
    <w:semiHidden/>
    <w:unhideWhenUsed/>
    <w:qFormat/>
    <w:uiPriority w:val="99"/>
    <w:pPr>
      <w:ind w:firstLine="420" w:firstLineChars="100"/>
    </w:pPr>
  </w:style>
  <w:style w:type="table" w:styleId="56">
    <w:name w:val="Table Grid"/>
    <w:basedOn w:val="55"/>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8">
    <w:name w:val="Strong"/>
    <w:autoRedefine/>
    <w:qFormat/>
    <w:uiPriority w:val="0"/>
    <w:rPr>
      <w:b/>
      <w:bCs/>
    </w:rPr>
  </w:style>
  <w:style w:type="character" w:styleId="59">
    <w:name w:val="page number"/>
    <w:basedOn w:val="57"/>
    <w:autoRedefine/>
    <w:qFormat/>
    <w:uiPriority w:val="0"/>
  </w:style>
  <w:style w:type="character" w:styleId="60">
    <w:name w:val="FollowedHyperlink"/>
    <w:basedOn w:val="57"/>
    <w:autoRedefine/>
    <w:semiHidden/>
    <w:unhideWhenUsed/>
    <w:qFormat/>
    <w:uiPriority w:val="99"/>
    <w:rPr>
      <w:color w:val="800080" w:themeColor="followedHyperlink"/>
      <w:u w:val="single"/>
      <w14:textFill>
        <w14:solidFill>
          <w14:schemeClr w14:val="folHlink"/>
        </w14:solidFill>
      </w14:textFill>
    </w:rPr>
  </w:style>
  <w:style w:type="character" w:styleId="61">
    <w:name w:val="Emphasis"/>
    <w:autoRedefine/>
    <w:qFormat/>
    <w:uiPriority w:val="0"/>
    <w:rPr>
      <w:color w:val="CC0033"/>
    </w:rPr>
  </w:style>
  <w:style w:type="character" w:styleId="62">
    <w:name w:val="HTML Definition"/>
    <w:basedOn w:val="57"/>
    <w:semiHidden/>
    <w:unhideWhenUsed/>
    <w:qFormat/>
    <w:uiPriority w:val="99"/>
  </w:style>
  <w:style w:type="character" w:styleId="63">
    <w:name w:val="HTML Variable"/>
    <w:basedOn w:val="57"/>
    <w:semiHidden/>
    <w:unhideWhenUsed/>
    <w:qFormat/>
    <w:uiPriority w:val="99"/>
  </w:style>
  <w:style w:type="character" w:styleId="64">
    <w:name w:val="Hyperlink"/>
    <w:basedOn w:val="57"/>
    <w:autoRedefine/>
    <w:unhideWhenUsed/>
    <w:qFormat/>
    <w:uiPriority w:val="99"/>
    <w:rPr>
      <w:color w:val="0000FF" w:themeColor="hyperlink"/>
      <w:u w:val="single"/>
      <w14:textFill>
        <w14:solidFill>
          <w14:schemeClr w14:val="hlink"/>
        </w14:solidFill>
      </w14:textFill>
    </w:rPr>
  </w:style>
  <w:style w:type="character" w:styleId="65">
    <w:name w:val="HTML Code"/>
    <w:basedOn w:val="57"/>
    <w:semiHidden/>
    <w:unhideWhenUsed/>
    <w:qFormat/>
    <w:uiPriority w:val="99"/>
    <w:rPr>
      <w:rFonts w:ascii="Consolas" w:hAnsi="Consolas" w:eastAsia="Consolas" w:cs="Consolas"/>
      <w:color w:val="C7254E"/>
      <w:sz w:val="21"/>
      <w:szCs w:val="21"/>
      <w:shd w:val="clear" w:fill="F9F2F4"/>
    </w:rPr>
  </w:style>
  <w:style w:type="character" w:styleId="66">
    <w:name w:val="annotation reference"/>
    <w:basedOn w:val="57"/>
    <w:autoRedefine/>
    <w:unhideWhenUsed/>
    <w:qFormat/>
    <w:uiPriority w:val="0"/>
    <w:rPr>
      <w:sz w:val="21"/>
      <w:szCs w:val="21"/>
    </w:rPr>
  </w:style>
  <w:style w:type="character" w:styleId="67">
    <w:name w:val="HTML Cite"/>
    <w:basedOn w:val="57"/>
    <w:semiHidden/>
    <w:unhideWhenUsed/>
    <w:qFormat/>
    <w:uiPriority w:val="99"/>
  </w:style>
  <w:style w:type="character" w:styleId="68">
    <w:name w:val="footnote reference"/>
    <w:autoRedefine/>
    <w:unhideWhenUsed/>
    <w:qFormat/>
    <w:uiPriority w:val="0"/>
    <w:rPr>
      <w:vertAlign w:val="superscript"/>
    </w:rPr>
  </w:style>
  <w:style w:type="character" w:styleId="69">
    <w:name w:val="HTML Keyboard"/>
    <w:basedOn w:val="57"/>
    <w:semiHidden/>
    <w:unhideWhenUsed/>
    <w:qFormat/>
    <w:uiPriority w:val="99"/>
    <w:rPr>
      <w:rFonts w:hint="default" w:ascii="Consolas" w:hAnsi="Consolas" w:eastAsia="Consolas" w:cs="Consolas"/>
      <w:color w:val="FFFFFF"/>
      <w:sz w:val="21"/>
      <w:szCs w:val="21"/>
      <w:shd w:val="clear" w:fill="333333"/>
    </w:rPr>
  </w:style>
  <w:style w:type="character" w:styleId="70">
    <w:name w:val="HTML Sample"/>
    <w:autoRedefine/>
    <w:qFormat/>
    <w:uiPriority w:val="0"/>
    <w:rPr>
      <w:rFonts w:hint="default" w:ascii="monospace" w:hAnsi="monospace" w:eastAsia="monospace" w:cs="monospace"/>
      <w:sz w:val="21"/>
      <w:szCs w:val="21"/>
    </w:rPr>
  </w:style>
  <w:style w:type="character" w:customStyle="1" w:styleId="71">
    <w:name w:val="批注框文本 Char"/>
    <w:basedOn w:val="57"/>
    <w:link w:val="33"/>
    <w:autoRedefine/>
    <w:qFormat/>
    <w:uiPriority w:val="0"/>
    <w:rPr>
      <w:rFonts w:ascii="@仿宋_GB2312" w:hAnsi="@仿宋_GB2312" w:eastAsia="@仿宋_GB2312" w:cs="@仿宋_GB2312"/>
      <w:sz w:val="18"/>
      <w:szCs w:val="18"/>
    </w:rPr>
  </w:style>
  <w:style w:type="paragraph" w:customStyle="1" w:styleId="72">
    <w:name w:val="正文（缩进）"/>
    <w:basedOn w:val="1"/>
    <w:autoRedefine/>
    <w:qFormat/>
    <w:uiPriority w:val="0"/>
    <w:pPr>
      <w:widowControl/>
      <w:spacing w:before="156" w:after="156"/>
      <w:ind w:firstLine="480" w:firstLineChars="200"/>
      <w:jc w:val="left"/>
    </w:pPr>
    <w:rPr>
      <w:sz w:val="24"/>
      <w:szCs w:val="24"/>
    </w:rPr>
  </w:style>
  <w:style w:type="paragraph" w:customStyle="1" w:styleId="73">
    <w:name w:val="xl31"/>
    <w:basedOn w:val="1"/>
    <w:autoRedefine/>
    <w:qFormat/>
    <w:uiPriority w:val="0"/>
    <w:pPr>
      <w:widowControl/>
      <w:spacing w:before="100" w:beforeAutospacing="1" w:after="100" w:afterAutospacing="1"/>
      <w:jc w:val="center"/>
    </w:pPr>
    <w:rPr>
      <w:b/>
      <w:bCs/>
      <w:sz w:val="28"/>
      <w:szCs w:val="28"/>
    </w:rPr>
  </w:style>
  <w:style w:type="paragraph" w:customStyle="1" w:styleId="74">
    <w:name w:val="D&amp;L"/>
    <w:basedOn w:val="35"/>
    <w:autoRedefine/>
    <w:qFormat/>
    <w:uiPriority w:val="0"/>
    <w:pPr>
      <w:pBdr>
        <w:bottom w:val="thinThickSmallGap" w:color="auto" w:sz="18" w:space="1"/>
      </w:pBdr>
      <w:adjustRightInd w:val="0"/>
      <w:snapToGrid/>
      <w:spacing w:line="240" w:lineRule="atLeast"/>
      <w:textAlignment w:val="baseline"/>
    </w:pPr>
    <w:rPr>
      <w:sz w:val="24"/>
      <w:szCs w:val="20"/>
    </w:rPr>
  </w:style>
  <w:style w:type="character" w:customStyle="1" w:styleId="75">
    <w:name w:val="页眉 Char"/>
    <w:basedOn w:val="57"/>
    <w:link w:val="35"/>
    <w:autoRedefine/>
    <w:qFormat/>
    <w:uiPriority w:val="99"/>
    <w:rPr>
      <w:rFonts w:ascii="@仿宋_GB2312" w:hAnsi="@仿宋_GB2312" w:eastAsia="@仿宋_GB2312" w:cs="@仿宋_GB2312"/>
      <w:sz w:val="18"/>
      <w:szCs w:val="18"/>
    </w:rPr>
  </w:style>
  <w:style w:type="character" w:customStyle="1" w:styleId="76">
    <w:name w:val="页脚 Char"/>
    <w:basedOn w:val="57"/>
    <w:link w:val="34"/>
    <w:autoRedefine/>
    <w:qFormat/>
    <w:uiPriority w:val="99"/>
    <w:rPr>
      <w:rFonts w:ascii="@仿宋_GB2312" w:hAnsi="@仿宋_GB2312" w:eastAsia="@仿宋_GB2312" w:cs="@仿宋_GB2312"/>
      <w:sz w:val="18"/>
      <w:szCs w:val="18"/>
    </w:rPr>
  </w:style>
  <w:style w:type="character" w:customStyle="1" w:styleId="77">
    <w:name w:val="纯文本 Char"/>
    <w:link w:val="29"/>
    <w:autoRedefine/>
    <w:qFormat/>
    <w:uiPriority w:val="0"/>
    <w:rPr>
      <w:rFonts w:ascii="宋体" w:hAnsi="Courier New"/>
    </w:rPr>
  </w:style>
  <w:style w:type="character" w:customStyle="1" w:styleId="78">
    <w:name w:val="纯文本 字符1"/>
    <w:basedOn w:val="57"/>
    <w:autoRedefine/>
    <w:semiHidden/>
    <w:qFormat/>
    <w:uiPriority w:val="99"/>
    <w:rPr>
      <w:rFonts w:hAnsi="Courier New" w:cs="Courier New" w:asciiTheme="minorEastAsia"/>
      <w:szCs w:val="20"/>
    </w:rPr>
  </w:style>
  <w:style w:type="character" w:customStyle="1" w:styleId="79">
    <w:name w:val="未处理的提及1"/>
    <w:basedOn w:val="57"/>
    <w:autoRedefine/>
    <w:semiHidden/>
    <w:unhideWhenUsed/>
    <w:qFormat/>
    <w:uiPriority w:val="99"/>
    <w:rPr>
      <w:color w:val="605E5C"/>
      <w:shd w:val="clear" w:color="auto" w:fill="E1DFDD"/>
    </w:rPr>
  </w:style>
  <w:style w:type="paragraph" w:styleId="80">
    <w:name w:val="List Paragraph"/>
    <w:basedOn w:val="1"/>
    <w:autoRedefine/>
    <w:qFormat/>
    <w:uiPriority w:val="34"/>
    <w:pPr>
      <w:ind w:firstLine="420" w:firstLineChars="200"/>
    </w:pPr>
  </w:style>
  <w:style w:type="paragraph" w:customStyle="1" w:styleId="81">
    <w:name w:val="Char Char Char Char Char Char Char1 Char"/>
    <w:basedOn w:val="1"/>
    <w:autoRedefine/>
    <w:qFormat/>
    <w:uiPriority w:val="0"/>
    <w:rPr>
      <w:rFonts w:ascii="Arial" w:hAnsi="Arial" w:cs="Arial"/>
      <w:sz w:val="24"/>
    </w:rPr>
  </w:style>
  <w:style w:type="table" w:customStyle="1" w:styleId="82">
    <w:name w:val="网格表 1 浅色1"/>
    <w:basedOn w:val="55"/>
    <w:autoRedefine/>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83">
    <w:name w:val="日期 字符"/>
    <w:basedOn w:val="57"/>
    <w:autoRedefine/>
    <w:semiHidden/>
    <w:qFormat/>
    <w:uiPriority w:val="99"/>
    <w:rPr>
      <w:rFonts w:ascii="@仿宋_GB2312" w:hAnsi="@仿宋_GB2312" w:eastAsia="@仿宋_GB2312" w:cs="@仿宋_GB2312"/>
      <w:szCs w:val="20"/>
    </w:rPr>
  </w:style>
  <w:style w:type="character" w:customStyle="1" w:styleId="84">
    <w:name w:val="日期 Char"/>
    <w:link w:val="31"/>
    <w:autoRedefine/>
    <w:qFormat/>
    <w:uiPriority w:val="0"/>
    <w:rPr>
      <w:rFonts w:ascii="Arial" w:hAnsi="Arial" w:eastAsia="宋体" w:cs="Arial"/>
      <w:b/>
      <w:sz w:val="28"/>
      <w:szCs w:val="20"/>
    </w:rPr>
  </w:style>
  <w:style w:type="character" w:customStyle="1" w:styleId="85">
    <w:name w:val="纯文本 Char1"/>
    <w:link w:val="86"/>
    <w:autoRedefine/>
    <w:qFormat/>
    <w:locked/>
    <w:uiPriority w:val="99"/>
    <w:rPr>
      <w:rFonts w:ascii="Arial" w:hAnsi="Arial" w:eastAsia="Arial"/>
      <w:kern w:val="2"/>
      <w:sz w:val="21"/>
      <w:lang w:val="en-US" w:eastAsia="zh-CN" w:bidi="ar-SA"/>
    </w:rPr>
  </w:style>
  <w:style w:type="paragraph" w:customStyle="1" w:styleId="86">
    <w:name w:val="纯文本1"/>
    <w:basedOn w:val="1"/>
    <w:link w:val="85"/>
    <w:autoRedefine/>
    <w:qFormat/>
    <w:uiPriority w:val="0"/>
    <w:rPr>
      <w:rFonts w:ascii="Arial" w:hAnsi="Arial" w:eastAsia="Arial"/>
    </w:rPr>
  </w:style>
  <w:style w:type="character" w:customStyle="1" w:styleId="87">
    <w:name w:val="批注文字 Char"/>
    <w:basedOn w:val="57"/>
    <w:autoRedefine/>
    <w:qFormat/>
    <w:uiPriority w:val="0"/>
    <w:rPr>
      <w:rFonts w:ascii="@仿宋_GB2312" w:hAnsi="@仿宋_GB2312" w:eastAsia="@仿宋_GB2312" w:cs="@仿宋_GB2312"/>
      <w:szCs w:val="20"/>
    </w:rPr>
  </w:style>
  <w:style w:type="character" w:customStyle="1" w:styleId="88">
    <w:name w:val="批注文字 Char1"/>
    <w:link w:val="19"/>
    <w:autoRedefine/>
    <w:qFormat/>
    <w:uiPriority w:val="99"/>
    <w:rPr>
      <w:rFonts w:ascii="Arial" w:hAnsi="Arial" w:eastAsia="黑体" w:cs="Arial"/>
      <w:szCs w:val="20"/>
    </w:rPr>
  </w:style>
  <w:style w:type="character" w:customStyle="1" w:styleId="89">
    <w:name w:val="标题 1 Char"/>
    <w:basedOn w:val="57"/>
    <w:link w:val="5"/>
    <w:autoRedefine/>
    <w:qFormat/>
    <w:uiPriority w:val="0"/>
    <w:rPr>
      <w:rFonts w:ascii="@仿宋_GB2312" w:hAnsi="@仿宋_GB2312" w:eastAsia="@仿宋_GB2312" w:cs="@仿宋_GB2312"/>
      <w:b/>
      <w:bCs/>
      <w:kern w:val="44"/>
      <w:sz w:val="44"/>
      <w:szCs w:val="44"/>
    </w:rPr>
  </w:style>
  <w:style w:type="paragraph" w:customStyle="1" w:styleId="90">
    <w:name w:val="TOC 标题1"/>
    <w:basedOn w:val="5"/>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91">
    <w:name w:val="标题 3 Char"/>
    <w:basedOn w:val="57"/>
    <w:link w:val="7"/>
    <w:autoRedefine/>
    <w:qFormat/>
    <w:uiPriority w:val="0"/>
    <w:rPr>
      <w:rFonts w:ascii="@仿宋_GB2312" w:hAnsi="@仿宋_GB2312" w:eastAsia="@仿宋_GB2312" w:cs="@仿宋_GB2312"/>
      <w:b/>
      <w:bCs/>
      <w:sz w:val="32"/>
      <w:szCs w:val="32"/>
    </w:rPr>
  </w:style>
  <w:style w:type="character" w:customStyle="1" w:styleId="92">
    <w:name w:val="fontstyle01"/>
    <w:basedOn w:val="57"/>
    <w:autoRedefine/>
    <w:qFormat/>
    <w:uiPriority w:val="0"/>
    <w:rPr>
      <w:rFonts w:hint="eastAsia" w:ascii="宋体" w:hAnsi="宋体" w:eastAsia="宋体"/>
      <w:color w:val="000000"/>
      <w:sz w:val="22"/>
      <w:szCs w:val="22"/>
    </w:rPr>
  </w:style>
  <w:style w:type="character" w:customStyle="1" w:styleId="93">
    <w:name w:val="fontstyle21"/>
    <w:basedOn w:val="57"/>
    <w:autoRedefine/>
    <w:qFormat/>
    <w:uiPriority w:val="0"/>
    <w:rPr>
      <w:rFonts w:hint="default" w:ascii="TimesNewRomanPSMT" w:hAnsi="TimesNewRomanPSMT"/>
      <w:color w:val="000000"/>
      <w:sz w:val="22"/>
      <w:szCs w:val="22"/>
    </w:rPr>
  </w:style>
  <w:style w:type="character" w:customStyle="1" w:styleId="94">
    <w:name w:val="正文文本 (2) + Sylfaen2"/>
    <w:autoRedefine/>
    <w:qFormat/>
    <w:uiPriority w:val="99"/>
    <w:rPr>
      <w:rFonts w:ascii="Sylfaen" w:hAnsi="Sylfaen" w:eastAsia="MingLiU" w:cs="Sylfaen"/>
      <w:spacing w:val="0"/>
      <w:sz w:val="23"/>
      <w:szCs w:val="23"/>
      <w:shd w:val="clear" w:color="auto" w:fill="FFFFFF"/>
      <w:lang w:val="en-US" w:eastAsia="en-US"/>
    </w:rPr>
  </w:style>
  <w:style w:type="character" w:customStyle="1" w:styleId="95">
    <w:name w:val="标题 4 字符"/>
    <w:basedOn w:val="57"/>
    <w:autoRedefine/>
    <w:semiHidden/>
    <w:qFormat/>
    <w:uiPriority w:val="9"/>
    <w:rPr>
      <w:rFonts w:asciiTheme="majorHAnsi" w:hAnsiTheme="majorHAnsi" w:eastAsiaTheme="majorEastAsia" w:cstheme="majorBidi"/>
      <w:b/>
      <w:bCs/>
      <w:sz w:val="28"/>
      <w:szCs w:val="28"/>
    </w:rPr>
  </w:style>
  <w:style w:type="character" w:customStyle="1" w:styleId="96">
    <w:name w:val="标题 4 Char"/>
    <w:link w:val="8"/>
    <w:autoRedefine/>
    <w:qFormat/>
    <w:uiPriority w:val="0"/>
    <w:rPr>
      <w:rFonts w:ascii="@仿宋_GB2312" w:hAnsi="@仿宋_GB2312" w:eastAsia="@仿宋_GB2312" w:cs="@仿宋_GB2312"/>
      <w:b/>
      <w:bCs/>
      <w:sz w:val="28"/>
      <w:szCs w:val="28"/>
    </w:rPr>
  </w:style>
  <w:style w:type="character" w:customStyle="1" w:styleId="97">
    <w:name w:val="正文文本 Char"/>
    <w:basedOn w:val="57"/>
    <w:link w:val="22"/>
    <w:autoRedefine/>
    <w:qFormat/>
    <w:uiPriority w:val="0"/>
    <w:rPr>
      <w:rFonts w:ascii="@微软简标宋" w:hAnsi="@微软简标宋" w:eastAsia="@微软简标宋" w:cs="@微软简标宋"/>
      <w:szCs w:val="24"/>
      <w:lang w:val="zh-CN" w:eastAsia="zh-CN"/>
    </w:rPr>
  </w:style>
  <w:style w:type="table" w:customStyle="1" w:styleId="98">
    <w:name w:val="网格型1"/>
    <w:basedOn w:val="55"/>
    <w:autoRedefine/>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9">
    <w:name w:val="批注主题 Char"/>
    <w:basedOn w:val="88"/>
    <w:link w:val="53"/>
    <w:autoRedefine/>
    <w:qFormat/>
    <w:uiPriority w:val="0"/>
    <w:rPr>
      <w:rFonts w:ascii="Arial" w:hAnsi="Arial" w:eastAsia="黑体" w:cs="Arial"/>
      <w:b/>
      <w:bCs/>
      <w:szCs w:val="20"/>
    </w:rPr>
  </w:style>
  <w:style w:type="paragraph" w:customStyle="1" w:styleId="100">
    <w:name w:val="普通 (Web)"/>
    <w:basedOn w:val="1"/>
    <w:autoRedefine/>
    <w:qFormat/>
    <w:uiPriority w:val="0"/>
    <w:pPr>
      <w:widowControl/>
      <w:spacing w:before="100" w:beforeAutospacing="1" w:after="100" w:afterAutospacing="1"/>
      <w:jc w:val="left"/>
    </w:pPr>
    <w:rPr>
      <w:rFonts w:cs="Times New Roman"/>
      <w:sz w:val="24"/>
      <w:szCs w:val="24"/>
    </w:rPr>
  </w:style>
  <w:style w:type="table" w:customStyle="1" w:styleId="101">
    <w:name w:val="网格型2"/>
    <w:basedOn w:val="55"/>
    <w:autoRedefine/>
    <w:unhideWhenUsed/>
    <w:qFormat/>
    <w:uiPriority w:val="59"/>
    <w:rPr>
      <w:rFonts w:asciiTheme="minorHAnsi" w:hAnsiTheme="minorHAnsi" w:eastAsiaTheme="minorEastAsia"/>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2">
    <w:name w:val="标题 2 Char"/>
    <w:basedOn w:val="57"/>
    <w:link w:val="6"/>
    <w:autoRedefine/>
    <w:qFormat/>
    <w:uiPriority w:val="0"/>
    <w:rPr>
      <w:rFonts w:ascii="Cambria" w:hAnsi="Cambria" w:cs="Times New Roman"/>
      <w:b/>
      <w:bCs/>
      <w:kern w:val="2"/>
      <w:sz w:val="32"/>
      <w:szCs w:val="32"/>
      <w:lang w:val="zh-CN" w:eastAsia="zh-CN"/>
    </w:rPr>
  </w:style>
  <w:style w:type="character" w:customStyle="1" w:styleId="103">
    <w:name w:val="标题 5 Char"/>
    <w:basedOn w:val="57"/>
    <w:link w:val="9"/>
    <w:autoRedefine/>
    <w:qFormat/>
    <w:uiPriority w:val="0"/>
    <w:rPr>
      <w:rFonts w:ascii="Calibri" w:hAnsi="Calibri" w:cs="Times New Roman"/>
      <w:b/>
      <w:bCs/>
      <w:kern w:val="2"/>
      <w:sz w:val="28"/>
      <w:szCs w:val="28"/>
      <w:lang w:val="zh-CN" w:eastAsia="zh-CN"/>
    </w:rPr>
  </w:style>
  <w:style w:type="character" w:customStyle="1" w:styleId="104">
    <w:name w:val="标题 6 Char"/>
    <w:basedOn w:val="57"/>
    <w:link w:val="10"/>
    <w:autoRedefine/>
    <w:qFormat/>
    <w:uiPriority w:val="0"/>
    <w:rPr>
      <w:rFonts w:ascii="Times New Roman" w:hAnsi="Times New Roman" w:cs="Times New Roman"/>
      <w:b/>
      <w:bCs/>
      <w:kern w:val="2"/>
      <w:sz w:val="30"/>
      <w:szCs w:val="18"/>
      <w:lang w:val="zh-CN" w:eastAsia="zh-CN"/>
    </w:rPr>
  </w:style>
  <w:style w:type="character" w:customStyle="1" w:styleId="105">
    <w:name w:val="标题 7 Char"/>
    <w:basedOn w:val="57"/>
    <w:link w:val="11"/>
    <w:autoRedefine/>
    <w:qFormat/>
    <w:uiPriority w:val="0"/>
    <w:rPr>
      <w:rFonts w:ascii="Times New Roman" w:hAnsi="Times New Roman" w:cs="Times New Roman"/>
      <w:b/>
      <w:bCs/>
      <w:kern w:val="2"/>
      <w:sz w:val="30"/>
      <w:szCs w:val="18"/>
      <w:lang w:val="zh-CN" w:eastAsia="zh-CN"/>
    </w:rPr>
  </w:style>
  <w:style w:type="character" w:customStyle="1" w:styleId="106">
    <w:name w:val="标题 8 Char"/>
    <w:basedOn w:val="57"/>
    <w:link w:val="12"/>
    <w:autoRedefine/>
    <w:qFormat/>
    <w:uiPriority w:val="0"/>
    <w:rPr>
      <w:rFonts w:eastAsia="黑体" w:cs="Times New Roman"/>
      <w:kern w:val="2"/>
      <w:sz w:val="32"/>
      <w:szCs w:val="32"/>
      <w:lang w:val="zh-CN" w:eastAsia="zh-CN"/>
    </w:rPr>
  </w:style>
  <w:style w:type="character" w:customStyle="1" w:styleId="107">
    <w:name w:val="标题 9 Char"/>
    <w:basedOn w:val="57"/>
    <w:link w:val="13"/>
    <w:autoRedefine/>
    <w:qFormat/>
    <w:uiPriority w:val="0"/>
    <w:rPr>
      <w:rFonts w:ascii="Cambria" w:hAnsi="Cambria" w:cs="Times New Roman"/>
      <w:kern w:val="2"/>
      <w:sz w:val="21"/>
      <w:szCs w:val="21"/>
      <w:lang w:val="zh-CN" w:eastAsia="zh-CN"/>
    </w:rPr>
  </w:style>
  <w:style w:type="character" w:customStyle="1" w:styleId="108">
    <w:name w:val="纯文本 Char2"/>
    <w:autoRedefine/>
    <w:qFormat/>
    <w:uiPriority w:val="0"/>
    <w:rPr>
      <w:rFonts w:ascii="宋体" w:hAnsi="Courier New"/>
    </w:rPr>
  </w:style>
  <w:style w:type="table" w:customStyle="1" w:styleId="109">
    <w:name w:val="网格型3"/>
    <w:basedOn w:val="55"/>
    <w:autoRedefine/>
    <w:unhideWhenUsed/>
    <w:qFormat/>
    <w:uiPriority w:val="59"/>
    <w:rPr>
      <w:rFonts w:asciiTheme="minorHAnsi" w:hAnsiTheme="minorHAnsi" w:eastAsiaTheme="minorEastAsia"/>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
    <w:name w:val="网格表 1 浅色11"/>
    <w:basedOn w:val="55"/>
    <w:autoRedefine/>
    <w:qFormat/>
    <w:uiPriority w:val="46"/>
    <w:rPr>
      <w:rFonts w:asciiTheme="minorHAnsi" w:hAnsiTheme="minorHAnsi" w:eastAsiaTheme="minorEastAsia"/>
      <w:kern w:val="2"/>
      <w:sz w:val="21"/>
      <w:szCs w:val="22"/>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111">
    <w:name w:val="TOC 标题2"/>
    <w:basedOn w:val="5"/>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112">
    <w:name w:val="正文文本缩进 Char"/>
    <w:basedOn w:val="57"/>
    <w:link w:val="3"/>
    <w:autoRedefine/>
    <w:qFormat/>
    <w:uiPriority w:val="0"/>
    <w:rPr>
      <w:rFonts w:asciiTheme="minorHAnsi" w:hAnsiTheme="minorHAnsi"/>
      <w:kern w:val="2"/>
      <w:sz w:val="21"/>
      <w:szCs w:val="22"/>
    </w:rPr>
  </w:style>
  <w:style w:type="paragraph" w:customStyle="1" w:styleId="113">
    <w:name w:val="Char"/>
    <w:basedOn w:val="1"/>
    <w:autoRedefine/>
    <w:qFormat/>
    <w:uiPriority w:val="0"/>
    <w:rPr>
      <w:rFonts w:ascii="Tahoma" w:hAnsi="Tahoma" w:cs="Times New Roman"/>
      <w:sz w:val="24"/>
    </w:rPr>
  </w:style>
  <w:style w:type="character" w:customStyle="1" w:styleId="114">
    <w:name w:val="脚注文本 Char"/>
    <w:basedOn w:val="57"/>
    <w:link w:val="43"/>
    <w:autoRedefine/>
    <w:qFormat/>
    <w:uiPriority w:val="0"/>
    <w:rPr>
      <w:rFonts w:ascii="Times New Roman" w:hAnsi="Times New Roman" w:cs="Times New Roman"/>
      <w:kern w:val="2"/>
      <w:sz w:val="18"/>
      <w:szCs w:val="18"/>
      <w:lang w:val="zh-CN" w:eastAsia="zh-CN"/>
    </w:rPr>
  </w:style>
  <w:style w:type="paragraph" w:customStyle="1" w:styleId="115">
    <w:name w:val="样式 标题 3 + (中文) 黑体 小四 非加粗 段前: 7.8 磅 段后: 0 磅 行距: 固定值 20 磅"/>
    <w:basedOn w:val="7"/>
    <w:autoRedefine/>
    <w:qFormat/>
    <w:uiPriority w:val="0"/>
    <w:pPr>
      <w:spacing w:before="120" w:after="120" w:line="400" w:lineRule="exact"/>
      <w:jc w:val="left"/>
    </w:pPr>
    <w:rPr>
      <w:rFonts w:ascii="黑体" w:hAnsi="黑体" w:eastAsia="黑体" w:cs="宋体"/>
      <w:bCs w:val="0"/>
      <w:kern w:val="2"/>
      <w:sz w:val="24"/>
      <w:szCs w:val="20"/>
      <w:lang w:val="zh-CN"/>
    </w:rPr>
  </w:style>
  <w:style w:type="paragraph" w:customStyle="1" w:styleId="116">
    <w:name w:val="样式 标题 2 + Times New Roman 四号 非加粗 段前: 5 磅 段后: 0 磅 行距: 固定值 20..."/>
    <w:basedOn w:val="6"/>
    <w:autoRedefine/>
    <w:qFormat/>
    <w:uiPriority w:val="0"/>
    <w:pPr>
      <w:spacing w:before="100" w:after="0" w:line="400" w:lineRule="exact"/>
    </w:pPr>
    <w:rPr>
      <w:rFonts w:ascii="Times New Roman" w:hAnsi="Times New Roman" w:eastAsia="黑体" w:cs="宋体"/>
      <w:b w:val="0"/>
      <w:bCs w:val="0"/>
      <w:sz w:val="28"/>
      <w:szCs w:val="20"/>
    </w:rPr>
  </w:style>
  <w:style w:type="paragraph" w:customStyle="1" w:styleId="117">
    <w:name w:val="Normal_2"/>
    <w:autoRedefine/>
    <w:qFormat/>
    <w:uiPriority w:val="0"/>
    <w:rPr>
      <w:rFonts w:ascii="Times New Roman" w:hAnsi="Times New Roman" w:eastAsia="Times New Roman" w:cs="Times New Roman"/>
      <w:sz w:val="24"/>
      <w:szCs w:val="24"/>
      <w:lang w:val="en-US" w:eastAsia="zh-CN" w:bidi="ar-SA"/>
    </w:rPr>
  </w:style>
  <w:style w:type="character" w:customStyle="1" w:styleId="118">
    <w:name w:val="称呼 Char"/>
    <w:basedOn w:val="57"/>
    <w:link w:val="20"/>
    <w:autoRedefine/>
    <w:qFormat/>
    <w:uiPriority w:val="0"/>
    <w:rPr>
      <w:rFonts w:ascii="仿宋_GB2312" w:hAnsi="Times New Roman" w:eastAsia="仿宋_GB2312" w:cs="Times New Roman"/>
      <w:kern w:val="2"/>
      <w:sz w:val="28"/>
      <w:lang w:val="zh-CN" w:eastAsia="zh-CN"/>
    </w:rPr>
  </w:style>
  <w:style w:type="paragraph" w:customStyle="1" w:styleId="119">
    <w:name w:val="Default"/>
    <w:autoRedefine/>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20">
    <w:name w:val="正文1"/>
    <w:autoRedefine/>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121">
    <w:name w:val="正文_3"/>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2">
    <w:name w:val="正文_2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3">
    <w:name w:val="正文_2_1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4">
    <w:name w:val="Normal_1"/>
    <w:autoRedefine/>
    <w:qFormat/>
    <w:uiPriority w:val="0"/>
    <w:rPr>
      <w:rFonts w:ascii="Times New Roman" w:hAnsi="Times New Roman" w:eastAsia="Times New Roman" w:cs="Times New Roman"/>
      <w:sz w:val="24"/>
      <w:szCs w:val="24"/>
      <w:lang w:val="en-US" w:eastAsia="zh-CN" w:bidi="ar-SA"/>
    </w:rPr>
  </w:style>
  <w:style w:type="paragraph" w:customStyle="1" w:styleId="125">
    <w:name w:val="Normal_3"/>
    <w:autoRedefine/>
    <w:qFormat/>
    <w:uiPriority w:val="0"/>
    <w:rPr>
      <w:rFonts w:ascii="Times New Roman" w:hAnsi="Times New Roman" w:eastAsia="Times New Roman" w:cs="Times New Roman"/>
      <w:sz w:val="24"/>
      <w:szCs w:val="24"/>
      <w:lang w:val="en-US" w:eastAsia="zh-CN" w:bidi="ar-SA"/>
    </w:rPr>
  </w:style>
  <w:style w:type="paragraph" w:customStyle="1" w:styleId="126">
    <w:name w:val="Char Char Char Char Char Char"/>
    <w:basedOn w:val="1"/>
    <w:autoRedefine/>
    <w:qFormat/>
    <w:uiPriority w:val="0"/>
    <w:rPr>
      <w:rFonts w:ascii="Tahoma" w:hAnsi="Tahoma" w:cs="Times New Roman"/>
      <w:kern w:val="2"/>
      <w:sz w:val="24"/>
    </w:rPr>
  </w:style>
  <w:style w:type="paragraph" w:customStyle="1" w:styleId="127">
    <w:name w:val="Blockquote"/>
    <w:basedOn w:val="1"/>
    <w:link w:val="128"/>
    <w:autoRedefine/>
    <w:qFormat/>
    <w:uiPriority w:val="0"/>
    <w:pPr>
      <w:autoSpaceDE w:val="0"/>
      <w:autoSpaceDN w:val="0"/>
      <w:adjustRightInd w:val="0"/>
      <w:spacing w:before="100" w:after="100"/>
      <w:ind w:left="360" w:right="360"/>
      <w:jc w:val="left"/>
    </w:pPr>
    <w:rPr>
      <w:rFonts w:ascii="Times New Roman" w:hAnsi="Times New Roman" w:cs="Times New Roman"/>
      <w:sz w:val="24"/>
      <w:lang w:val="zh-CN"/>
    </w:rPr>
  </w:style>
  <w:style w:type="character" w:customStyle="1" w:styleId="128">
    <w:name w:val="Blockquote Char"/>
    <w:link w:val="127"/>
    <w:autoRedefine/>
    <w:qFormat/>
    <w:uiPriority w:val="0"/>
    <w:rPr>
      <w:rFonts w:ascii="Times New Roman" w:hAnsi="Times New Roman" w:cs="Times New Roman"/>
      <w:sz w:val="24"/>
      <w:lang w:val="zh-CN" w:eastAsia="zh-CN"/>
    </w:rPr>
  </w:style>
  <w:style w:type="paragraph" w:customStyle="1" w:styleId="129">
    <w:name w:val="xl22"/>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Calibri" w:hAnsi="Calibri" w:cs="Times New Roman"/>
      <w:sz w:val="24"/>
      <w:szCs w:val="22"/>
    </w:rPr>
  </w:style>
  <w:style w:type="paragraph" w:customStyle="1" w:styleId="130">
    <w:name w:val="样式1"/>
    <w:basedOn w:val="1"/>
    <w:next w:val="8"/>
    <w:autoRedefine/>
    <w:qFormat/>
    <w:uiPriority w:val="0"/>
    <w:pPr>
      <w:spacing w:line="360" w:lineRule="auto"/>
      <w:ind w:firstLine="420" w:firstLineChars="200"/>
    </w:pPr>
    <w:rPr>
      <w:rFonts w:cs="Times New Roman"/>
      <w:kern w:val="2"/>
      <w:sz w:val="21"/>
      <w:szCs w:val="21"/>
    </w:rPr>
  </w:style>
  <w:style w:type="character" w:customStyle="1" w:styleId="131">
    <w:name w:val="tdrownotice1"/>
    <w:autoRedefine/>
    <w:qFormat/>
    <w:uiPriority w:val="0"/>
    <w:rPr>
      <w:sz w:val="22"/>
    </w:rPr>
  </w:style>
  <w:style w:type="paragraph" w:customStyle="1" w:styleId="132">
    <w:name w:val="段落2"/>
    <w:basedOn w:val="1"/>
    <w:autoRedefine/>
    <w:qFormat/>
    <w:uiPriority w:val="0"/>
    <w:pPr>
      <w:spacing w:line="360" w:lineRule="auto"/>
      <w:ind w:firstLine="480" w:firstLineChars="200"/>
    </w:pPr>
    <w:rPr>
      <w:rFonts w:ascii="Calibri" w:hAnsi="Calibri" w:cs="Courier New"/>
      <w:kern w:val="2"/>
      <w:sz w:val="24"/>
      <w:szCs w:val="21"/>
    </w:rPr>
  </w:style>
  <w:style w:type="character" w:customStyle="1" w:styleId="133">
    <w:name w:val="正文文本缩进 3 Char"/>
    <w:basedOn w:val="57"/>
    <w:link w:val="45"/>
    <w:autoRedefine/>
    <w:qFormat/>
    <w:uiPriority w:val="0"/>
    <w:rPr>
      <w:rFonts w:hAnsi="MS Sans Serif" w:cs="Times New Roman"/>
      <w:bCs/>
      <w:color w:val="000000"/>
      <w:sz w:val="24"/>
      <w:lang w:val="zh-CN" w:eastAsia="zh-CN"/>
    </w:rPr>
  </w:style>
  <w:style w:type="character" w:customStyle="1" w:styleId="134">
    <w:name w:val="正文文本缩进 2 Char"/>
    <w:basedOn w:val="57"/>
    <w:link w:val="32"/>
    <w:autoRedefine/>
    <w:qFormat/>
    <w:uiPriority w:val="0"/>
    <w:rPr>
      <w:rFonts w:hAnsi="MS Sans Serif" w:cs="Times New Roman"/>
      <w:bCs/>
      <w:spacing w:val="12"/>
      <w:sz w:val="24"/>
      <w:lang w:val="zh-CN" w:eastAsia="zh-CN"/>
    </w:rPr>
  </w:style>
  <w:style w:type="paragraph" w:customStyle="1" w:styleId="135">
    <w:name w:val="目录"/>
    <w:basedOn w:val="1"/>
    <w:autoRedefine/>
    <w:qFormat/>
    <w:uiPriority w:val="0"/>
    <w:pPr>
      <w:widowControl/>
      <w:jc w:val="center"/>
    </w:pPr>
    <w:rPr>
      <w:rFonts w:hAnsi="Calibri" w:cs="Times New Roman"/>
      <w:b/>
      <w:sz w:val="36"/>
    </w:rPr>
  </w:style>
  <w:style w:type="paragraph" w:customStyle="1" w:styleId="136">
    <w:name w:val="目录文字"/>
    <w:basedOn w:val="1"/>
    <w:autoRedefine/>
    <w:qFormat/>
    <w:uiPriority w:val="0"/>
    <w:pPr>
      <w:widowControl/>
      <w:spacing w:line="480" w:lineRule="auto"/>
      <w:jc w:val="left"/>
    </w:pPr>
    <w:rPr>
      <w:rFonts w:cs="Times New Roman"/>
      <w:sz w:val="24"/>
    </w:rPr>
  </w:style>
  <w:style w:type="character" w:customStyle="1" w:styleId="137">
    <w:name w:val="正文文本 2 Char"/>
    <w:basedOn w:val="57"/>
    <w:link w:val="48"/>
    <w:autoRedefine/>
    <w:qFormat/>
    <w:uiPriority w:val="0"/>
    <w:rPr>
      <w:rFonts w:hAnsi="Times New Roman" w:cs="Times New Roman"/>
      <w:spacing w:val="-20"/>
      <w:kern w:val="2"/>
      <w:sz w:val="28"/>
      <w:lang w:val="zh-CN" w:eastAsia="zh-CN"/>
    </w:rPr>
  </w:style>
  <w:style w:type="character" w:customStyle="1" w:styleId="138">
    <w:name w:val="正文文本 3 Char"/>
    <w:basedOn w:val="57"/>
    <w:link w:val="21"/>
    <w:autoRedefine/>
    <w:qFormat/>
    <w:uiPriority w:val="0"/>
    <w:rPr>
      <w:rFonts w:ascii="仿宋_GB2312" w:eastAsia="仿宋_GB2312" w:cs="Times New Roman"/>
      <w:bCs/>
      <w:color w:val="000000"/>
      <w:kern w:val="2"/>
      <w:sz w:val="24"/>
      <w:szCs w:val="32"/>
      <w:lang w:val="zh-CN" w:eastAsia="zh-CN"/>
    </w:rPr>
  </w:style>
  <w:style w:type="paragraph" w:customStyle="1" w:styleId="139">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rPr>
  </w:style>
  <w:style w:type="paragraph" w:customStyle="1" w:styleId="140">
    <w:name w:val="xl33"/>
    <w:basedOn w:val="1"/>
    <w:autoRedefine/>
    <w:qFormat/>
    <w:uiPriority w:val="0"/>
    <w:pPr>
      <w:widowControl/>
      <w:pBdr>
        <w:left w:val="single" w:color="auto" w:sz="4" w:space="0"/>
      </w:pBdr>
      <w:spacing w:before="100" w:beforeAutospacing="1" w:after="100" w:afterAutospacing="1"/>
      <w:jc w:val="center"/>
      <w:textAlignment w:val="center"/>
    </w:pPr>
    <w:rPr>
      <w:rFonts w:ascii="Arial Unicode MS" w:hAnsi="Arial Unicode MS" w:eastAsia="Arial Unicode MS" w:cs="Arial Unicode MS"/>
      <w:sz w:val="28"/>
      <w:szCs w:val="28"/>
    </w:rPr>
  </w:style>
  <w:style w:type="character" w:customStyle="1" w:styleId="141">
    <w:name w:val="标题 Char"/>
    <w:basedOn w:val="57"/>
    <w:link w:val="52"/>
    <w:autoRedefine/>
    <w:qFormat/>
    <w:uiPriority w:val="0"/>
    <w:rPr>
      <w:rFonts w:eastAsia="黑体" w:cs="Times New Roman"/>
      <w:b/>
      <w:smallCaps/>
      <w:snapToGrid w:val="0"/>
      <w:kern w:val="2"/>
      <w:sz w:val="44"/>
      <w:szCs w:val="24"/>
      <w:lang w:val="zh-CN" w:eastAsia="zh-CN"/>
    </w:rPr>
  </w:style>
  <w:style w:type="paragraph" w:customStyle="1" w:styleId="142">
    <w:name w:val="段落1 Char"/>
    <w:basedOn w:val="29"/>
    <w:autoRedefine/>
    <w:qFormat/>
    <w:uiPriority w:val="0"/>
    <w:pPr>
      <w:spacing w:line="360" w:lineRule="auto"/>
    </w:pPr>
    <w:rPr>
      <w:rFonts w:ascii="Times New Roman" w:hAnsi="Times New Roman" w:eastAsia="宋体" w:cs="Times New Roman"/>
      <w:kern w:val="2"/>
      <w:sz w:val="24"/>
      <w:szCs w:val="21"/>
      <w:lang w:val="zh-CN"/>
    </w:rPr>
  </w:style>
  <w:style w:type="paragraph" w:customStyle="1" w:styleId="143">
    <w:name w:val="样式3"/>
    <w:basedOn w:val="1"/>
    <w:autoRedefine/>
    <w:qFormat/>
    <w:uiPriority w:val="0"/>
    <w:pPr>
      <w:tabs>
        <w:tab w:val="left" w:pos="560"/>
        <w:tab w:val="left" w:pos="1120"/>
      </w:tabs>
      <w:spacing w:line="480" w:lineRule="atLeast"/>
    </w:pPr>
    <w:rPr>
      <w:rFonts w:ascii="Calibri" w:hAnsi="Calibri" w:eastAsia="创艺简黑体" w:cs="Times New Roman"/>
      <w:b/>
      <w:kern w:val="2"/>
      <w:sz w:val="28"/>
    </w:rPr>
  </w:style>
  <w:style w:type="paragraph" w:customStyle="1" w:styleId="144">
    <w:name w:val="简单回函地址"/>
    <w:basedOn w:val="1"/>
    <w:autoRedefine/>
    <w:qFormat/>
    <w:uiPriority w:val="0"/>
    <w:rPr>
      <w:rFonts w:ascii="Calibri" w:hAnsi="Calibri" w:cs="Times New Roman"/>
      <w:kern w:val="2"/>
      <w:sz w:val="21"/>
      <w:szCs w:val="22"/>
    </w:rPr>
  </w:style>
  <w:style w:type="paragraph" w:customStyle="1" w:styleId="145">
    <w:name w:val="Char Char Char Char"/>
    <w:basedOn w:val="1"/>
    <w:autoRedefine/>
    <w:qFormat/>
    <w:uiPriority w:val="0"/>
    <w:pPr>
      <w:snapToGrid w:val="0"/>
      <w:spacing w:line="360" w:lineRule="auto"/>
      <w:ind w:firstLine="200" w:firstLineChars="200"/>
    </w:pPr>
    <w:rPr>
      <w:rFonts w:ascii="Calibri" w:hAnsi="Calibri" w:eastAsia="仿宋_GB2312" w:cs="Times New Roman"/>
      <w:kern w:val="2"/>
      <w:sz w:val="24"/>
      <w:szCs w:val="22"/>
    </w:rPr>
  </w:style>
  <w:style w:type="paragraph" w:customStyle="1" w:styleId="146">
    <w:name w:val="Default Paragraph Char Char Char Char"/>
    <w:basedOn w:val="1"/>
    <w:next w:val="1"/>
    <w:autoRedefine/>
    <w:qFormat/>
    <w:uiPriority w:val="0"/>
    <w:pPr>
      <w:widowControl/>
      <w:spacing w:line="360" w:lineRule="auto"/>
      <w:jc w:val="left"/>
    </w:pPr>
    <w:rPr>
      <w:rFonts w:ascii="Calibri" w:hAnsi="Calibri" w:cs="Times New Roman"/>
      <w:sz w:val="21"/>
      <w:lang w:eastAsia="en-US"/>
    </w:rPr>
  </w:style>
  <w:style w:type="character" w:customStyle="1" w:styleId="147">
    <w:name w:val="t_tag"/>
    <w:basedOn w:val="57"/>
    <w:autoRedefine/>
    <w:qFormat/>
    <w:uiPriority w:val="0"/>
  </w:style>
  <w:style w:type="table" w:customStyle="1" w:styleId="148">
    <w:name w:val="网格型11"/>
    <w:basedOn w:val="55"/>
    <w:autoRedefine/>
    <w:qFormat/>
    <w:uiPriority w:val="59"/>
    <w:rPr>
      <w:rFonts w:ascii="Times New Roman" w:hAnsi="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49">
    <w:name w:val="批注框文本 Char1"/>
    <w:basedOn w:val="57"/>
    <w:autoRedefine/>
    <w:qFormat/>
    <w:uiPriority w:val="0"/>
    <w:rPr>
      <w:rFonts w:ascii="Times New Roman" w:hAnsi="Times New Roman" w:eastAsia="宋体" w:cs="Times New Roman"/>
      <w:sz w:val="18"/>
      <w:szCs w:val="18"/>
    </w:rPr>
  </w:style>
  <w:style w:type="character" w:customStyle="1" w:styleId="150">
    <w:name w:val="批注主题 Char1"/>
    <w:basedOn w:val="88"/>
    <w:autoRedefine/>
    <w:qFormat/>
    <w:uiPriority w:val="0"/>
    <w:rPr>
      <w:rFonts w:ascii="@仿宋_GB2312" w:hAnsi="@仿宋_GB2312" w:eastAsia="@仿宋_GB2312" w:cs="@仿宋_GB2312"/>
      <w:b/>
      <w:bCs/>
      <w:szCs w:val="20"/>
    </w:rPr>
  </w:style>
  <w:style w:type="paragraph" w:customStyle="1" w:styleId="151">
    <w:name w:val="Char10 Char Char Char Char Char Char Char Char Char"/>
    <w:basedOn w:val="1"/>
    <w:next w:val="1"/>
    <w:autoRedefine/>
    <w:qFormat/>
    <w:uiPriority w:val="0"/>
    <w:rPr>
      <w:rFonts w:ascii="Calibri" w:hAnsi="Calibri" w:cs="Times New Roman"/>
      <w:kern w:val="2"/>
      <w:sz w:val="21"/>
      <w:szCs w:val="22"/>
    </w:rPr>
  </w:style>
  <w:style w:type="character" w:customStyle="1" w:styleId="152">
    <w:name w:val="文档结构图 Char"/>
    <w:basedOn w:val="57"/>
    <w:link w:val="18"/>
    <w:autoRedefine/>
    <w:qFormat/>
    <w:uiPriority w:val="0"/>
    <w:rPr>
      <w:rFonts w:ascii="Calibri" w:hAnsi="Calibri" w:cs="Times New Roman"/>
      <w:bCs/>
      <w:kern w:val="2"/>
      <w:sz w:val="21"/>
      <w:szCs w:val="32"/>
      <w:shd w:val="clear" w:color="auto" w:fill="000080"/>
      <w:lang w:val="zh-CN" w:eastAsia="zh-CN"/>
    </w:rPr>
  </w:style>
  <w:style w:type="character" w:customStyle="1" w:styleId="153">
    <w:name w:val="标题 1 Char1"/>
    <w:autoRedefine/>
    <w:qFormat/>
    <w:uiPriority w:val="0"/>
    <w:rPr>
      <w:rFonts w:ascii="Calibri" w:hAnsi="Calibri" w:eastAsia="宋体"/>
      <w:b/>
      <w:kern w:val="44"/>
      <w:sz w:val="44"/>
      <w:szCs w:val="44"/>
    </w:rPr>
  </w:style>
  <w:style w:type="character" w:customStyle="1" w:styleId="154">
    <w:name w:val="标题 3 Char1"/>
    <w:autoRedefine/>
    <w:semiHidden/>
    <w:qFormat/>
    <w:uiPriority w:val="0"/>
    <w:rPr>
      <w:rFonts w:ascii="Calibri" w:hAnsi="Calibri" w:eastAsia="宋体"/>
      <w:b/>
      <w:kern w:val="2"/>
      <w:sz w:val="32"/>
    </w:rPr>
  </w:style>
  <w:style w:type="character" w:customStyle="1" w:styleId="155">
    <w:name w:val="标题 4 Char1"/>
    <w:autoRedefine/>
    <w:semiHidden/>
    <w:qFormat/>
    <w:uiPriority w:val="0"/>
    <w:rPr>
      <w:rFonts w:ascii="Cambria" w:hAnsi="Cambria" w:eastAsia="宋体"/>
      <w:b/>
      <w:kern w:val="2"/>
      <w:sz w:val="28"/>
      <w:szCs w:val="28"/>
    </w:rPr>
  </w:style>
  <w:style w:type="character" w:customStyle="1" w:styleId="156">
    <w:name w:val="标题 5 Char1"/>
    <w:autoRedefine/>
    <w:semiHidden/>
    <w:qFormat/>
    <w:uiPriority w:val="0"/>
    <w:rPr>
      <w:rFonts w:ascii="Calibri" w:hAnsi="Calibri" w:eastAsia="宋体"/>
      <w:b/>
      <w:kern w:val="2"/>
      <w:sz w:val="28"/>
      <w:szCs w:val="28"/>
    </w:rPr>
  </w:style>
  <w:style w:type="character" w:customStyle="1" w:styleId="157">
    <w:name w:val="标题 6 Char1"/>
    <w:autoRedefine/>
    <w:semiHidden/>
    <w:qFormat/>
    <w:uiPriority w:val="0"/>
    <w:rPr>
      <w:rFonts w:ascii="Cambria" w:hAnsi="Cambria" w:eastAsia="宋体"/>
      <w:b/>
      <w:kern w:val="2"/>
      <w:sz w:val="24"/>
      <w:szCs w:val="24"/>
    </w:rPr>
  </w:style>
  <w:style w:type="character" w:customStyle="1" w:styleId="158">
    <w:name w:val="标题 7 Char1"/>
    <w:autoRedefine/>
    <w:semiHidden/>
    <w:qFormat/>
    <w:uiPriority w:val="0"/>
    <w:rPr>
      <w:rFonts w:ascii="Calibri" w:hAnsi="Calibri" w:eastAsia="宋体"/>
      <w:b/>
      <w:kern w:val="2"/>
      <w:sz w:val="24"/>
      <w:szCs w:val="24"/>
    </w:rPr>
  </w:style>
  <w:style w:type="character" w:customStyle="1" w:styleId="159">
    <w:name w:val="标题 8 Char1"/>
    <w:autoRedefine/>
    <w:semiHidden/>
    <w:qFormat/>
    <w:uiPriority w:val="0"/>
    <w:rPr>
      <w:rFonts w:ascii="Cambria" w:hAnsi="Cambria" w:eastAsia="宋体"/>
      <w:kern w:val="2"/>
      <w:sz w:val="24"/>
      <w:szCs w:val="24"/>
    </w:rPr>
  </w:style>
  <w:style w:type="character" w:customStyle="1" w:styleId="160">
    <w:name w:val="标题 9 Char1"/>
    <w:autoRedefine/>
    <w:semiHidden/>
    <w:qFormat/>
    <w:uiPriority w:val="0"/>
    <w:rPr>
      <w:rFonts w:ascii="Cambria" w:hAnsi="Cambria" w:eastAsia="宋体"/>
      <w:kern w:val="2"/>
      <w:sz w:val="21"/>
      <w:szCs w:val="21"/>
    </w:rPr>
  </w:style>
  <w:style w:type="paragraph" w:customStyle="1" w:styleId="161">
    <w:name w:val="MsoNormal"/>
    <w:basedOn w:val="162"/>
    <w:autoRedefine/>
    <w:qFormat/>
    <w:uiPriority w:val="0"/>
    <w:rPr>
      <w:rFonts w:ascii="Calibri" w:hAnsi="Calibri" w:eastAsia="Calibri"/>
      <w:sz w:val="21"/>
    </w:rPr>
  </w:style>
  <w:style w:type="paragraph" w:customStyle="1" w:styleId="162">
    <w:name w:val="Normal_0"/>
    <w:autoRedefine/>
    <w:qFormat/>
    <w:uiPriority w:val="0"/>
    <w:rPr>
      <w:rFonts w:ascii="Times New Roman" w:hAnsi="Times New Roman" w:eastAsia="宋体" w:cs="Times New Roman"/>
      <w:sz w:val="24"/>
      <w:szCs w:val="24"/>
      <w:lang w:val="en-US" w:eastAsia="zh-CN" w:bidi="ar-SA"/>
    </w:rPr>
  </w:style>
  <w:style w:type="paragraph" w:customStyle="1" w:styleId="163">
    <w:name w:val="标题 2_0"/>
    <w:basedOn w:val="164"/>
    <w:next w:val="165"/>
    <w:link w:val="166"/>
    <w:autoRedefine/>
    <w:qFormat/>
    <w:uiPriority w:val="0"/>
    <w:pPr>
      <w:keepNext/>
      <w:keepLines/>
      <w:spacing w:before="260" w:after="260" w:line="500" w:lineRule="exact"/>
      <w:jc w:val="center"/>
      <w:outlineLvl w:val="1"/>
    </w:pPr>
    <w:rPr>
      <w:rFonts w:ascii="黑体" w:hAnsi="宋体" w:eastAsia="黑体"/>
      <w:b/>
      <w:smallCaps/>
      <w:snapToGrid w:val="0"/>
      <w:kern w:val="0"/>
      <w:sz w:val="36"/>
      <w:lang w:val="zh-CN"/>
    </w:rPr>
  </w:style>
  <w:style w:type="paragraph" w:customStyle="1" w:styleId="164">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5">
    <w:name w:val="正文_0"/>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66">
    <w:name w:val="标题 2 Char_0"/>
    <w:link w:val="163"/>
    <w:autoRedefine/>
    <w:qFormat/>
    <w:uiPriority w:val="0"/>
    <w:rPr>
      <w:rFonts w:ascii="黑体" w:eastAsia="黑体" w:cs="Times New Roman"/>
      <w:b/>
      <w:smallCaps/>
      <w:snapToGrid w:val="0"/>
      <w:sz w:val="36"/>
      <w:szCs w:val="24"/>
      <w:lang w:val="zh-CN" w:eastAsia="zh-CN"/>
    </w:rPr>
  </w:style>
  <w:style w:type="paragraph" w:customStyle="1" w:styleId="167">
    <w:name w:val="纯文本_0"/>
    <w:basedOn w:val="165"/>
    <w:link w:val="168"/>
    <w:autoRedefine/>
    <w:qFormat/>
    <w:uiPriority w:val="99"/>
    <w:rPr>
      <w:rFonts w:ascii="宋体" w:hAnsi="Courier New"/>
      <w:szCs w:val="21"/>
    </w:rPr>
  </w:style>
  <w:style w:type="character" w:customStyle="1" w:styleId="168">
    <w:name w:val="Texte Char1"/>
    <w:link w:val="167"/>
    <w:autoRedefine/>
    <w:qFormat/>
    <w:uiPriority w:val="99"/>
    <w:rPr>
      <w:rFonts w:hAnsi="Courier New" w:cs="Times New Roman"/>
      <w:kern w:val="2"/>
      <w:sz w:val="21"/>
      <w:szCs w:val="21"/>
    </w:rPr>
  </w:style>
  <w:style w:type="paragraph" w:customStyle="1" w:styleId="169">
    <w:name w:val="纯文本_1"/>
    <w:basedOn w:val="170"/>
    <w:link w:val="171"/>
    <w:autoRedefine/>
    <w:qFormat/>
    <w:uiPriority w:val="0"/>
    <w:rPr>
      <w:rFonts w:ascii="宋体" w:hAnsi="Courier New"/>
      <w:szCs w:val="21"/>
      <w:lang w:val="zh-CN"/>
    </w:rPr>
  </w:style>
  <w:style w:type="paragraph" w:customStyle="1" w:styleId="170">
    <w:name w:val="正文_1"/>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71">
    <w:name w:val="纯文本 Char1_0"/>
    <w:link w:val="169"/>
    <w:autoRedefine/>
    <w:qFormat/>
    <w:uiPriority w:val="0"/>
    <w:rPr>
      <w:rFonts w:hAnsi="Courier New" w:cs="Times New Roman"/>
      <w:kern w:val="2"/>
      <w:sz w:val="21"/>
      <w:szCs w:val="21"/>
      <w:lang w:val="zh-CN" w:eastAsia="zh-CN"/>
    </w:rPr>
  </w:style>
  <w:style w:type="paragraph" w:customStyle="1" w:styleId="172">
    <w:name w:val="标题 3_0"/>
    <w:basedOn w:val="173"/>
    <w:next w:val="174"/>
    <w:link w:val="185"/>
    <w:autoRedefine/>
    <w:qFormat/>
    <w:uiPriority w:val="0"/>
    <w:pPr>
      <w:keepNext/>
      <w:keepLines/>
      <w:widowControl/>
      <w:numPr>
        <w:ilvl w:val="2"/>
        <w:numId w:val="1"/>
      </w:numPr>
      <w:spacing w:before="120" w:after="120" w:line="360" w:lineRule="auto"/>
      <w:jc w:val="center"/>
      <w:outlineLvl w:val="2"/>
    </w:pPr>
    <w:rPr>
      <w:b/>
      <w:kern w:val="0"/>
      <w:sz w:val="32"/>
      <w:szCs w:val="20"/>
      <w:lang w:val="zh-CN"/>
    </w:rPr>
  </w:style>
  <w:style w:type="paragraph" w:customStyle="1" w:styleId="173">
    <w:name w:val="正文_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4">
    <w:name w:val="正文缩进_0"/>
    <w:basedOn w:val="173"/>
    <w:autoRedefine/>
    <w:unhideWhenUsed/>
    <w:qFormat/>
    <w:uiPriority w:val="0"/>
    <w:pPr>
      <w:ind w:firstLine="420" w:firstLineChars="200"/>
    </w:pPr>
    <w:rPr>
      <w:rFonts w:ascii="Calibri" w:hAnsi="Calibri"/>
      <w:bCs/>
      <w:szCs w:val="32"/>
    </w:rPr>
  </w:style>
  <w:style w:type="paragraph" w:customStyle="1" w:styleId="175">
    <w:name w:val="标题 1_0"/>
    <w:basedOn w:val="173"/>
    <w:next w:val="173"/>
    <w:link w:val="176"/>
    <w:autoRedefine/>
    <w:qFormat/>
    <w:uiPriority w:val="0"/>
    <w:pPr>
      <w:keepNext/>
      <w:widowControl/>
      <w:numPr>
        <w:ilvl w:val="0"/>
        <w:numId w:val="1"/>
      </w:numPr>
      <w:jc w:val="center"/>
      <w:outlineLvl w:val="0"/>
    </w:pPr>
    <w:rPr>
      <w:rFonts w:ascii="黑体" w:eastAsia="黑体"/>
      <w:kern w:val="0"/>
      <w:sz w:val="52"/>
      <w:szCs w:val="20"/>
      <w:lang w:val="zh-CN"/>
    </w:rPr>
  </w:style>
  <w:style w:type="character" w:customStyle="1" w:styleId="176">
    <w:name w:val="标题 1 Char_0"/>
    <w:link w:val="175"/>
    <w:autoRedefine/>
    <w:qFormat/>
    <w:uiPriority w:val="0"/>
    <w:rPr>
      <w:rFonts w:ascii="黑体" w:hAnsi="Times New Roman" w:eastAsia="黑体" w:cs="Times New Roman"/>
      <w:sz w:val="52"/>
      <w:lang w:val="zh-CN" w:eastAsia="zh-CN"/>
    </w:rPr>
  </w:style>
  <w:style w:type="paragraph" w:customStyle="1" w:styleId="177">
    <w:name w:val="标题 6_0"/>
    <w:basedOn w:val="173"/>
    <w:next w:val="173"/>
    <w:link w:val="178"/>
    <w:autoRedefine/>
    <w:qFormat/>
    <w:uiPriority w:val="0"/>
    <w:pPr>
      <w:keepNext/>
      <w:keepLines/>
      <w:widowControl/>
      <w:numPr>
        <w:ilvl w:val="5"/>
        <w:numId w:val="1"/>
      </w:numPr>
      <w:spacing w:before="240" w:after="64" w:line="320" w:lineRule="auto"/>
      <w:jc w:val="left"/>
      <w:outlineLvl w:val="5"/>
    </w:pPr>
    <w:rPr>
      <w:rFonts w:ascii="Arial" w:hAnsi="Arial" w:eastAsia="黑体"/>
      <w:b/>
      <w:bCs/>
      <w:kern w:val="0"/>
      <w:sz w:val="24"/>
      <w:lang w:val="zh-CN"/>
    </w:rPr>
  </w:style>
  <w:style w:type="character" w:customStyle="1" w:styleId="178">
    <w:name w:val="标题 6 Char_0"/>
    <w:link w:val="177"/>
    <w:autoRedefine/>
    <w:qFormat/>
    <w:uiPriority w:val="0"/>
    <w:rPr>
      <w:rFonts w:ascii="Arial" w:hAnsi="Arial" w:eastAsia="黑体" w:cs="Times New Roman"/>
      <w:b/>
      <w:bCs/>
      <w:sz w:val="24"/>
      <w:szCs w:val="24"/>
      <w:lang w:val="zh-CN" w:eastAsia="zh-CN"/>
    </w:rPr>
  </w:style>
  <w:style w:type="paragraph" w:customStyle="1" w:styleId="179">
    <w:name w:val="标题 7_0"/>
    <w:basedOn w:val="173"/>
    <w:next w:val="173"/>
    <w:link w:val="180"/>
    <w:autoRedefine/>
    <w:qFormat/>
    <w:uiPriority w:val="0"/>
    <w:pPr>
      <w:keepNext/>
      <w:keepLines/>
      <w:widowControl/>
      <w:numPr>
        <w:ilvl w:val="6"/>
        <w:numId w:val="1"/>
      </w:numPr>
      <w:spacing w:before="240" w:after="64" w:line="320" w:lineRule="auto"/>
      <w:jc w:val="left"/>
      <w:outlineLvl w:val="6"/>
    </w:pPr>
    <w:rPr>
      <w:b/>
      <w:bCs/>
      <w:kern w:val="0"/>
      <w:sz w:val="24"/>
      <w:lang w:val="zh-CN"/>
    </w:rPr>
  </w:style>
  <w:style w:type="character" w:customStyle="1" w:styleId="180">
    <w:name w:val="标题 7 Char_0"/>
    <w:link w:val="179"/>
    <w:autoRedefine/>
    <w:qFormat/>
    <w:uiPriority w:val="0"/>
    <w:rPr>
      <w:rFonts w:ascii="Times New Roman" w:hAnsi="Times New Roman" w:cs="Times New Roman"/>
      <w:b/>
      <w:bCs/>
      <w:sz w:val="24"/>
      <w:szCs w:val="24"/>
      <w:lang w:val="zh-CN" w:eastAsia="zh-CN"/>
    </w:rPr>
  </w:style>
  <w:style w:type="paragraph" w:customStyle="1" w:styleId="181">
    <w:name w:val="标题 8_0"/>
    <w:basedOn w:val="173"/>
    <w:next w:val="173"/>
    <w:link w:val="182"/>
    <w:autoRedefine/>
    <w:qFormat/>
    <w:uiPriority w:val="0"/>
    <w:pPr>
      <w:keepNext/>
      <w:keepLines/>
      <w:widowControl/>
      <w:numPr>
        <w:ilvl w:val="7"/>
        <w:numId w:val="1"/>
      </w:numPr>
      <w:spacing w:before="240" w:after="64" w:line="320" w:lineRule="auto"/>
      <w:jc w:val="left"/>
      <w:outlineLvl w:val="7"/>
    </w:pPr>
    <w:rPr>
      <w:rFonts w:ascii="Arial" w:hAnsi="Arial" w:eastAsia="黑体"/>
      <w:kern w:val="0"/>
      <w:sz w:val="24"/>
      <w:lang w:val="zh-CN"/>
    </w:rPr>
  </w:style>
  <w:style w:type="character" w:customStyle="1" w:styleId="182">
    <w:name w:val="标题 8 Char_0"/>
    <w:link w:val="181"/>
    <w:autoRedefine/>
    <w:qFormat/>
    <w:uiPriority w:val="0"/>
    <w:rPr>
      <w:rFonts w:ascii="Arial" w:hAnsi="Arial" w:eastAsia="黑体" w:cs="Times New Roman"/>
      <w:sz w:val="24"/>
      <w:szCs w:val="24"/>
      <w:lang w:val="zh-CN" w:eastAsia="zh-CN"/>
    </w:rPr>
  </w:style>
  <w:style w:type="paragraph" w:customStyle="1" w:styleId="183">
    <w:name w:val="标题 9_0"/>
    <w:basedOn w:val="173"/>
    <w:next w:val="173"/>
    <w:link w:val="184"/>
    <w:autoRedefine/>
    <w:qFormat/>
    <w:uiPriority w:val="0"/>
    <w:pPr>
      <w:keepNext/>
      <w:keepLines/>
      <w:widowControl/>
      <w:numPr>
        <w:ilvl w:val="8"/>
        <w:numId w:val="1"/>
      </w:numPr>
      <w:spacing w:before="240" w:after="64" w:line="320" w:lineRule="auto"/>
      <w:jc w:val="left"/>
      <w:outlineLvl w:val="8"/>
    </w:pPr>
    <w:rPr>
      <w:rFonts w:ascii="Arial" w:hAnsi="Arial" w:eastAsia="黑体"/>
      <w:kern w:val="0"/>
      <w:szCs w:val="21"/>
      <w:lang w:val="zh-CN"/>
    </w:rPr>
  </w:style>
  <w:style w:type="character" w:customStyle="1" w:styleId="184">
    <w:name w:val="标题 9 Char_0"/>
    <w:link w:val="183"/>
    <w:autoRedefine/>
    <w:qFormat/>
    <w:uiPriority w:val="0"/>
    <w:rPr>
      <w:rFonts w:ascii="Arial" w:hAnsi="Arial" w:eastAsia="黑体" w:cs="Times New Roman"/>
      <w:sz w:val="21"/>
      <w:szCs w:val="21"/>
      <w:lang w:val="zh-CN" w:eastAsia="zh-CN"/>
    </w:rPr>
  </w:style>
  <w:style w:type="character" w:customStyle="1" w:styleId="185">
    <w:name w:val="标题 3 Char_0"/>
    <w:link w:val="172"/>
    <w:autoRedefine/>
    <w:qFormat/>
    <w:uiPriority w:val="0"/>
    <w:rPr>
      <w:rFonts w:ascii="Times New Roman" w:hAnsi="Times New Roman" w:cs="Times New Roman"/>
      <w:b/>
      <w:sz w:val="32"/>
      <w:lang w:val="zh-CN" w:eastAsia="zh-CN"/>
    </w:rPr>
  </w:style>
  <w:style w:type="paragraph" w:customStyle="1" w:styleId="186">
    <w:name w:val="Blockquote_0"/>
    <w:basedOn w:val="173"/>
    <w:link w:val="187"/>
    <w:autoRedefine/>
    <w:qFormat/>
    <w:uiPriority w:val="0"/>
    <w:pPr>
      <w:autoSpaceDE w:val="0"/>
      <w:autoSpaceDN w:val="0"/>
      <w:adjustRightInd w:val="0"/>
      <w:spacing w:before="100" w:after="100"/>
      <w:ind w:left="360" w:right="360"/>
      <w:jc w:val="left"/>
    </w:pPr>
    <w:rPr>
      <w:kern w:val="0"/>
      <w:sz w:val="24"/>
      <w:szCs w:val="20"/>
      <w:lang w:val="zh-CN"/>
    </w:rPr>
  </w:style>
  <w:style w:type="character" w:customStyle="1" w:styleId="187">
    <w:name w:val="Blockquote Char_0"/>
    <w:link w:val="186"/>
    <w:autoRedefine/>
    <w:qFormat/>
    <w:locked/>
    <w:uiPriority w:val="0"/>
    <w:rPr>
      <w:rFonts w:ascii="Times New Roman" w:hAnsi="Times New Roman" w:cs="Times New Roman"/>
      <w:sz w:val="24"/>
      <w:lang w:val="zh-CN" w:eastAsia="zh-CN"/>
    </w:rPr>
  </w:style>
  <w:style w:type="paragraph" w:customStyle="1" w:styleId="188">
    <w:name w:val="标题 4_0"/>
    <w:basedOn w:val="173"/>
    <w:next w:val="173"/>
    <w:link w:val="189"/>
    <w:autoRedefine/>
    <w:qFormat/>
    <w:uiPriority w:val="0"/>
    <w:pPr>
      <w:keepNext/>
      <w:keepLines/>
      <w:widowControl/>
      <w:spacing w:before="120" w:after="120" w:line="360" w:lineRule="auto"/>
      <w:jc w:val="center"/>
      <w:outlineLvl w:val="3"/>
    </w:pPr>
    <w:rPr>
      <w:rFonts w:ascii="Arial" w:hAnsi="Arial" w:eastAsia="黑体"/>
      <w:kern w:val="0"/>
      <w:sz w:val="28"/>
      <w:szCs w:val="20"/>
      <w:lang w:val="zh-CN"/>
    </w:rPr>
  </w:style>
  <w:style w:type="character" w:customStyle="1" w:styleId="189">
    <w:name w:val="标题 4 Char_0"/>
    <w:link w:val="188"/>
    <w:autoRedefine/>
    <w:qFormat/>
    <w:uiPriority w:val="0"/>
    <w:rPr>
      <w:rFonts w:ascii="Arial" w:hAnsi="Arial" w:eastAsia="黑体" w:cs="Times New Roman"/>
      <w:sz w:val="28"/>
      <w:lang w:val="zh-CN" w:eastAsia="zh-CN"/>
    </w:rPr>
  </w:style>
  <w:style w:type="paragraph" w:customStyle="1" w:styleId="190">
    <w:name w:val="纯文本_2"/>
    <w:basedOn w:val="173"/>
    <w:link w:val="191"/>
    <w:autoRedefine/>
    <w:qFormat/>
    <w:uiPriority w:val="0"/>
    <w:rPr>
      <w:rFonts w:ascii="宋体" w:hAnsi="Courier New"/>
      <w:szCs w:val="21"/>
      <w:lang w:val="zh-CN"/>
    </w:rPr>
  </w:style>
  <w:style w:type="character" w:customStyle="1" w:styleId="191">
    <w:name w:val="纯文本 Char1_1"/>
    <w:link w:val="190"/>
    <w:autoRedefine/>
    <w:qFormat/>
    <w:uiPriority w:val="0"/>
    <w:rPr>
      <w:rFonts w:hAnsi="Courier New" w:cs="Times New Roman"/>
      <w:kern w:val="2"/>
      <w:sz w:val="21"/>
      <w:szCs w:val="21"/>
      <w:lang w:val="zh-CN" w:eastAsia="zh-CN"/>
    </w:rPr>
  </w:style>
  <w:style w:type="paragraph" w:customStyle="1" w:styleId="192">
    <w:name w:val="Blockquote_0_1"/>
    <w:basedOn w:val="193"/>
    <w:link w:val="194"/>
    <w:autoRedefine/>
    <w:qFormat/>
    <w:uiPriority w:val="0"/>
    <w:pPr>
      <w:autoSpaceDE w:val="0"/>
      <w:autoSpaceDN w:val="0"/>
      <w:adjustRightInd w:val="0"/>
      <w:spacing w:before="100" w:after="100"/>
      <w:ind w:left="360" w:right="360"/>
      <w:jc w:val="left"/>
    </w:pPr>
    <w:rPr>
      <w:kern w:val="0"/>
      <w:sz w:val="24"/>
      <w:szCs w:val="20"/>
      <w:lang w:val="zh-CN"/>
    </w:rPr>
  </w:style>
  <w:style w:type="paragraph" w:customStyle="1" w:styleId="193">
    <w:name w:val="正文_1_1"/>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4">
    <w:name w:val="Blockquote Char_0_1"/>
    <w:link w:val="192"/>
    <w:autoRedefine/>
    <w:qFormat/>
    <w:locked/>
    <w:uiPriority w:val="0"/>
    <w:rPr>
      <w:rFonts w:ascii="Times New Roman" w:hAnsi="Times New Roman" w:cs="Times New Roman"/>
      <w:sz w:val="24"/>
      <w:lang w:val="zh-CN" w:eastAsia="zh-CN"/>
    </w:rPr>
  </w:style>
  <w:style w:type="paragraph" w:customStyle="1" w:styleId="195">
    <w:name w:val="正文文本_0"/>
    <w:basedOn w:val="173"/>
    <w:link w:val="196"/>
    <w:autoRedefine/>
    <w:qFormat/>
    <w:uiPriority w:val="0"/>
    <w:pPr>
      <w:spacing w:after="120"/>
    </w:pPr>
    <w:rPr>
      <w:lang w:val="zh-CN"/>
    </w:rPr>
  </w:style>
  <w:style w:type="character" w:customStyle="1" w:styleId="196">
    <w:name w:val="正文文本 Char_0"/>
    <w:link w:val="195"/>
    <w:autoRedefine/>
    <w:qFormat/>
    <w:uiPriority w:val="0"/>
    <w:rPr>
      <w:rFonts w:ascii="Times New Roman" w:hAnsi="Times New Roman" w:cs="Times New Roman"/>
      <w:kern w:val="2"/>
      <w:sz w:val="21"/>
      <w:szCs w:val="24"/>
      <w:lang w:val="zh-CN" w:eastAsia="zh-CN"/>
    </w:rPr>
  </w:style>
  <w:style w:type="paragraph" w:customStyle="1" w:styleId="197">
    <w:name w:val="普通(网站)_0"/>
    <w:basedOn w:val="173"/>
    <w:autoRedefine/>
    <w:qFormat/>
    <w:uiPriority w:val="0"/>
    <w:pPr>
      <w:widowControl/>
      <w:spacing w:before="100" w:beforeAutospacing="1" w:after="100" w:afterAutospacing="1"/>
      <w:jc w:val="left"/>
    </w:pPr>
    <w:rPr>
      <w:rFonts w:ascii="宋体" w:hAnsi="宋体"/>
      <w:kern w:val="0"/>
      <w:sz w:val="24"/>
    </w:rPr>
  </w:style>
  <w:style w:type="paragraph" w:customStyle="1" w:styleId="198">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9">
    <w:name w:val="正文_2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00">
    <w:name w:val="脚注文本_0"/>
    <w:basedOn w:val="121"/>
    <w:link w:val="201"/>
    <w:autoRedefine/>
    <w:unhideWhenUsed/>
    <w:qFormat/>
    <w:uiPriority w:val="0"/>
    <w:pPr>
      <w:adjustRightInd w:val="0"/>
      <w:snapToGrid w:val="0"/>
      <w:spacing w:line="420" w:lineRule="atLeast"/>
      <w:ind w:firstLine="454"/>
      <w:jc w:val="left"/>
    </w:pPr>
    <w:rPr>
      <w:rFonts w:ascii="Times New Roman" w:hAnsi="Times New Roman"/>
      <w:kern w:val="0"/>
      <w:sz w:val="18"/>
      <w:szCs w:val="20"/>
      <w:lang w:val="zh-CN"/>
    </w:rPr>
  </w:style>
  <w:style w:type="character" w:customStyle="1" w:styleId="201">
    <w:name w:val="脚注文本 Char_0"/>
    <w:link w:val="200"/>
    <w:autoRedefine/>
    <w:qFormat/>
    <w:uiPriority w:val="0"/>
    <w:rPr>
      <w:rFonts w:ascii="Times New Roman" w:hAnsi="Times New Roman" w:cs="Times New Roman"/>
      <w:sz w:val="18"/>
      <w:lang w:val="zh-CN" w:eastAsia="zh-CN"/>
    </w:rPr>
  </w:style>
  <w:style w:type="paragraph" w:customStyle="1" w:styleId="202">
    <w:name w:val="font5"/>
    <w:basedOn w:val="1"/>
    <w:autoRedefine/>
    <w:qFormat/>
    <w:uiPriority w:val="0"/>
    <w:pPr>
      <w:widowControl/>
      <w:spacing w:before="100" w:beforeAutospacing="1" w:after="100" w:afterAutospacing="1"/>
      <w:jc w:val="left"/>
    </w:pPr>
    <w:rPr>
      <w:rFonts w:hint="eastAsia" w:cs="Times New Roman"/>
      <w:sz w:val="18"/>
      <w:szCs w:val="18"/>
    </w:rPr>
  </w:style>
  <w:style w:type="paragraph" w:customStyle="1" w:styleId="203">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18"/>
      <w:szCs w:val="18"/>
    </w:rPr>
  </w:style>
  <w:style w:type="paragraph" w:customStyle="1" w:styleId="204">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18"/>
      <w:szCs w:val="18"/>
    </w:rPr>
  </w:style>
  <w:style w:type="paragraph" w:customStyle="1" w:styleId="205">
    <w:name w:val="xl2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cs="Times New Roman"/>
      <w:sz w:val="24"/>
      <w:szCs w:val="24"/>
    </w:rPr>
  </w:style>
  <w:style w:type="paragraph" w:customStyle="1" w:styleId="206">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cs="Times New Roman"/>
      <w:sz w:val="18"/>
      <w:szCs w:val="18"/>
    </w:rPr>
  </w:style>
  <w:style w:type="paragraph" w:customStyle="1" w:styleId="207">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Times New Roman"/>
      <w:sz w:val="24"/>
      <w:szCs w:val="24"/>
    </w:rPr>
  </w:style>
  <w:style w:type="paragraph" w:customStyle="1" w:styleId="208">
    <w:name w:val="xl29"/>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Times New Roman"/>
      <w:sz w:val="24"/>
      <w:szCs w:val="24"/>
    </w:rPr>
  </w:style>
  <w:style w:type="paragraph" w:customStyle="1" w:styleId="209">
    <w:name w:val="xl3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24"/>
      <w:szCs w:val="24"/>
    </w:rPr>
  </w:style>
  <w:style w:type="paragraph" w:customStyle="1" w:styleId="210">
    <w:name w:val="xl3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18"/>
      <w:szCs w:val="18"/>
    </w:rPr>
  </w:style>
  <w:style w:type="paragraph" w:customStyle="1" w:styleId="211">
    <w:name w:val="xl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s="Times New Roman"/>
      <w:sz w:val="18"/>
      <w:szCs w:val="18"/>
    </w:rPr>
  </w:style>
  <w:style w:type="paragraph" w:customStyle="1" w:styleId="212">
    <w:name w:val="xl3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18"/>
      <w:szCs w:val="18"/>
    </w:rPr>
  </w:style>
  <w:style w:type="paragraph" w:customStyle="1" w:styleId="213">
    <w:name w:val="xl3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22"/>
      <w:szCs w:val="22"/>
    </w:rPr>
  </w:style>
  <w:style w:type="paragraph" w:customStyle="1" w:styleId="214">
    <w:name w:val="xl3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s="Times New Roman"/>
      <w:sz w:val="24"/>
      <w:szCs w:val="24"/>
    </w:rPr>
  </w:style>
  <w:style w:type="paragraph" w:customStyle="1" w:styleId="215">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cs="Times New Roman"/>
      <w:sz w:val="24"/>
      <w:szCs w:val="24"/>
    </w:rPr>
  </w:style>
  <w:style w:type="paragraph" w:customStyle="1" w:styleId="216">
    <w:name w:val="xl3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24"/>
      <w:szCs w:val="24"/>
    </w:rPr>
  </w:style>
  <w:style w:type="paragraph" w:customStyle="1" w:styleId="217">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24"/>
      <w:szCs w:val="24"/>
    </w:rPr>
  </w:style>
  <w:style w:type="paragraph" w:customStyle="1" w:styleId="218">
    <w:name w:val="xl4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cs="Times New Roman"/>
      <w:sz w:val="24"/>
      <w:szCs w:val="24"/>
    </w:rPr>
  </w:style>
  <w:style w:type="paragraph" w:customStyle="1" w:styleId="219">
    <w:name w:val="xl42"/>
    <w:basedOn w:val="1"/>
    <w:autoRedefine/>
    <w:qFormat/>
    <w:uiPriority w:val="0"/>
    <w:pPr>
      <w:widowControl/>
      <w:spacing w:before="100" w:beforeAutospacing="1" w:after="100" w:afterAutospacing="1"/>
      <w:jc w:val="center"/>
      <w:textAlignment w:val="center"/>
    </w:pPr>
    <w:rPr>
      <w:rFonts w:cs="Times New Roman"/>
      <w:b/>
      <w:bCs/>
      <w:sz w:val="32"/>
      <w:szCs w:val="32"/>
    </w:rPr>
  </w:style>
  <w:style w:type="paragraph" w:customStyle="1" w:styleId="220">
    <w:name w:val="xl43"/>
    <w:basedOn w:val="1"/>
    <w:autoRedefine/>
    <w:qFormat/>
    <w:uiPriority w:val="0"/>
    <w:pPr>
      <w:widowControl/>
      <w:spacing w:before="100" w:beforeAutospacing="1" w:after="100" w:afterAutospacing="1"/>
      <w:jc w:val="left"/>
      <w:textAlignment w:val="top"/>
    </w:pPr>
    <w:rPr>
      <w:rFonts w:cs="Times New Roman"/>
      <w:sz w:val="24"/>
      <w:szCs w:val="24"/>
    </w:rPr>
  </w:style>
  <w:style w:type="paragraph" w:customStyle="1" w:styleId="221">
    <w:name w:val="xl44"/>
    <w:basedOn w:val="1"/>
    <w:autoRedefine/>
    <w:qFormat/>
    <w:uiPriority w:val="0"/>
    <w:pPr>
      <w:widowControl/>
      <w:spacing w:before="100" w:beforeAutospacing="1" w:after="100" w:afterAutospacing="1"/>
      <w:jc w:val="center"/>
      <w:textAlignment w:val="center"/>
    </w:pPr>
    <w:rPr>
      <w:rFonts w:cs="Times New Roman"/>
      <w:b/>
      <w:bCs/>
      <w:sz w:val="32"/>
      <w:szCs w:val="32"/>
    </w:rPr>
  </w:style>
  <w:style w:type="paragraph" w:customStyle="1" w:styleId="222">
    <w:name w:val="xl45"/>
    <w:basedOn w:val="1"/>
    <w:autoRedefine/>
    <w:qFormat/>
    <w:uiPriority w:val="0"/>
    <w:pPr>
      <w:widowControl/>
      <w:spacing w:before="100" w:beforeAutospacing="1" w:after="100" w:afterAutospacing="1"/>
      <w:jc w:val="left"/>
      <w:textAlignment w:val="top"/>
    </w:pPr>
    <w:rPr>
      <w:rFonts w:cs="Times New Roman"/>
      <w:sz w:val="24"/>
      <w:szCs w:val="24"/>
    </w:rPr>
  </w:style>
  <w:style w:type="paragraph" w:customStyle="1" w:styleId="223">
    <w:name w:val="font6"/>
    <w:basedOn w:val="1"/>
    <w:autoRedefine/>
    <w:qFormat/>
    <w:uiPriority w:val="0"/>
    <w:pPr>
      <w:widowControl/>
      <w:spacing w:before="100" w:beforeAutospacing="1" w:after="100" w:afterAutospacing="1"/>
      <w:jc w:val="left"/>
    </w:pPr>
    <w:rPr>
      <w:rFonts w:ascii="Times New Roman" w:hAnsi="Times New Roman" w:cs="Times New Roman"/>
      <w:sz w:val="18"/>
      <w:szCs w:val="18"/>
    </w:rPr>
  </w:style>
  <w:style w:type="paragraph" w:customStyle="1" w:styleId="224">
    <w:name w:val="Char Char Char Char Char"/>
    <w:basedOn w:val="1"/>
    <w:autoRedefine/>
    <w:qFormat/>
    <w:uiPriority w:val="0"/>
    <w:rPr>
      <w:rFonts w:ascii="Tahoma" w:hAnsi="Tahoma" w:cs="Times New Roman"/>
      <w:kern w:val="2"/>
      <w:sz w:val="24"/>
    </w:rPr>
  </w:style>
  <w:style w:type="paragraph" w:customStyle="1" w:styleId="225">
    <w:name w:val="范本目录"/>
    <w:basedOn w:val="1"/>
    <w:autoRedefine/>
    <w:qFormat/>
    <w:uiPriority w:val="0"/>
    <w:pPr>
      <w:adjustRightInd w:val="0"/>
      <w:snapToGrid w:val="0"/>
      <w:spacing w:before="48" w:beforeLines="20" w:after="48" w:afterLines="20" w:line="540" w:lineRule="exact"/>
      <w:jc w:val="center"/>
    </w:pPr>
    <w:rPr>
      <w:rFonts w:ascii="Times New Roman" w:cs="Times New Roman"/>
      <w:b/>
      <w:bCs/>
      <w:kern w:val="2"/>
      <w:sz w:val="36"/>
      <w:szCs w:val="24"/>
    </w:rPr>
  </w:style>
  <w:style w:type="character" w:customStyle="1" w:styleId="226">
    <w:name w:val="副标题 Char"/>
    <w:basedOn w:val="57"/>
    <w:link w:val="41"/>
    <w:autoRedefine/>
    <w:qFormat/>
    <w:uiPriority w:val="0"/>
    <w:rPr>
      <w:rFonts w:ascii="Arial" w:hAnsi="Arial" w:cs="Times New Roman"/>
      <w:b/>
      <w:bCs/>
      <w:kern w:val="28"/>
      <w:sz w:val="32"/>
      <w:szCs w:val="32"/>
      <w:lang w:val="zh-CN" w:eastAsia="zh-CN"/>
    </w:rPr>
  </w:style>
  <w:style w:type="character" w:customStyle="1" w:styleId="227">
    <w:name w:val="Char Char"/>
    <w:autoRedefine/>
    <w:qFormat/>
    <w:uiPriority w:val="0"/>
    <w:rPr>
      <w:rFonts w:ascii="宋体" w:hAnsi="Courier New" w:eastAsia="宋体" w:cs="Courier New"/>
      <w:kern w:val="2"/>
      <w:sz w:val="21"/>
      <w:szCs w:val="21"/>
      <w:lang w:val="en-US" w:eastAsia="zh-CN" w:bidi="ar-SA"/>
    </w:rPr>
  </w:style>
  <w:style w:type="character" w:customStyle="1" w:styleId="228">
    <w:name w:val="标题4 Char Char"/>
    <w:link w:val="229"/>
    <w:autoRedefine/>
    <w:qFormat/>
    <w:uiPriority w:val="0"/>
    <w:rPr>
      <w:rFonts w:ascii="Arial" w:hAnsi="Arial"/>
      <w:b/>
      <w:bCs/>
      <w:sz w:val="24"/>
      <w:szCs w:val="32"/>
    </w:rPr>
  </w:style>
  <w:style w:type="paragraph" w:customStyle="1" w:styleId="229">
    <w:name w:val="标题4"/>
    <w:basedOn w:val="6"/>
    <w:next w:val="26"/>
    <w:link w:val="228"/>
    <w:autoRedefine/>
    <w:qFormat/>
    <w:uiPriority w:val="0"/>
    <w:pPr>
      <w:spacing w:before="0" w:after="0" w:line="413" w:lineRule="auto"/>
    </w:pPr>
    <w:rPr>
      <w:rFonts w:ascii="Arial" w:hAnsi="Arial" w:cstheme="minorBidi"/>
      <w:kern w:val="0"/>
      <w:sz w:val="24"/>
      <w:lang w:val="en-US"/>
    </w:rPr>
  </w:style>
  <w:style w:type="character" w:customStyle="1" w:styleId="230">
    <w:name w:val="明显引用 Char"/>
    <w:link w:val="231"/>
    <w:autoRedefine/>
    <w:qFormat/>
    <w:uiPriority w:val="0"/>
    <w:rPr>
      <w:b/>
      <w:bCs/>
      <w:i/>
      <w:iCs/>
      <w:color w:val="4F81BD"/>
    </w:rPr>
  </w:style>
  <w:style w:type="paragraph" w:styleId="231">
    <w:name w:val="Intense Quote"/>
    <w:basedOn w:val="1"/>
    <w:next w:val="1"/>
    <w:link w:val="230"/>
    <w:autoRedefine/>
    <w:qFormat/>
    <w:uiPriority w:val="0"/>
    <w:pPr>
      <w:pBdr>
        <w:bottom w:val="single" w:color="4F81BD" w:themeColor="accent1" w:sz="4" w:space="4"/>
      </w:pBdr>
      <w:spacing w:before="200" w:after="280"/>
      <w:ind w:left="936" w:right="936"/>
    </w:pPr>
    <w:rPr>
      <w:b/>
      <w:bCs/>
      <w:i/>
      <w:iCs/>
      <w:color w:val="4F81BD"/>
    </w:rPr>
  </w:style>
  <w:style w:type="paragraph" w:customStyle="1" w:styleId="232">
    <w:name w:val="明显引用1"/>
    <w:basedOn w:val="1"/>
    <w:next w:val="1"/>
    <w:autoRedefine/>
    <w:qFormat/>
    <w:uiPriority w:val="0"/>
    <w:pPr>
      <w:pBdr>
        <w:bottom w:val="single" w:color="4F81BD" w:sz="4" w:space="4"/>
      </w:pBdr>
      <w:spacing w:before="200" w:after="280"/>
      <w:ind w:left="936" w:right="936"/>
    </w:pPr>
    <w:rPr>
      <w:rFonts w:ascii="Calibri" w:hAnsi="Calibri" w:cs="Times New Roman"/>
      <w:b/>
      <w:bCs/>
      <w:i/>
      <w:iCs/>
      <w:color w:val="4F81BD"/>
      <w:kern w:val="2"/>
      <w:sz w:val="21"/>
      <w:szCs w:val="22"/>
    </w:rPr>
  </w:style>
  <w:style w:type="character" w:customStyle="1" w:styleId="233">
    <w:name w:val="明显引用 Char1"/>
    <w:basedOn w:val="57"/>
    <w:autoRedefine/>
    <w:qFormat/>
    <w:uiPriority w:val="30"/>
    <w:rPr>
      <w:rFonts w:ascii="Times New Roman" w:hAnsi="Times New Roman" w:eastAsia="宋体" w:cs="Times New Roman"/>
      <w:i/>
      <w:iCs/>
      <w:color w:val="5B9BD5"/>
      <w:szCs w:val="24"/>
    </w:rPr>
  </w:style>
  <w:style w:type="character" w:customStyle="1" w:styleId="234">
    <w:name w:val="标题5 Char Char"/>
    <w:link w:val="235"/>
    <w:autoRedefine/>
    <w:qFormat/>
    <w:uiPriority w:val="0"/>
    <w:rPr>
      <w:rFonts w:ascii="Arial" w:hAnsi="Arial"/>
      <w:b/>
      <w:bCs/>
      <w:sz w:val="24"/>
      <w:szCs w:val="32"/>
    </w:rPr>
  </w:style>
  <w:style w:type="paragraph" w:customStyle="1" w:styleId="235">
    <w:name w:val="标题5"/>
    <w:basedOn w:val="7"/>
    <w:link w:val="234"/>
    <w:autoRedefine/>
    <w:qFormat/>
    <w:uiPriority w:val="0"/>
    <w:pPr>
      <w:spacing w:line="413" w:lineRule="auto"/>
      <w:jc w:val="left"/>
    </w:pPr>
    <w:rPr>
      <w:rFonts w:ascii="Arial" w:hAnsi="Arial"/>
      <w:sz w:val="24"/>
    </w:rPr>
  </w:style>
  <w:style w:type="character" w:customStyle="1" w:styleId="236">
    <w:name w:val="引用 Char"/>
    <w:link w:val="237"/>
    <w:autoRedefine/>
    <w:qFormat/>
    <w:uiPriority w:val="0"/>
    <w:rPr>
      <w:i/>
      <w:iCs/>
      <w:color w:val="000000"/>
    </w:rPr>
  </w:style>
  <w:style w:type="paragraph" w:styleId="237">
    <w:name w:val="Quote"/>
    <w:basedOn w:val="1"/>
    <w:next w:val="1"/>
    <w:link w:val="236"/>
    <w:autoRedefine/>
    <w:qFormat/>
    <w:uiPriority w:val="0"/>
    <w:rPr>
      <w:i/>
      <w:iCs/>
      <w:color w:val="000000"/>
    </w:rPr>
  </w:style>
  <w:style w:type="paragraph" w:customStyle="1" w:styleId="238">
    <w:name w:val="引用1"/>
    <w:basedOn w:val="1"/>
    <w:next w:val="1"/>
    <w:autoRedefine/>
    <w:qFormat/>
    <w:uiPriority w:val="0"/>
    <w:rPr>
      <w:rFonts w:ascii="Calibri" w:hAnsi="Calibri" w:cs="Times New Roman"/>
      <w:i/>
      <w:iCs/>
      <w:color w:val="000000"/>
      <w:kern w:val="2"/>
      <w:sz w:val="21"/>
      <w:szCs w:val="22"/>
    </w:rPr>
  </w:style>
  <w:style w:type="character" w:customStyle="1" w:styleId="239">
    <w:name w:val="引用 Char1"/>
    <w:basedOn w:val="57"/>
    <w:autoRedefine/>
    <w:qFormat/>
    <w:uiPriority w:val="29"/>
    <w:rPr>
      <w:rFonts w:ascii="Times New Roman" w:hAnsi="Times New Roman" w:eastAsia="宋体" w:cs="Times New Roman"/>
      <w:i/>
      <w:iCs/>
      <w:color w:val="404040"/>
      <w:szCs w:val="24"/>
    </w:rPr>
  </w:style>
  <w:style w:type="character" w:customStyle="1" w:styleId="240">
    <w:name w:val="ask-title2"/>
    <w:autoRedefine/>
    <w:qFormat/>
    <w:uiPriority w:val="0"/>
  </w:style>
  <w:style w:type="character" w:customStyle="1" w:styleId="241">
    <w:name w:val="正文文本 Char1"/>
    <w:autoRedefine/>
    <w:qFormat/>
    <w:uiPriority w:val="0"/>
    <w:rPr>
      <w:kern w:val="2"/>
      <w:sz w:val="21"/>
      <w:szCs w:val="22"/>
    </w:rPr>
  </w:style>
  <w:style w:type="character" w:customStyle="1" w:styleId="242">
    <w:name w:val="不明显强调1"/>
    <w:autoRedefine/>
    <w:qFormat/>
    <w:uiPriority w:val="0"/>
    <w:rPr>
      <w:i/>
      <w:iCs/>
      <w:color w:val="808080"/>
    </w:rPr>
  </w:style>
  <w:style w:type="character" w:customStyle="1" w:styleId="243">
    <w:name w:val="明显参考1"/>
    <w:autoRedefine/>
    <w:qFormat/>
    <w:uiPriority w:val="0"/>
    <w:rPr>
      <w:b/>
      <w:bCs/>
      <w:smallCaps/>
      <w:color w:val="C0504D"/>
      <w:spacing w:val="5"/>
      <w:u w:val="single"/>
    </w:rPr>
  </w:style>
  <w:style w:type="character" w:customStyle="1" w:styleId="244">
    <w:name w:val="书籍标题1"/>
    <w:autoRedefine/>
    <w:qFormat/>
    <w:uiPriority w:val="0"/>
    <w:rPr>
      <w:b/>
      <w:bCs/>
      <w:smallCaps/>
      <w:spacing w:val="5"/>
    </w:rPr>
  </w:style>
  <w:style w:type="character" w:customStyle="1" w:styleId="245">
    <w:name w:val="日期 Char1"/>
    <w:autoRedefine/>
    <w:qFormat/>
    <w:uiPriority w:val="0"/>
    <w:rPr>
      <w:kern w:val="2"/>
      <w:sz w:val="21"/>
      <w:szCs w:val="22"/>
    </w:rPr>
  </w:style>
  <w:style w:type="character" w:customStyle="1" w:styleId="246">
    <w:name w:val="明显强调1"/>
    <w:autoRedefine/>
    <w:qFormat/>
    <w:uiPriority w:val="0"/>
    <w:rPr>
      <w:b/>
      <w:bCs/>
      <w:i/>
      <w:iCs/>
      <w:color w:val="4F81BD"/>
    </w:rPr>
  </w:style>
  <w:style w:type="character" w:customStyle="1" w:styleId="247">
    <w:name w:val="textcontents"/>
    <w:autoRedefine/>
    <w:qFormat/>
    <w:uiPriority w:val="0"/>
    <w:rPr>
      <w:rFonts w:cs="Times New Roman"/>
    </w:rPr>
  </w:style>
  <w:style w:type="character" w:customStyle="1" w:styleId="248">
    <w:name w:val="不明显参考1"/>
    <w:autoRedefine/>
    <w:qFormat/>
    <w:uiPriority w:val="0"/>
    <w:rPr>
      <w:smallCaps/>
      <w:color w:val="C0504D"/>
      <w:u w:val="single"/>
    </w:rPr>
  </w:style>
  <w:style w:type="character" w:customStyle="1" w:styleId="249">
    <w:name w:val="批注文字 Char Char"/>
    <w:autoRedefine/>
    <w:qFormat/>
    <w:uiPriority w:val="0"/>
    <w:rPr>
      <w:rFonts w:ascii="宋体" w:hAnsi="Times New Roman" w:eastAsia="宋体" w:cs="Times New Roman"/>
      <w:sz w:val="28"/>
      <w:szCs w:val="20"/>
    </w:rPr>
  </w:style>
  <w:style w:type="character" w:customStyle="1" w:styleId="250">
    <w:name w:val="文档结构图 Char1"/>
    <w:autoRedefine/>
    <w:qFormat/>
    <w:uiPriority w:val="0"/>
    <w:rPr>
      <w:rFonts w:ascii="宋体"/>
      <w:kern w:val="2"/>
      <w:sz w:val="18"/>
      <w:szCs w:val="18"/>
    </w:rPr>
  </w:style>
  <w:style w:type="paragraph" w:customStyle="1" w:styleId="251">
    <w:name w:val="修订1"/>
    <w:autoRedefine/>
    <w:qFormat/>
    <w:uiPriority w:val="0"/>
    <w:rPr>
      <w:rFonts w:ascii="Times New Roman" w:hAnsi="Times New Roman" w:eastAsia="宋体" w:cs="Times New Roman"/>
      <w:kern w:val="2"/>
      <w:sz w:val="21"/>
      <w:szCs w:val="24"/>
      <w:lang w:val="en-US" w:eastAsia="zh-CN" w:bidi="ar-SA"/>
    </w:rPr>
  </w:style>
  <w:style w:type="character" w:customStyle="1" w:styleId="252">
    <w:name w:val="页脚 Char1"/>
    <w:autoRedefine/>
    <w:semiHidden/>
    <w:qFormat/>
    <w:uiPriority w:val="99"/>
    <w:rPr>
      <w:kern w:val="2"/>
      <w:sz w:val="18"/>
      <w:szCs w:val="18"/>
    </w:rPr>
  </w:style>
  <w:style w:type="character" w:customStyle="1" w:styleId="253">
    <w:name w:val="批注框文本 Char2"/>
    <w:autoRedefine/>
    <w:semiHidden/>
    <w:qFormat/>
    <w:uiPriority w:val="99"/>
    <w:rPr>
      <w:kern w:val="2"/>
      <w:sz w:val="18"/>
      <w:szCs w:val="18"/>
    </w:rPr>
  </w:style>
  <w:style w:type="character" w:customStyle="1" w:styleId="254">
    <w:name w:val="批注主题 Char2"/>
    <w:autoRedefine/>
    <w:semiHidden/>
    <w:qFormat/>
    <w:uiPriority w:val="99"/>
    <w:rPr>
      <w:b/>
      <w:bCs/>
      <w:kern w:val="2"/>
      <w:sz w:val="21"/>
      <w:szCs w:val="22"/>
    </w:rPr>
  </w:style>
  <w:style w:type="character" w:customStyle="1" w:styleId="255">
    <w:name w:val="文档结构图 Char2"/>
    <w:autoRedefine/>
    <w:semiHidden/>
    <w:qFormat/>
    <w:uiPriority w:val="99"/>
    <w:rPr>
      <w:rFonts w:ascii="宋体"/>
      <w:kern w:val="2"/>
      <w:sz w:val="18"/>
      <w:szCs w:val="18"/>
    </w:rPr>
  </w:style>
  <w:style w:type="character" w:customStyle="1" w:styleId="256">
    <w:name w:val="页眉 Char1"/>
    <w:autoRedefine/>
    <w:semiHidden/>
    <w:qFormat/>
    <w:uiPriority w:val="99"/>
    <w:rPr>
      <w:kern w:val="2"/>
      <w:sz w:val="18"/>
      <w:szCs w:val="18"/>
    </w:rPr>
  </w:style>
  <w:style w:type="character" w:customStyle="1" w:styleId="257">
    <w:name w:val="日期 Char2"/>
    <w:autoRedefine/>
    <w:semiHidden/>
    <w:qFormat/>
    <w:uiPriority w:val="99"/>
    <w:rPr>
      <w:kern w:val="2"/>
      <w:sz w:val="21"/>
      <w:szCs w:val="22"/>
    </w:rPr>
  </w:style>
  <w:style w:type="character" w:customStyle="1" w:styleId="258">
    <w:name w:val="正文文本 Char2"/>
    <w:autoRedefine/>
    <w:semiHidden/>
    <w:qFormat/>
    <w:uiPriority w:val="99"/>
    <w:rPr>
      <w:kern w:val="2"/>
      <w:sz w:val="21"/>
      <w:szCs w:val="22"/>
    </w:rPr>
  </w:style>
  <w:style w:type="character" w:customStyle="1" w:styleId="259">
    <w:name w:val="标题 Char1"/>
    <w:autoRedefine/>
    <w:qFormat/>
    <w:uiPriority w:val="10"/>
    <w:rPr>
      <w:rFonts w:ascii="Cambria" w:hAnsi="Cambria" w:cs="Times New Roman"/>
      <w:b/>
      <w:bCs/>
      <w:kern w:val="2"/>
      <w:sz w:val="32"/>
      <w:szCs w:val="32"/>
    </w:rPr>
  </w:style>
  <w:style w:type="character" w:customStyle="1" w:styleId="260">
    <w:name w:val="副标题 Char1"/>
    <w:autoRedefine/>
    <w:qFormat/>
    <w:uiPriority w:val="11"/>
    <w:rPr>
      <w:rFonts w:ascii="Cambria" w:hAnsi="Cambria" w:cs="Times New Roman"/>
      <w:b/>
      <w:bCs/>
      <w:kern w:val="28"/>
      <w:sz w:val="32"/>
      <w:szCs w:val="32"/>
    </w:rPr>
  </w:style>
  <w:style w:type="paragraph" w:customStyle="1" w:styleId="261">
    <w:name w:val="空半行"/>
    <w:basedOn w:val="1"/>
    <w:autoRedefine/>
    <w:qFormat/>
    <w:uiPriority w:val="0"/>
    <w:pPr>
      <w:adjustRightInd w:val="0"/>
      <w:spacing w:line="120" w:lineRule="exact"/>
      <w:textAlignment w:val="baseline"/>
    </w:pPr>
    <w:rPr>
      <w:rFonts w:ascii="Times New Roman" w:hAnsi="Times New Roman" w:eastAsia="仿宋_GB2312" w:cs="Times New Roman"/>
      <w:color w:val="FFFFFF"/>
      <w:sz w:val="30"/>
    </w:rPr>
  </w:style>
  <w:style w:type="paragraph" w:styleId="262">
    <w:name w:val="No Spacing"/>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63">
    <w:name w:val="flNote"/>
    <w:basedOn w:val="1"/>
    <w:autoRedefine/>
    <w:qFormat/>
    <w:uiPriority w:val="0"/>
    <w:pPr>
      <w:adjustRightInd w:val="0"/>
      <w:spacing w:before="320" w:after="160" w:line="360" w:lineRule="atLeast"/>
      <w:jc w:val="center"/>
      <w:textAlignment w:val="baseline"/>
    </w:pPr>
    <w:rPr>
      <w:rFonts w:ascii="Arial" w:hAnsi="Times New Roman" w:eastAsia="黑体" w:cs="Times New Roman"/>
      <w:sz w:val="30"/>
    </w:rPr>
  </w:style>
  <w:style w:type="character" w:customStyle="1" w:styleId="264">
    <w:name w:val="正文2 Char"/>
    <w:link w:val="265"/>
    <w:autoRedefine/>
    <w:qFormat/>
    <w:uiPriority w:val="0"/>
    <w:rPr>
      <w:rFonts w:ascii="楷体" w:eastAsia="楷体"/>
      <w:b/>
      <w:color w:val="0000FF"/>
    </w:rPr>
  </w:style>
  <w:style w:type="paragraph" w:customStyle="1" w:styleId="265">
    <w:name w:val="正文2"/>
    <w:link w:val="264"/>
    <w:autoRedefine/>
    <w:qFormat/>
    <w:uiPriority w:val="0"/>
    <w:pPr>
      <w:widowControl w:val="0"/>
      <w:adjustRightInd w:val="0"/>
      <w:snapToGrid w:val="0"/>
      <w:spacing w:line="360" w:lineRule="auto"/>
      <w:ind w:firstLine="200" w:firstLineChars="200"/>
      <w:jc w:val="both"/>
      <w:textAlignment w:val="baseline"/>
    </w:pPr>
    <w:rPr>
      <w:rFonts w:ascii="楷体" w:hAnsi="宋体" w:eastAsia="楷体" w:cstheme="minorBidi"/>
      <w:b/>
      <w:color w:val="0000FF"/>
      <w:lang w:val="en-US" w:eastAsia="zh-CN" w:bidi="ar-SA"/>
    </w:rPr>
  </w:style>
  <w:style w:type="paragraph" w:customStyle="1" w:styleId="266">
    <w:name w:val="p0"/>
    <w:basedOn w:val="1"/>
    <w:autoRedefine/>
    <w:qFormat/>
    <w:uiPriority w:val="0"/>
    <w:pPr>
      <w:widowControl/>
      <w:spacing w:before="100" w:beforeAutospacing="1" w:after="100" w:afterAutospacing="1"/>
      <w:jc w:val="left"/>
    </w:pPr>
    <w:rPr>
      <w:rFonts w:cs="宋体"/>
      <w:sz w:val="24"/>
      <w:szCs w:val="24"/>
    </w:rPr>
  </w:style>
  <w:style w:type="character" w:customStyle="1" w:styleId="267">
    <w:name w:val="正文文本 (2)_"/>
    <w:link w:val="268"/>
    <w:autoRedefine/>
    <w:qFormat/>
    <w:locked/>
    <w:uiPriority w:val="99"/>
    <w:rPr>
      <w:rFonts w:ascii="MingLiU" w:eastAsia="MingLiU" w:cs="MingLiU"/>
      <w:spacing w:val="20"/>
      <w:sz w:val="22"/>
      <w:shd w:val="clear" w:color="auto" w:fill="FFFFFF"/>
    </w:rPr>
  </w:style>
  <w:style w:type="paragraph" w:customStyle="1" w:styleId="268">
    <w:name w:val="正文文本 (2)1"/>
    <w:basedOn w:val="1"/>
    <w:link w:val="267"/>
    <w:autoRedefine/>
    <w:qFormat/>
    <w:uiPriority w:val="99"/>
    <w:pPr>
      <w:shd w:val="clear" w:color="auto" w:fill="FFFFFF"/>
      <w:spacing w:before="300" w:line="439" w:lineRule="exact"/>
      <w:jc w:val="distribute"/>
    </w:pPr>
    <w:rPr>
      <w:rFonts w:ascii="MingLiU" w:eastAsia="MingLiU" w:cs="MingLiU"/>
      <w:spacing w:val="20"/>
      <w:sz w:val="22"/>
    </w:rPr>
  </w:style>
  <w:style w:type="character" w:customStyle="1" w:styleId="269">
    <w:name w:val="正文文本 (2) + 间距 0 pt5"/>
    <w:autoRedefine/>
    <w:qFormat/>
    <w:uiPriority w:val="99"/>
    <w:rPr>
      <w:rFonts w:ascii="MingLiU" w:eastAsia="MingLiU" w:cs="MingLiU"/>
      <w:spacing w:val="0"/>
      <w:sz w:val="22"/>
      <w:shd w:val="clear" w:color="auto" w:fill="FFFFFF"/>
    </w:rPr>
  </w:style>
  <w:style w:type="character" w:customStyle="1" w:styleId="270">
    <w:name w:val="访问过的超链接1"/>
    <w:basedOn w:val="57"/>
    <w:autoRedefine/>
    <w:semiHidden/>
    <w:unhideWhenUsed/>
    <w:qFormat/>
    <w:uiPriority w:val="99"/>
    <w:rPr>
      <w:color w:val="954F72"/>
      <w:u w:val="single"/>
    </w:rPr>
  </w:style>
  <w:style w:type="character" w:customStyle="1" w:styleId="271">
    <w:name w:val="明显引用 Char2"/>
    <w:basedOn w:val="57"/>
    <w:autoRedefine/>
    <w:qFormat/>
    <w:uiPriority w:val="30"/>
    <w:rPr>
      <w:b/>
      <w:bCs/>
      <w:i/>
      <w:iCs/>
      <w:color w:val="4F81BD" w:themeColor="accent1"/>
      <w14:textFill>
        <w14:solidFill>
          <w14:schemeClr w14:val="accent1"/>
        </w14:solidFill>
      </w14:textFill>
    </w:rPr>
  </w:style>
  <w:style w:type="character" w:customStyle="1" w:styleId="272">
    <w:name w:val="引用 Char2"/>
    <w:basedOn w:val="57"/>
    <w:autoRedefine/>
    <w:qFormat/>
    <w:uiPriority w:val="29"/>
    <w:rPr>
      <w:i/>
      <w:iCs/>
      <w:color w:val="000000" w:themeColor="text1"/>
      <w14:textFill>
        <w14:solidFill>
          <w14:schemeClr w14:val="tx1"/>
        </w14:solidFill>
      </w14:textFill>
    </w:rPr>
  </w:style>
  <w:style w:type="table" w:customStyle="1" w:styleId="273">
    <w:name w:val="网格型4"/>
    <w:basedOn w:val="55"/>
    <w:autoRedefine/>
    <w:unhideWhenUsed/>
    <w:qFormat/>
    <w:uiPriority w:val="59"/>
    <w:rPr>
      <w:rFonts w:asciiTheme="minorHAnsi" w:hAnsiTheme="minorHAnsi" w:eastAsiaTheme="minorEastAsia"/>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Table Normal"/>
    <w:autoRedefine/>
    <w:semiHidden/>
    <w:unhideWhenUsed/>
    <w:qFormat/>
    <w:uiPriority w:val="0"/>
    <w:tblPr>
      <w:tblCellMar>
        <w:top w:w="0" w:type="dxa"/>
        <w:left w:w="0" w:type="dxa"/>
        <w:bottom w:w="0" w:type="dxa"/>
        <w:right w:w="0" w:type="dxa"/>
      </w:tblCellMar>
    </w:tblPr>
  </w:style>
  <w:style w:type="paragraph" w:customStyle="1" w:styleId="275">
    <w:name w:val="Table Text"/>
    <w:basedOn w:val="1"/>
    <w:autoRedefine/>
    <w:semiHidden/>
    <w:qFormat/>
    <w:uiPriority w:val="0"/>
    <w:rPr>
      <w:rFonts w:ascii="Arial" w:hAnsi="Arial" w:eastAsia="Arial" w:cs="Arial"/>
      <w:sz w:val="21"/>
      <w:szCs w:val="21"/>
      <w:lang w:val="en-US" w:eastAsia="en-US" w:bidi="ar-SA"/>
    </w:rPr>
  </w:style>
  <w:style w:type="character" w:customStyle="1" w:styleId="276">
    <w:name w:val="u-btn"/>
    <w:basedOn w:val="57"/>
    <w:qFormat/>
    <w:uiPriority w:val="0"/>
  </w:style>
  <w:style w:type="character" w:customStyle="1" w:styleId="277">
    <w:name w:val="z-open"/>
    <w:basedOn w:val="57"/>
    <w:qFormat/>
    <w:uiPriority w:val="0"/>
  </w:style>
  <w:style w:type="character" w:customStyle="1" w:styleId="278">
    <w:name w:val="nth-child(2)"/>
    <w:basedOn w:val="57"/>
    <w:qFormat/>
    <w:uiPriority w:val="0"/>
    <w:rPr>
      <w:color w:val="E00000"/>
    </w:rPr>
  </w:style>
  <w:style w:type="character" w:customStyle="1" w:styleId="279">
    <w:name w:val="first-child"/>
    <w:basedOn w:val="57"/>
    <w:qFormat/>
    <w:uiPriority w:val="0"/>
  </w:style>
  <w:style w:type="character" w:customStyle="1" w:styleId="280">
    <w:name w:val="layui-this"/>
    <w:basedOn w:val="57"/>
    <w:qFormat/>
    <w:uiPriority w:val="0"/>
    <w:rPr>
      <w:bdr w:val="single" w:color="EEEEEE" w:sz="6" w:space="0"/>
      <w:shd w:val="clear" w:fill="FFFFFF"/>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0E076E-A9C2-429F-926B-BF1D28797E37}">
  <ds:schemaRefs/>
</ds:datastoreItem>
</file>

<file path=docProps/app.xml><?xml version="1.0" encoding="utf-8"?>
<Properties xmlns="http://schemas.openxmlformats.org/officeDocument/2006/extended-properties" xmlns:vt="http://schemas.openxmlformats.org/officeDocument/2006/docPropsVTypes">
  <Template>Normal</Template>
  <Company>akoosky</Company>
  <Pages>117</Pages>
  <Words>10084</Words>
  <Characters>10728</Characters>
  <Lines>451</Lines>
  <Paragraphs>127</Paragraphs>
  <TotalTime>23</TotalTime>
  <ScaleCrop>false</ScaleCrop>
  <LinksUpToDate>false</LinksUpToDate>
  <CharactersWithSpaces>10987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2021-12-20T01:21:00Z</dcterms:created>
  <dc:creator>Anakin</dc:creator>
  <cp:lastModifiedBy>九千万少女的梦</cp:lastModifiedBy>
  <cp:lastPrinted>2019-12-07T15:20:00Z</cp:lastPrinted>
  <dcterms:modified xsi:type="dcterms:W3CDTF">2026-07-21T02:24:07Z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0722F333570145BDA185EE990DD08745_13</vt:lpwstr>
  </property>
  <property fmtid="{D5CDD505-2E9C-101B-9397-08002B2CF9AE}" pid="4" name="KSOTemplateDocerSaveRecord">
    <vt:lpwstr>eyJoZGlkIjoiNjM1MzMwOTZjNjY4NzMyNDgwZDkyYTEzZTEzNTllZWYiLCJ1c2VySWQiOiI0MzI1NTYyMzEifQ==</vt:lpwstr>
  </property>
</Properties>
</file>