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7D119">
      <w:pPr>
        <w:spacing w:line="360" w:lineRule="auto"/>
        <w:jc w:val="center"/>
        <w:rPr>
          <w:rFonts w:hint="eastAsia" w:ascii="宋体" w:hAnsi="宋体" w:eastAsia="宋体" w:cs="宋体"/>
          <w:color w:val="000000"/>
          <w:spacing w:val="-5"/>
          <w:position w:val="15"/>
          <w:sz w:val="52"/>
          <w:szCs w:val="52"/>
          <w:lang w:val="en-US" w:eastAsia="zh-CN"/>
        </w:rPr>
      </w:pPr>
      <w:r>
        <w:rPr>
          <w:rFonts w:hint="eastAsia" w:ascii="宋体" w:hAnsi="宋体" w:eastAsia="宋体" w:cs="宋体"/>
          <w:color w:val="000000"/>
          <w:spacing w:val="-5"/>
          <w:position w:val="15"/>
          <w:sz w:val="48"/>
          <w:szCs w:val="48"/>
          <w:lang w:val="en-US" w:eastAsia="zh-CN"/>
        </w:rPr>
        <w:t>界首市东城科技园新材料产业园建设项目可行性研究报告编制服务项目</w:t>
      </w: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9EDA718">
      <w:pPr>
        <w:jc w:val="center"/>
        <w:rPr>
          <w:rFonts w:ascii="Arial" w:hAnsi="Arial"/>
          <w:sz w:val="52"/>
        </w:rPr>
      </w:pPr>
      <w:r>
        <w:rPr>
          <w:rFonts w:hint="eastAsia" w:ascii="宋体"/>
          <w:b w:val="0"/>
          <w:bCs/>
          <w:sz w:val="32"/>
          <w:szCs w:val="32"/>
        </w:rPr>
        <w:t>项目编号：</w:t>
      </w:r>
      <w:r>
        <w:rPr>
          <w:rFonts w:hint="eastAsia" w:ascii="宋体"/>
          <w:b w:val="0"/>
          <w:bCs/>
          <w:sz w:val="32"/>
          <w:szCs w:val="32"/>
          <w:lang w:val="en-US" w:eastAsia="zh-CN"/>
        </w:rPr>
        <w:t xml:space="preserve">AHWM-20260005 </w:t>
      </w: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4C8605AD">
      <w:pPr>
        <w:jc w:val="both"/>
        <w:rPr>
          <w:rFonts w:hint="eastAsia" w:ascii="宋体" w:eastAsia="微软雅黑"/>
          <w:b w:val="0"/>
          <w:bCs/>
          <w:sz w:val="32"/>
          <w:szCs w:val="32"/>
          <w:lang w:eastAsia="zh-CN"/>
        </w:rPr>
      </w:pPr>
    </w:p>
    <w:p w14:paraId="7B58C138">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安徽融城高新技术产业发展集团有限公司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w:t>
      </w:r>
      <w:r>
        <w:rPr>
          <w:rFonts w:hint="eastAsia" w:ascii="宋体"/>
          <w:b w:val="0"/>
          <w:bCs/>
          <w:sz w:val="32"/>
          <w:szCs w:val="32"/>
          <w:lang w:val="en-US" w:eastAsia="zh-CN"/>
        </w:rPr>
        <w:t>26</w:t>
      </w:r>
      <w:r>
        <w:rPr>
          <w:rFonts w:hint="eastAsia" w:ascii="宋体"/>
          <w:b w:val="0"/>
          <w:bCs/>
          <w:sz w:val="32"/>
          <w:szCs w:val="32"/>
          <w:lang w:eastAsia="zh-CN"/>
        </w:rPr>
        <w:t>年</w:t>
      </w:r>
      <w:r>
        <w:rPr>
          <w:rFonts w:hint="eastAsia" w:ascii="宋体"/>
          <w:b w:val="0"/>
          <w:bCs/>
          <w:sz w:val="32"/>
          <w:szCs w:val="32"/>
          <w:lang w:val="en-US" w:eastAsia="zh-CN"/>
        </w:rPr>
        <w:t>1</w:t>
      </w:r>
      <w:bookmarkStart w:id="57" w:name="_GoBack"/>
      <w:bookmarkEnd w:id="57"/>
      <w:r>
        <w:rPr>
          <w:rFonts w:hint="eastAsia" w:ascii="宋体"/>
          <w:b w:val="0"/>
          <w:bCs/>
          <w:sz w:val="32"/>
          <w:szCs w:val="32"/>
          <w:lang w:eastAsia="zh-CN"/>
        </w:rPr>
        <w:t>月</w:t>
      </w:r>
    </w:p>
    <w:p w14:paraId="1721DF44">
      <w:pPr>
        <w:pStyle w:val="8"/>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64480"/>
        <w15:color w:val="DBDBDB"/>
        <w:docPartObj>
          <w:docPartGallery w:val="Table of Contents"/>
          <w:docPartUnique/>
        </w:docPartObj>
      </w:sdtPr>
      <w:sdtEndPr>
        <w:rPr>
          <w:rFonts w:ascii="Tahoma" w:hAnsi="Tahoma" w:eastAsia="微软雅黑" w:cstheme="minorBidi"/>
          <w:sz w:val="22"/>
          <w:szCs w:val="22"/>
          <w:lang w:val="en-US" w:eastAsia="zh-CN" w:bidi="ar-SA"/>
        </w:rPr>
      </w:sdtEndPr>
      <w:sdtContent>
        <w:p w14:paraId="372DC2A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B17898D">
          <w:pPr>
            <w:pStyle w:val="17"/>
            <w:tabs>
              <w:tab w:val="right" w:leader="dot" w:pos="9680"/>
            </w:tabs>
          </w:pPr>
          <w:r>
            <w:fldChar w:fldCharType="begin"/>
          </w:r>
          <w:r>
            <w:instrText xml:space="preserve">TOC \o "1-3" \h \u </w:instrText>
          </w:r>
          <w:r>
            <w:fldChar w:fldCharType="separate"/>
          </w:r>
          <w:r>
            <w:fldChar w:fldCharType="begin"/>
          </w:r>
          <w:r>
            <w:instrText xml:space="preserve"> HYPERLINK \l _Toc31705 </w:instrText>
          </w:r>
          <w: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_Toc31705 \h </w:instrText>
          </w:r>
          <w:r>
            <w:fldChar w:fldCharType="separate"/>
          </w:r>
          <w:r>
            <w:t>1</w:t>
          </w:r>
          <w:r>
            <w:fldChar w:fldCharType="end"/>
          </w:r>
          <w:r>
            <w:fldChar w:fldCharType="end"/>
          </w:r>
        </w:p>
        <w:p w14:paraId="004DDF9C">
          <w:pPr>
            <w:pStyle w:val="18"/>
            <w:tabs>
              <w:tab w:val="right" w:leader="dot" w:pos="9680"/>
            </w:tabs>
          </w:pPr>
          <w:r>
            <w:fldChar w:fldCharType="begin"/>
          </w:r>
          <w:r>
            <w:instrText xml:space="preserve"> HYPERLINK \l _Toc14478 </w:instrText>
          </w:r>
          <w:r>
            <w:fldChar w:fldCharType="separate"/>
          </w:r>
          <w:r>
            <w:rPr>
              <w:rFonts w:hint="eastAsia" w:ascii="方正宋黑简体" w:hAnsi="宋体" w:eastAsia="方正宋黑简体" w:cs="黑体"/>
              <w:bCs/>
              <w:szCs w:val="30"/>
              <w:lang w:val="en-US" w:eastAsia="zh-CN"/>
            </w:rPr>
            <w:t>界首市东城科技园新材料产业园建设项目可行性研究报告编制服务项目</w:t>
          </w:r>
          <w:r>
            <w:fldChar w:fldCharType="end"/>
          </w:r>
          <w:r>
            <w:fldChar w:fldCharType="begin"/>
          </w:r>
          <w:r>
            <w:instrText xml:space="preserve"> HYPERLINK \l _Toc18001 </w:instrText>
          </w:r>
          <w:r>
            <w:fldChar w:fldCharType="separate"/>
          </w:r>
          <w:r>
            <w:rPr>
              <w:rFonts w:hint="eastAsia" w:ascii="方正宋黑简体" w:hAnsi="宋体" w:eastAsia="方正宋黑简体" w:cs="黑体"/>
              <w:bCs/>
              <w:szCs w:val="30"/>
              <w:lang w:val="en-US" w:eastAsia="zh-CN"/>
            </w:rPr>
            <w:t>询价公告</w:t>
          </w:r>
          <w:r>
            <w:tab/>
          </w:r>
          <w:r>
            <w:fldChar w:fldCharType="begin"/>
          </w:r>
          <w:r>
            <w:instrText xml:space="preserve"> PAGEREF _Toc18001 \h </w:instrText>
          </w:r>
          <w:r>
            <w:fldChar w:fldCharType="separate"/>
          </w:r>
          <w:r>
            <w:t>1</w:t>
          </w:r>
          <w:r>
            <w:fldChar w:fldCharType="end"/>
          </w:r>
          <w:r>
            <w:fldChar w:fldCharType="end"/>
          </w:r>
        </w:p>
        <w:p w14:paraId="758BF9FD">
          <w:pPr>
            <w:pStyle w:val="18"/>
            <w:tabs>
              <w:tab w:val="right" w:leader="dot" w:pos="9680"/>
            </w:tabs>
          </w:pPr>
          <w:r>
            <w:fldChar w:fldCharType="begin"/>
          </w:r>
          <w:r>
            <w:instrText xml:space="preserve"> HYPERLINK \l _Toc26255 </w:instrText>
          </w:r>
          <w:r>
            <w:fldChar w:fldCharType="separate"/>
          </w:r>
          <w:r>
            <w:rPr>
              <w:rFonts w:hint="eastAsia" w:ascii="黑体" w:hAnsi="黑体" w:eastAsia="黑体" w:cs="宋体"/>
              <w:bCs/>
              <w:szCs w:val="28"/>
            </w:rPr>
            <w:t>一、采购项目名称及内容</w:t>
          </w:r>
          <w:r>
            <w:tab/>
          </w:r>
          <w:r>
            <w:fldChar w:fldCharType="begin"/>
          </w:r>
          <w:r>
            <w:instrText xml:space="preserve"> PAGEREF _Toc26255 \h </w:instrText>
          </w:r>
          <w:r>
            <w:fldChar w:fldCharType="separate"/>
          </w:r>
          <w:r>
            <w:t>1</w:t>
          </w:r>
          <w:r>
            <w:fldChar w:fldCharType="end"/>
          </w:r>
          <w:r>
            <w:fldChar w:fldCharType="end"/>
          </w:r>
        </w:p>
        <w:p w14:paraId="2DDB32B7">
          <w:pPr>
            <w:pStyle w:val="18"/>
            <w:tabs>
              <w:tab w:val="right" w:leader="dot" w:pos="9680"/>
            </w:tabs>
          </w:pPr>
          <w:r>
            <w:fldChar w:fldCharType="begin"/>
          </w:r>
          <w:r>
            <w:instrText xml:space="preserve"> HYPERLINK \l _Toc10677 </w:instrText>
          </w:r>
          <w: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_Toc10677 \h </w:instrText>
          </w:r>
          <w:r>
            <w:fldChar w:fldCharType="separate"/>
          </w:r>
          <w:r>
            <w:t>1</w:t>
          </w:r>
          <w:r>
            <w:fldChar w:fldCharType="end"/>
          </w:r>
          <w:r>
            <w:fldChar w:fldCharType="end"/>
          </w:r>
        </w:p>
        <w:p w14:paraId="7CD67784">
          <w:pPr>
            <w:pStyle w:val="18"/>
            <w:tabs>
              <w:tab w:val="right" w:leader="dot" w:pos="9680"/>
            </w:tabs>
          </w:pPr>
          <w:r>
            <w:fldChar w:fldCharType="begin"/>
          </w:r>
          <w:r>
            <w:instrText xml:space="preserve"> HYPERLINK \l _Toc13138 </w:instrText>
          </w:r>
          <w: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_Toc13138 \h </w:instrText>
          </w:r>
          <w:r>
            <w:fldChar w:fldCharType="separate"/>
          </w:r>
          <w:r>
            <w:t>1</w:t>
          </w:r>
          <w:r>
            <w:fldChar w:fldCharType="end"/>
          </w:r>
          <w:r>
            <w:fldChar w:fldCharType="end"/>
          </w:r>
        </w:p>
        <w:p w14:paraId="59A5C822">
          <w:pPr>
            <w:pStyle w:val="18"/>
            <w:tabs>
              <w:tab w:val="right" w:leader="dot" w:pos="9680"/>
            </w:tabs>
          </w:pPr>
          <w:r>
            <w:fldChar w:fldCharType="begin"/>
          </w:r>
          <w:r>
            <w:instrText xml:space="preserve"> HYPERLINK \l _Toc8508 </w:instrText>
          </w:r>
          <w: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_Toc8508 \h </w:instrText>
          </w:r>
          <w:r>
            <w:fldChar w:fldCharType="separate"/>
          </w:r>
          <w:r>
            <w:t>2</w:t>
          </w:r>
          <w:r>
            <w:fldChar w:fldCharType="end"/>
          </w:r>
          <w:r>
            <w:fldChar w:fldCharType="end"/>
          </w:r>
        </w:p>
        <w:p w14:paraId="1A16119E">
          <w:pPr>
            <w:pStyle w:val="18"/>
            <w:tabs>
              <w:tab w:val="right" w:leader="dot" w:pos="9680"/>
            </w:tabs>
          </w:pPr>
          <w:r>
            <w:fldChar w:fldCharType="begin"/>
          </w:r>
          <w:r>
            <w:instrText xml:space="preserve"> HYPERLINK \l _Toc27502 </w:instrText>
          </w:r>
          <w: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_Toc27502 \h </w:instrText>
          </w:r>
          <w:r>
            <w:fldChar w:fldCharType="separate"/>
          </w:r>
          <w:r>
            <w:t>2</w:t>
          </w:r>
          <w:r>
            <w:fldChar w:fldCharType="end"/>
          </w:r>
          <w:r>
            <w:fldChar w:fldCharType="end"/>
          </w:r>
        </w:p>
        <w:p w14:paraId="5B8FB3B1">
          <w:pPr>
            <w:pStyle w:val="18"/>
            <w:tabs>
              <w:tab w:val="right" w:leader="dot" w:pos="9680"/>
            </w:tabs>
          </w:pPr>
          <w:r>
            <w:fldChar w:fldCharType="begin"/>
          </w:r>
          <w:r>
            <w:instrText xml:space="preserve"> HYPERLINK \l _Toc29810 </w:instrText>
          </w:r>
          <w: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_Toc29810 \h </w:instrText>
          </w:r>
          <w:r>
            <w:fldChar w:fldCharType="separate"/>
          </w:r>
          <w:r>
            <w:t>3</w:t>
          </w:r>
          <w:r>
            <w:fldChar w:fldCharType="end"/>
          </w:r>
          <w:r>
            <w:fldChar w:fldCharType="end"/>
          </w:r>
        </w:p>
        <w:p w14:paraId="0B5E3CFF">
          <w:pPr>
            <w:pStyle w:val="18"/>
            <w:tabs>
              <w:tab w:val="right" w:leader="dot" w:pos="9680"/>
            </w:tabs>
          </w:pPr>
          <w:r>
            <w:fldChar w:fldCharType="begin"/>
          </w:r>
          <w:r>
            <w:instrText xml:space="preserve"> HYPERLINK \l _Toc30793 </w:instrText>
          </w:r>
          <w: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_Toc30793 \h </w:instrText>
          </w:r>
          <w:r>
            <w:fldChar w:fldCharType="separate"/>
          </w:r>
          <w:r>
            <w:t>5</w:t>
          </w:r>
          <w:r>
            <w:fldChar w:fldCharType="end"/>
          </w:r>
          <w:r>
            <w:fldChar w:fldCharType="end"/>
          </w:r>
        </w:p>
        <w:p w14:paraId="5404A30C">
          <w:pPr>
            <w:pStyle w:val="18"/>
            <w:tabs>
              <w:tab w:val="right" w:leader="dot" w:pos="9680"/>
            </w:tabs>
          </w:pPr>
          <w:r>
            <w:fldChar w:fldCharType="begin"/>
          </w:r>
          <w:r>
            <w:instrText xml:space="preserve"> HYPERLINK \l _Toc20235 </w:instrText>
          </w:r>
          <w:r>
            <w:fldChar w:fldCharType="separate"/>
          </w:r>
          <w:r>
            <w:rPr>
              <w:rFonts w:hint="eastAsia" w:ascii="方正宋黑简体" w:hAnsi="宋体" w:eastAsia="方正宋黑简体" w:cs="黑体"/>
              <w:bCs/>
              <w:szCs w:val="32"/>
            </w:rPr>
            <w:t>四、签订合同</w:t>
          </w:r>
          <w:r>
            <w:tab/>
          </w:r>
          <w:r>
            <w:fldChar w:fldCharType="begin"/>
          </w:r>
          <w:r>
            <w:instrText xml:space="preserve"> PAGEREF _Toc20235 \h </w:instrText>
          </w:r>
          <w:r>
            <w:fldChar w:fldCharType="separate"/>
          </w:r>
          <w:r>
            <w:t>6</w:t>
          </w:r>
          <w:r>
            <w:fldChar w:fldCharType="end"/>
          </w:r>
          <w:r>
            <w:fldChar w:fldCharType="end"/>
          </w:r>
        </w:p>
        <w:p w14:paraId="5EEA6F61">
          <w:pPr>
            <w:pStyle w:val="18"/>
            <w:tabs>
              <w:tab w:val="right" w:leader="dot" w:pos="9680"/>
            </w:tabs>
          </w:pPr>
          <w:r>
            <w:fldChar w:fldCharType="begin"/>
          </w:r>
          <w:r>
            <w:instrText xml:space="preserve"> HYPERLINK \l _Toc10016 </w:instrText>
          </w:r>
          <w: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_Toc10016 \h </w:instrText>
          </w:r>
          <w:r>
            <w:fldChar w:fldCharType="separate"/>
          </w:r>
          <w:r>
            <w:t>7</w:t>
          </w:r>
          <w:r>
            <w:fldChar w:fldCharType="end"/>
          </w:r>
          <w:r>
            <w:fldChar w:fldCharType="end"/>
          </w:r>
        </w:p>
        <w:p w14:paraId="4B879143">
          <w:pPr>
            <w:pStyle w:val="18"/>
            <w:tabs>
              <w:tab w:val="right" w:leader="dot" w:pos="9680"/>
            </w:tabs>
          </w:pPr>
          <w:r>
            <w:fldChar w:fldCharType="begin"/>
          </w:r>
          <w:r>
            <w:instrText xml:space="preserve"> HYPERLINK \l _Toc16451 </w:instrText>
          </w:r>
          <w: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_Toc16451 \h </w:instrText>
          </w:r>
          <w:r>
            <w:fldChar w:fldCharType="separate"/>
          </w:r>
          <w:r>
            <w:t>8</w:t>
          </w:r>
          <w:r>
            <w:fldChar w:fldCharType="end"/>
          </w:r>
          <w:r>
            <w:fldChar w:fldCharType="end"/>
          </w:r>
        </w:p>
        <w:p w14:paraId="5CAF75D5">
          <w:pPr>
            <w:pStyle w:val="18"/>
            <w:tabs>
              <w:tab w:val="right" w:leader="dot" w:pos="9680"/>
            </w:tabs>
          </w:pPr>
          <w:r>
            <w:fldChar w:fldCharType="begin"/>
          </w:r>
          <w:r>
            <w:instrText xml:space="preserve"> HYPERLINK \l _Toc11627 </w:instrText>
          </w:r>
          <w:r>
            <w:fldChar w:fldCharType="separate"/>
          </w:r>
          <w:r>
            <w:rPr>
              <w:rFonts w:hint="eastAsia" w:ascii="方正宋黑简体" w:hAnsi="宋体" w:eastAsia="方正宋黑简体" w:cs="黑体"/>
              <w:bCs/>
              <w:szCs w:val="32"/>
            </w:rPr>
            <w:t>七、 采购需求</w:t>
          </w:r>
          <w:r>
            <w:tab/>
          </w:r>
          <w:r>
            <w:fldChar w:fldCharType="begin"/>
          </w:r>
          <w:r>
            <w:instrText xml:space="preserve"> PAGEREF _Toc11627 \h </w:instrText>
          </w:r>
          <w:r>
            <w:fldChar w:fldCharType="separate"/>
          </w:r>
          <w:r>
            <w:t>9</w:t>
          </w:r>
          <w:r>
            <w:fldChar w:fldCharType="end"/>
          </w:r>
          <w:r>
            <w:fldChar w:fldCharType="end"/>
          </w:r>
        </w:p>
        <w:p w14:paraId="2C86D10E">
          <w:pPr>
            <w:pStyle w:val="18"/>
            <w:tabs>
              <w:tab w:val="right" w:leader="dot" w:pos="9680"/>
            </w:tabs>
          </w:pPr>
          <w:r>
            <w:fldChar w:fldCharType="begin"/>
          </w:r>
          <w:r>
            <w:instrText xml:space="preserve"> HYPERLINK \l _Toc9773 </w:instrText>
          </w:r>
          <w:r>
            <w:fldChar w:fldCharType="separate"/>
          </w:r>
          <w:r>
            <w:rPr>
              <w:rFonts w:hint="eastAsia" w:ascii="方正宋黑简体" w:hAnsi="宋体" w:eastAsia="方正宋黑简体" w:cs="黑体"/>
              <w:bCs/>
              <w:szCs w:val="32"/>
            </w:rPr>
            <w:t>八、合同格式</w:t>
          </w:r>
          <w:r>
            <w:tab/>
          </w:r>
          <w:r>
            <w:fldChar w:fldCharType="begin"/>
          </w:r>
          <w:r>
            <w:instrText xml:space="preserve"> PAGEREF _Toc9773 \h </w:instrText>
          </w:r>
          <w:r>
            <w:fldChar w:fldCharType="separate"/>
          </w:r>
          <w:r>
            <w:t>13</w:t>
          </w:r>
          <w:r>
            <w:fldChar w:fldCharType="end"/>
          </w:r>
          <w:r>
            <w:fldChar w:fldCharType="end"/>
          </w:r>
        </w:p>
        <w:p w14:paraId="445BB48C">
          <w:pPr>
            <w:pStyle w:val="17"/>
            <w:tabs>
              <w:tab w:val="right" w:leader="dot" w:pos="9680"/>
            </w:tabs>
          </w:pPr>
          <w:r>
            <w:fldChar w:fldCharType="begin"/>
          </w:r>
          <w:r>
            <w:instrText xml:space="preserve"> HYPERLINK \l _Toc22440 </w:instrText>
          </w:r>
          <w: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_Toc22440 \h </w:instrText>
          </w:r>
          <w:r>
            <w:fldChar w:fldCharType="separate"/>
          </w:r>
          <w:r>
            <w:t>18</w:t>
          </w:r>
          <w:r>
            <w:fldChar w:fldCharType="end"/>
          </w:r>
          <w:r>
            <w:fldChar w:fldCharType="end"/>
          </w:r>
        </w:p>
        <w:p w14:paraId="7AB08BD6">
          <w:pPr>
            <w:pStyle w:val="18"/>
            <w:tabs>
              <w:tab w:val="right" w:leader="dot" w:pos="9680"/>
            </w:tabs>
          </w:pPr>
          <w:r>
            <w:fldChar w:fldCharType="begin"/>
          </w:r>
          <w:r>
            <w:instrText xml:space="preserve"> HYPERLINK \l _Toc498 </w:instrText>
          </w:r>
          <w: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_Toc498 \h </w:instrText>
          </w:r>
          <w:r>
            <w:fldChar w:fldCharType="separate"/>
          </w:r>
          <w:r>
            <w:t>19</w:t>
          </w:r>
          <w:r>
            <w:fldChar w:fldCharType="end"/>
          </w:r>
          <w:r>
            <w:fldChar w:fldCharType="end"/>
          </w:r>
        </w:p>
        <w:p w14:paraId="0D66BA0B">
          <w:pPr>
            <w:pStyle w:val="18"/>
            <w:tabs>
              <w:tab w:val="right" w:leader="dot" w:pos="9680"/>
            </w:tabs>
          </w:pPr>
          <w:r>
            <w:fldChar w:fldCharType="begin"/>
          </w:r>
          <w:r>
            <w:instrText xml:space="preserve"> HYPERLINK \l _Toc4402 </w:instrText>
          </w:r>
          <w:r>
            <w:fldChar w:fldCharType="separate"/>
          </w:r>
          <w:r>
            <w:rPr>
              <w:rFonts w:hint="eastAsia" w:ascii="方正宋黑简体" w:hAnsi="宋体" w:eastAsia="方正宋黑简体" w:cs="黑体"/>
              <w:bCs/>
              <w:szCs w:val="32"/>
            </w:rPr>
            <w:t>二、报价函格式</w:t>
          </w:r>
          <w:r>
            <w:tab/>
          </w:r>
          <w:r>
            <w:fldChar w:fldCharType="begin"/>
          </w:r>
          <w:r>
            <w:instrText xml:space="preserve"> PAGEREF _Toc4402 \h </w:instrText>
          </w:r>
          <w:r>
            <w:fldChar w:fldCharType="separate"/>
          </w:r>
          <w:r>
            <w:t>20</w:t>
          </w:r>
          <w:r>
            <w:fldChar w:fldCharType="end"/>
          </w:r>
          <w:r>
            <w:fldChar w:fldCharType="end"/>
          </w:r>
        </w:p>
        <w:p w14:paraId="0DCEA333">
          <w:pPr>
            <w:pStyle w:val="18"/>
            <w:tabs>
              <w:tab w:val="right" w:leader="dot" w:pos="9680"/>
            </w:tabs>
          </w:pPr>
          <w:r>
            <w:fldChar w:fldCharType="begin"/>
          </w:r>
          <w:r>
            <w:instrText xml:space="preserve"> HYPERLINK \l _Toc22600 </w:instrText>
          </w:r>
          <w: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_Toc22600 \h </w:instrText>
          </w:r>
          <w:r>
            <w:fldChar w:fldCharType="separate"/>
          </w:r>
          <w:r>
            <w:t>21</w:t>
          </w:r>
          <w:r>
            <w:fldChar w:fldCharType="end"/>
          </w:r>
          <w:r>
            <w:fldChar w:fldCharType="end"/>
          </w:r>
        </w:p>
        <w:p w14:paraId="61C57DE3">
          <w:pPr>
            <w:pStyle w:val="18"/>
            <w:tabs>
              <w:tab w:val="right" w:leader="dot" w:pos="9680"/>
            </w:tabs>
          </w:pPr>
          <w:r>
            <w:fldChar w:fldCharType="begin"/>
          </w:r>
          <w:r>
            <w:instrText xml:space="preserve"> HYPERLINK \l _Toc1782 </w:instrText>
          </w:r>
          <w:r>
            <w:fldChar w:fldCharType="separate"/>
          </w:r>
          <w:r>
            <w:rPr>
              <w:rFonts w:hint="eastAsia" w:ascii="宋体" w:hAnsi="宋体" w:eastAsia="宋体" w:cs="宋体"/>
              <w:szCs w:val="32"/>
              <w:lang w:val="en-US" w:eastAsia="zh-CN"/>
            </w:rPr>
            <w:t>四、 人员配置</w:t>
          </w:r>
          <w:r>
            <w:tab/>
          </w:r>
          <w:r>
            <w:fldChar w:fldCharType="begin"/>
          </w:r>
          <w:r>
            <w:instrText xml:space="preserve"> PAGEREF _Toc1782 \h </w:instrText>
          </w:r>
          <w:r>
            <w:fldChar w:fldCharType="separate"/>
          </w:r>
          <w:r>
            <w:t>23</w:t>
          </w:r>
          <w:r>
            <w:fldChar w:fldCharType="end"/>
          </w:r>
          <w:r>
            <w:fldChar w:fldCharType="end"/>
          </w:r>
        </w:p>
        <w:p w14:paraId="7A454F25">
          <w:pPr>
            <w:pStyle w:val="18"/>
            <w:tabs>
              <w:tab w:val="right" w:leader="dot" w:pos="9680"/>
            </w:tabs>
          </w:pPr>
          <w:r>
            <w:fldChar w:fldCharType="begin"/>
          </w:r>
          <w:r>
            <w:instrText xml:space="preserve"> HYPERLINK \l _Toc2000 </w:instrText>
          </w:r>
          <w:r>
            <w:fldChar w:fldCharType="separate"/>
          </w:r>
          <w:r>
            <w:rPr>
              <w:rFonts w:hint="eastAsia" w:ascii="宋体" w:hAnsi="宋体" w:eastAsia="宋体" w:cs="宋体"/>
              <w:szCs w:val="32"/>
              <w:lang w:val="en-US" w:eastAsia="zh-CN"/>
            </w:rPr>
            <w:t>五、 服务方案</w:t>
          </w:r>
          <w:r>
            <w:tab/>
          </w:r>
          <w:r>
            <w:fldChar w:fldCharType="begin"/>
          </w:r>
          <w:r>
            <w:instrText xml:space="preserve"> PAGEREF _Toc2000 \h </w:instrText>
          </w:r>
          <w:r>
            <w:fldChar w:fldCharType="separate"/>
          </w:r>
          <w:r>
            <w:t>24</w:t>
          </w:r>
          <w:r>
            <w:fldChar w:fldCharType="end"/>
          </w:r>
          <w:r>
            <w:fldChar w:fldCharType="end"/>
          </w:r>
        </w:p>
        <w:p w14:paraId="4256797D">
          <w:pPr>
            <w:pStyle w:val="18"/>
            <w:tabs>
              <w:tab w:val="right" w:leader="dot" w:pos="9680"/>
            </w:tabs>
          </w:pPr>
          <w:r>
            <w:fldChar w:fldCharType="begin"/>
          </w:r>
          <w:r>
            <w:instrText xml:space="preserve"> HYPERLINK \l _Toc21635 </w:instrText>
          </w:r>
          <w:r>
            <w:fldChar w:fldCharType="separate"/>
          </w:r>
          <w:r>
            <w:rPr>
              <w:rFonts w:hint="eastAsia" w:ascii="方正宋黑简体" w:hAnsi="宋体" w:eastAsia="方正宋黑简体" w:cs="黑体"/>
              <w:bCs/>
              <w:szCs w:val="36"/>
              <w:lang w:val="en-US" w:eastAsia="zh-CN"/>
            </w:rPr>
            <w:t>六</w:t>
          </w:r>
          <w:r>
            <w:rPr>
              <w:rFonts w:hint="eastAsia" w:ascii="方正宋黑简体" w:hAnsi="宋体" w:eastAsia="方正宋黑简体" w:cs="黑体"/>
              <w:bCs/>
              <w:szCs w:val="36"/>
            </w:rPr>
            <w:t>、资格证明材料</w:t>
          </w:r>
          <w:r>
            <w:tab/>
          </w:r>
          <w:r>
            <w:fldChar w:fldCharType="begin"/>
          </w:r>
          <w:r>
            <w:instrText xml:space="preserve"> PAGEREF _Toc21635 \h </w:instrText>
          </w:r>
          <w:r>
            <w:fldChar w:fldCharType="separate"/>
          </w:r>
          <w:r>
            <w:t>25</w:t>
          </w:r>
          <w:r>
            <w:fldChar w:fldCharType="end"/>
          </w:r>
          <w:r>
            <w:fldChar w:fldCharType="end"/>
          </w:r>
        </w:p>
        <w:p w14:paraId="37405F17">
          <w:pPr>
            <w:rPr>
              <w:rFonts w:ascii="Tahoma" w:hAnsi="Tahoma" w:eastAsia="微软雅黑" w:cstheme="minorBidi"/>
              <w:sz w:val="22"/>
              <w:szCs w:val="22"/>
              <w:lang w:val="en-US" w:eastAsia="zh-CN" w:bidi="ar-SA"/>
            </w:rPr>
          </w:pPr>
          <w:r>
            <w:fldChar w:fldCharType="end"/>
          </w:r>
        </w:p>
      </w:sdtContent>
    </w:sdt>
    <w:p w14:paraId="4AA329EF">
      <w:pPr>
        <w:rPr>
          <w:rFonts w:ascii="Tahoma" w:hAnsi="Tahoma" w:eastAsia="微软雅黑" w:cstheme="minorBidi"/>
          <w:sz w:val="22"/>
          <w:szCs w:val="22"/>
          <w:lang w:val="en-US" w:eastAsia="zh-CN" w:bidi="ar-SA"/>
        </w:rPr>
      </w:pPr>
    </w:p>
    <w:p w14:paraId="474C199D">
      <w:pPr>
        <w:rPr>
          <w:rFonts w:ascii="Tahoma" w:hAnsi="Tahoma" w:eastAsia="微软雅黑" w:cstheme="minorBidi"/>
          <w:sz w:val="22"/>
          <w:szCs w:val="22"/>
          <w:lang w:val="en-US" w:eastAsia="zh-CN" w:bidi="ar-SA"/>
        </w:rPr>
      </w:pPr>
    </w:p>
    <w:p w14:paraId="418BCB7B">
      <w:pPr>
        <w:spacing w:line="420" w:lineRule="exact"/>
        <w:jc w:val="center"/>
        <w:outlineLvl w:val="0"/>
        <w:rPr>
          <w:rFonts w:hint="eastAsia" w:ascii="方正宋黑简体" w:hAnsi="宋体" w:eastAsia="方正宋黑简体" w:cs="黑体"/>
          <w:b/>
          <w:bCs/>
          <w:sz w:val="32"/>
          <w:szCs w:val="32"/>
        </w:rPr>
        <w:sectPr>
          <w:headerReference r:id="rId4" w:type="default"/>
          <w:footerReference r:id="rId5" w:type="default"/>
          <w:pgSz w:w="11907" w:h="16840"/>
          <w:pgMar w:top="1418" w:right="980" w:bottom="1247" w:left="1247" w:header="851" w:footer="851" w:gutter="0"/>
          <w:pgNumType w:fmt="decimal" w:start="1"/>
          <w:cols w:space="720" w:num="1"/>
          <w:titlePg/>
          <w:docGrid w:linePitch="312" w:charSpace="0"/>
        </w:sectPr>
      </w:pPr>
      <w:bookmarkStart w:id="0" w:name="_Toc31705"/>
    </w:p>
    <w:p w14:paraId="547A1A8A">
      <w:pPr>
        <w:spacing w:line="420" w:lineRule="exact"/>
        <w:jc w:val="center"/>
        <w:outlineLvl w:val="0"/>
        <w:rPr>
          <w:rFonts w:hint="eastAsia"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第一章  询价文件</w:t>
      </w:r>
      <w:bookmarkEnd w:id="0"/>
    </w:p>
    <w:p w14:paraId="53F949BC">
      <w:pPr>
        <w:spacing w:line="240" w:lineRule="auto"/>
        <w:jc w:val="center"/>
        <w:outlineLvl w:val="1"/>
        <w:rPr>
          <w:rFonts w:hint="eastAsia" w:ascii="方正宋黑简体" w:hAnsi="宋体" w:eastAsia="方正宋黑简体" w:cs="黑体"/>
          <w:b/>
          <w:bCs/>
          <w:sz w:val="30"/>
          <w:szCs w:val="30"/>
          <w:lang w:val="en-US" w:eastAsia="zh-CN"/>
        </w:rPr>
      </w:pPr>
      <w:bookmarkStart w:id="1" w:name="_Toc466549684"/>
      <w:bookmarkStart w:id="2" w:name="_Toc18001"/>
      <w:r>
        <w:rPr>
          <w:rFonts w:hint="eastAsia" w:ascii="方正宋黑简体" w:hAnsi="宋体" w:eastAsia="方正宋黑简体" w:cs="黑体"/>
          <w:b/>
          <w:bCs/>
          <w:sz w:val="30"/>
          <w:szCs w:val="30"/>
          <w:lang w:val="en-US" w:eastAsia="zh-CN"/>
        </w:rPr>
        <w:t>界首市东城科技园新材料产业园建设项目可行性研究报告编制服务项目</w:t>
      </w:r>
    </w:p>
    <w:p w14:paraId="67A853A8">
      <w:pPr>
        <w:spacing w:line="240" w:lineRule="auto"/>
        <w:jc w:val="center"/>
        <w:outlineLvl w:val="1"/>
        <w:rPr>
          <w:rFonts w:hint="eastAsia" w:ascii="方正宋黑简体" w:hAnsi="宋体" w:eastAsia="方正宋黑简体" w:cs="黑体"/>
          <w:b/>
          <w:bCs/>
          <w:sz w:val="30"/>
          <w:szCs w:val="30"/>
          <w:lang w:val="en-US" w:eastAsia="zh-CN"/>
        </w:rPr>
      </w:pPr>
      <w:r>
        <w:rPr>
          <w:rFonts w:hint="eastAsia" w:ascii="方正宋黑简体" w:hAnsi="宋体" w:eastAsia="方正宋黑简体" w:cs="黑体"/>
          <w:b/>
          <w:bCs/>
          <w:sz w:val="30"/>
          <w:szCs w:val="30"/>
          <w:lang w:val="en-US" w:eastAsia="zh-CN"/>
        </w:rPr>
        <w:t>询价</w:t>
      </w:r>
      <w:bookmarkEnd w:id="1"/>
      <w:r>
        <w:rPr>
          <w:rFonts w:hint="eastAsia" w:ascii="方正宋黑简体" w:hAnsi="宋体" w:eastAsia="方正宋黑简体" w:cs="黑体"/>
          <w:b/>
          <w:bCs/>
          <w:sz w:val="30"/>
          <w:szCs w:val="30"/>
          <w:lang w:val="en-US" w:eastAsia="zh-CN"/>
        </w:rPr>
        <w:t>公告</w:t>
      </w:r>
      <w:bookmarkEnd w:id="2"/>
    </w:p>
    <w:p w14:paraId="5A2C81D2">
      <w:pPr>
        <w:pStyle w:val="19"/>
        <w:shd w:val="clear" w:color="auto" w:fill="FFFFFF"/>
        <w:spacing w:before="0" w:beforeAutospacing="0" w:after="0" w:afterAutospacing="0" w:line="560" w:lineRule="exact"/>
        <w:ind w:firstLine="840" w:firstLineChars="3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single"/>
          <w:lang w:val="en-US" w:eastAsia="zh-CN"/>
        </w:rPr>
        <w:t>界首市东城科技园新材料产业园建设项目可行性研究报告编制服务项目</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26255"/>
      <w:r>
        <w:rPr>
          <w:rFonts w:hint="eastAsia" w:ascii="黑体" w:hAnsi="黑体" w:eastAsia="黑体" w:cs="宋体"/>
          <w:b/>
          <w:bCs/>
          <w:color w:val="000000"/>
          <w:sz w:val="28"/>
          <w:szCs w:val="28"/>
        </w:rPr>
        <w:t>一、采购项目名称及内容</w:t>
      </w:r>
      <w:bookmarkEnd w:id="4"/>
    </w:p>
    <w:p w14:paraId="0904ECFD">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 xml:space="preserve">1、项目编号：AHWM-20260005 </w:t>
      </w:r>
    </w:p>
    <w:p w14:paraId="303C3C03">
      <w:pPr>
        <w:autoSpaceDE w:val="0"/>
        <w:autoSpaceDN w:val="0"/>
        <w:adjustRightInd w:val="0"/>
        <w:snapToGrid w:val="0"/>
        <w:spacing w:line="480" w:lineRule="exact"/>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2、项目名称：界首市东城科技园新材料产业园建设项目可行性研究报告编制服务项目</w:t>
      </w:r>
    </w:p>
    <w:p w14:paraId="7B30B295">
      <w:pPr>
        <w:autoSpaceDE w:val="0"/>
        <w:autoSpaceDN w:val="0"/>
        <w:adjustRightInd w:val="0"/>
        <w:snapToGrid w:val="0"/>
        <w:spacing w:line="480" w:lineRule="exact"/>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3、项目单位：安徽融城高新技术产业发展集团有限公司</w:t>
      </w:r>
    </w:p>
    <w:p w14:paraId="475050E7">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4、资金来源：自筹资金</w:t>
      </w:r>
    </w:p>
    <w:p w14:paraId="4C0A0E2A">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5、采购范围：界首市东城科技园新材料产业园建设项目可行性研究报告编制服务项目，具体内容详见采购需求。</w:t>
      </w:r>
    </w:p>
    <w:p w14:paraId="2404BDD1">
      <w:pPr>
        <w:numPr>
          <w:ilvl w:val="0"/>
          <w:numId w:val="0"/>
        </w:numPr>
        <w:spacing w:before="120" w:after="120" w:line="288"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6、服务期限：</w:t>
      </w:r>
      <w:r>
        <w:rPr>
          <w:rFonts w:hint="eastAsia" w:ascii="仿宋" w:hAnsi="仿宋" w:eastAsia="仿宋" w:cs="仿宋"/>
          <w:color w:val="auto"/>
          <w:sz w:val="28"/>
          <w:szCs w:val="28"/>
          <w:lang w:val="en-US" w:eastAsia="zh-CN"/>
        </w:rPr>
        <w:t>自合同签订之日起60日历天内完成全部服务并提交正式成果文件。</w:t>
      </w:r>
    </w:p>
    <w:p w14:paraId="429D213A">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7、标段划分：一个标段。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10677"/>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464C5428">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1、符合《中华人民共和国政府采购法》第二十二条要求；</w:t>
      </w:r>
    </w:p>
    <w:p w14:paraId="192A031E">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2、须具有有效的营业执照。</w:t>
      </w:r>
    </w:p>
    <w:p w14:paraId="7E9E9CFC">
      <w:pPr>
        <w:pStyle w:val="19"/>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13138"/>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6"/>
    </w:p>
    <w:p w14:paraId="1FD379F8">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26</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1</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20</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9"/>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7" w:name="_Toc8508"/>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2026年1月20日15时00 分（迟于截止时间递交的响应文件，将不予接受）</w:t>
      </w:r>
    </w:p>
    <w:p w14:paraId="6624EAB2">
      <w:pPr>
        <w:pStyle w:val="19"/>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6271380"/>
      <w:bookmarkStart w:id="9" w:name="_Toc416271909"/>
      <w:bookmarkStart w:id="10" w:name="_Toc412647584"/>
      <w:bookmarkStart w:id="11" w:name="_Toc412647032"/>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界首市东城街道胜利西路107号。</w:t>
      </w:r>
    </w:p>
    <w:p w14:paraId="239CFCB2">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27502"/>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19"/>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w:t>
      </w:r>
    </w:p>
    <w:p w14:paraId="713C6373">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址：界首市复兴路企业服务中心8楼</w:t>
      </w:r>
    </w:p>
    <w:p w14:paraId="312419A1">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联系人：赵先生 </w:t>
      </w:r>
    </w:p>
    <w:p w14:paraId="6C3B32FD">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话：19965898070                           </w:t>
      </w:r>
    </w:p>
    <w:p w14:paraId="4519D6E9">
      <w:pPr>
        <w:pStyle w:val="19"/>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9"/>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68392380">
      <w:pPr>
        <w:pStyle w:val="8"/>
        <w:ind w:left="0" w:leftChars="0" w:firstLine="0" w:firstLineChars="0"/>
        <w:rPr>
          <w:rFonts w:hint="eastAsia"/>
        </w:rPr>
      </w:pPr>
    </w:p>
    <w:p w14:paraId="7F1047C7">
      <w:pPr>
        <w:rPr>
          <w:rFonts w:hint="eastAsia"/>
        </w:rPr>
      </w:pPr>
    </w:p>
    <w:p w14:paraId="32EA4D18">
      <w:pPr>
        <w:rPr>
          <w:rFonts w:hint="eastAsia"/>
        </w:rPr>
      </w:pPr>
    </w:p>
    <w:p w14:paraId="209D9812">
      <w:pPr>
        <w:pStyle w:val="8"/>
        <w:rPr>
          <w:rFonts w:hint="eastAsia"/>
        </w:rPr>
      </w:pPr>
    </w:p>
    <w:p w14:paraId="2C6DF63B">
      <w:pPr>
        <w:rPr>
          <w:rFonts w:hint="eastAsia"/>
        </w:rPr>
      </w:pPr>
    </w:p>
    <w:p w14:paraId="0203CAC0">
      <w:pPr>
        <w:rPr>
          <w:rFonts w:hint="eastAsia"/>
        </w:rPr>
      </w:pPr>
    </w:p>
    <w:p w14:paraId="6E06FFA8">
      <w:pPr>
        <w:rPr>
          <w:rFonts w:hint="eastAsia"/>
        </w:rPr>
      </w:pPr>
    </w:p>
    <w:p w14:paraId="5E58D7C8">
      <w:pPr>
        <w:rPr>
          <w:rFonts w:hint="eastAsia"/>
        </w:rPr>
      </w:pPr>
    </w:p>
    <w:p w14:paraId="153AE9C6">
      <w:pPr>
        <w:rPr>
          <w:rFonts w:hint="eastAsia"/>
        </w:rPr>
      </w:pPr>
    </w:p>
    <w:p w14:paraId="66C532BD">
      <w:pPr>
        <w:rPr>
          <w:rFonts w:hint="eastAsia"/>
        </w:rPr>
      </w:pPr>
    </w:p>
    <w:p w14:paraId="3EBC3D18">
      <w:pPr>
        <w:rPr>
          <w:rFonts w:hint="eastAsia"/>
        </w:rPr>
      </w:pPr>
    </w:p>
    <w:p w14:paraId="2A51FFCF">
      <w:pPr>
        <w:rPr>
          <w:rFonts w:hint="eastAsia"/>
        </w:rPr>
      </w:pPr>
    </w:p>
    <w:p w14:paraId="5136F211">
      <w:pPr>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29810"/>
      <w:r>
        <w:rPr>
          <w:rFonts w:hint="eastAsia" w:ascii="方正宋黑简体" w:hAnsi="宋体" w:eastAsia="方正宋黑简体" w:cs="黑体"/>
          <w:b/>
          <w:bCs/>
          <w:sz w:val="32"/>
          <w:szCs w:val="32"/>
        </w:rPr>
        <w:t>二、供应商须知前附表</w:t>
      </w:r>
      <w:bookmarkEnd w:id="3"/>
      <w:bookmarkEnd w:id="13"/>
    </w:p>
    <w:tbl>
      <w:tblPr>
        <w:tblStyle w:val="21"/>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6DE4DB97">
            <w:pPr>
              <w:pStyle w:val="19"/>
              <w:shd w:val="clear" w:color="auto" w:fill="FFFFFF"/>
              <w:spacing w:before="0" w:beforeAutospacing="0" w:after="0" w:afterAutospacing="0" w:line="560" w:lineRule="exact"/>
              <w:jc w:val="both"/>
              <w:rPr>
                <w:rFonts w:hint="eastAsia" w:ascii="仿宋" w:hAnsi="仿宋" w:eastAsia="仿宋"/>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界首市东城科技园新材料产业园建设项目可行性研究报告编制服务项目</w:t>
            </w:r>
          </w:p>
          <w:p w14:paraId="2175A83E">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项目编号：AHWM-20260005 </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采购人：安徽融城高新技术产业发展集团有限公司</w:t>
            </w:r>
          </w:p>
          <w:p w14:paraId="19205942">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联系人：赵先生</w:t>
            </w:r>
          </w:p>
          <w:p w14:paraId="050F08E6">
            <w:pPr>
              <w:pStyle w:val="19"/>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话：19965898070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9"/>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120000.00元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采购人指定地点。</w:t>
            </w:r>
          </w:p>
          <w:p w14:paraId="12362FD7">
            <w:pPr>
              <w:numPr>
                <w:ilvl w:val="0"/>
                <w:numId w:val="0"/>
              </w:numPr>
              <w:spacing w:before="120" w:after="120" w:line="288" w:lineRule="auto"/>
              <w:jc w:val="left"/>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服务期限：</w:t>
            </w:r>
            <w:r>
              <w:rPr>
                <w:rFonts w:hint="eastAsia" w:ascii="仿宋" w:hAnsi="仿宋" w:eastAsia="仿宋" w:cs="仿宋"/>
                <w:color w:val="auto"/>
                <w:sz w:val="28"/>
                <w:szCs w:val="28"/>
                <w:lang w:val="en-US" w:eastAsia="zh-CN"/>
              </w:rPr>
              <w:t>自合同签订之日起60日历天内完成全部服务并提交正式成果文件。</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9"/>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报价文件递交至：界首市东城街道胜利西路107号。</w:t>
            </w:r>
          </w:p>
          <w:p w14:paraId="6FAB9A05">
            <w:pPr>
              <w:pStyle w:val="19"/>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报价文件递交截止时间：2026年1月20日15时00分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招标代理费用：参照国家计委计价格【2002】1980号文件收取</w:t>
            </w:r>
            <w:r>
              <w:rPr>
                <w:rFonts w:hint="eastAsia" w:ascii="仿宋" w:hAnsi="仿宋" w:eastAsia="仿宋"/>
                <w:color w:val="000000"/>
                <w:sz w:val="28"/>
                <w:szCs w:val="28"/>
                <w:lang w:val="en-US" w:eastAsia="zh-CN"/>
              </w:rPr>
              <w:t>3000.00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footerReference r:id="rId7" w:type="first"/>
          <w:footerReference r:id="rId6" w:type="default"/>
          <w:pgSz w:w="11907" w:h="16840"/>
          <w:pgMar w:top="1418" w:right="980" w:bottom="1247" w:left="1247" w:header="851" w:footer="851" w:gutter="0"/>
          <w:pgNumType w:fmt="decimal" w:start="1"/>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4" w:name="_Toc30793"/>
      <w:bookmarkStart w:id="15" w:name="_Toc466549686"/>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20235"/>
      <w:bookmarkStart w:id="17" w:name="_Toc466549687"/>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8" w:name="_Toc10016"/>
      <w:bookmarkStart w:id="19" w:name="_Toc466549688"/>
      <w:r>
        <w:rPr>
          <w:rFonts w:hint="eastAsia" w:ascii="方正宋黑简体" w:hAnsi="宋体" w:eastAsia="方正宋黑简体" w:cs="黑体"/>
          <w:b/>
          <w:bCs/>
          <w:sz w:val="32"/>
          <w:szCs w:val="32"/>
        </w:rPr>
        <w:t>五、评审方法及废标</w:t>
      </w:r>
      <w:bookmarkEnd w:id="18"/>
      <w:bookmarkEnd w:id="19"/>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466549689"/>
      <w:bookmarkStart w:id="21" w:name="_Toc16451"/>
      <w:r>
        <w:rPr>
          <w:rFonts w:hint="eastAsia" w:ascii="方正宋黑简体" w:hAnsi="宋体" w:eastAsia="方正宋黑简体" w:cs="黑体"/>
          <w:b/>
          <w:bCs/>
          <w:sz w:val="32"/>
          <w:szCs w:val="32"/>
        </w:rPr>
        <w:t>六、供应商须提供资格审查材料</w:t>
      </w:r>
      <w:bookmarkEnd w:id="20"/>
      <w:bookmarkEnd w:id="21"/>
    </w:p>
    <w:p w14:paraId="4A2C1F20">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b w:val="0"/>
          <w:bCs w:val="0"/>
          <w:color w:val="auto"/>
          <w:sz w:val="28"/>
          <w:szCs w:val="28"/>
          <w:lang w:eastAsia="zh-CN"/>
        </w:rPr>
        <w:t>1、符合《中华人民共和国政府采购法》第二十二条要求；</w:t>
      </w:r>
    </w:p>
    <w:p w14:paraId="00F04383">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olor w:val="000000"/>
          <w:sz w:val="28"/>
          <w:szCs w:val="28"/>
          <w:lang w:val="en-US" w:eastAsia="zh-CN"/>
        </w:rPr>
        <w:t>2、须具有有效的营业执照。</w:t>
      </w:r>
    </w:p>
    <w:p w14:paraId="456816F5">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8"/>
        <w:rPr>
          <w:rFonts w:ascii="方正宋黑简体" w:hAnsi="宋体" w:eastAsia="方正宋黑简体" w:cs="黑体"/>
          <w:b/>
          <w:bCs/>
          <w:sz w:val="32"/>
          <w:szCs w:val="32"/>
        </w:rPr>
      </w:pPr>
    </w:p>
    <w:p w14:paraId="059989CC">
      <w:pPr>
        <w:pStyle w:val="8"/>
        <w:rPr>
          <w:rFonts w:ascii="方正宋黑简体" w:hAnsi="宋体" w:eastAsia="方正宋黑简体" w:cs="黑体"/>
          <w:b/>
          <w:bCs/>
          <w:sz w:val="32"/>
          <w:szCs w:val="32"/>
        </w:rPr>
      </w:pPr>
    </w:p>
    <w:p w14:paraId="05CE2FB3">
      <w:pPr>
        <w:pStyle w:val="8"/>
        <w:rPr>
          <w:rFonts w:ascii="方正宋黑简体" w:hAnsi="宋体" w:eastAsia="方正宋黑简体" w:cs="黑体"/>
          <w:b/>
          <w:bCs/>
          <w:sz w:val="32"/>
          <w:szCs w:val="32"/>
        </w:rPr>
      </w:pPr>
    </w:p>
    <w:p w14:paraId="7138E8F9">
      <w:pPr>
        <w:pStyle w:val="8"/>
        <w:ind w:left="0" w:leftChars="0" w:firstLine="0" w:firstLineChars="0"/>
        <w:rPr>
          <w:rFonts w:ascii="方正宋黑简体" w:hAnsi="宋体" w:eastAsia="方正宋黑简体" w:cs="黑体"/>
          <w:b/>
          <w:bCs/>
          <w:sz w:val="32"/>
          <w:szCs w:val="32"/>
        </w:rPr>
      </w:pPr>
    </w:p>
    <w:p w14:paraId="60D0D691">
      <w:pPr>
        <w:pStyle w:val="8"/>
        <w:ind w:left="0" w:leftChars="0" w:firstLine="0" w:firstLineChars="0"/>
        <w:rPr>
          <w:rFonts w:ascii="方正宋黑简体" w:hAnsi="宋体" w:eastAsia="方正宋黑简体" w:cs="黑体"/>
          <w:b/>
          <w:bCs/>
          <w:sz w:val="32"/>
          <w:szCs w:val="32"/>
        </w:rPr>
      </w:pPr>
    </w:p>
    <w:p w14:paraId="11DD2239">
      <w:pPr>
        <w:pStyle w:val="8"/>
        <w:ind w:left="0" w:leftChars="0" w:firstLine="0" w:firstLineChars="0"/>
        <w:rPr>
          <w:rFonts w:ascii="方正宋黑简体" w:hAnsi="宋体" w:eastAsia="方正宋黑简体" w:cs="黑体"/>
          <w:b/>
          <w:bCs/>
          <w:sz w:val="32"/>
          <w:szCs w:val="32"/>
        </w:rPr>
      </w:pPr>
    </w:p>
    <w:p w14:paraId="33AF4E2E">
      <w:pPr>
        <w:pStyle w:val="8"/>
        <w:ind w:left="0" w:leftChars="0" w:firstLine="0" w:firstLineChars="0"/>
        <w:rPr>
          <w:rFonts w:ascii="方正宋黑简体" w:hAnsi="宋体" w:eastAsia="方正宋黑简体" w:cs="黑体"/>
          <w:b/>
          <w:bCs/>
          <w:sz w:val="32"/>
          <w:szCs w:val="32"/>
        </w:rPr>
      </w:pPr>
    </w:p>
    <w:p w14:paraId="720A9754">
      <w:pPr>
        <w:pStyle w:val="8"/>
        <w:ind w:left="0" w:leftChars="0" w:firstLine="0" w:firstLineChars="0"/>
        <w:rPr>
          <w:rFonts w:ascii="方正宋黑简体" w:hAnsi="宋体" w:eastAsia="方正宋黑简体" w:cs="黑体"/>
          <w:b/>
          <w:bCs/>
          <w:sz w:val="32"/>
          <w:szCs w:val="32"/>
        </w:rPr>
      </w:pPr>
    </w:p>
    <w:p w14:paraId="0568ACF7">
      <w:pPr>
        <w:rPr>
          <w:rFonts w:ascii="方正宋黑简体" w:hAnsi="宋体" w:eastAsia="方正宋黑简体" w:cs="黑体"/>
          <w:b/>
          <w:bCs/>
          <w:sz w:val="32"/>
          <w:szCs w:val="32"/>
        </w:rPr>
      </w:pPr>
    </w:p>
    <w:p w14:paraId="3B10E22F">
      <w:pPr>
        <w:rPr>
          <w:rFonts w:ascii="方正宋黑简体" w:hAnsi="宋体" w:eastAsia="方正宋黑简体" w:cs="黑体"/>
          <w:b/>
          <w:bCs/>
          <w:sz w:val="32"/>
          <w:szCs w:val="32"/>
        </w:rPr>
      </w:pPr>
    </w:p>
    <w:p w14:paraId="2B30750A">
      <w:pPr>
        <w:pStyle w:val="8"/>
        <w:ind w:left="0" w:leftChars="0" w:firstLine="0" w:firstLineChars="0"/>
        <w:rPr>
          <w:rFonts w:ascii="方正宋黑简体" w:hAnsi="宋体" w:eastAsia="方正宋黑简体" w:cs="黑体"/>
          <w:b/>
          <w:bCs/>
          <w:sz w:val="32"/>
          <w:szCs w:val="32"/>
        </w:rPr>
      </w:pPr>
    </w:p>
    <w:p w14:paraId="54C667EB">
      <w:pPr>
        <w:rPr>
          <w:rFonts w:hint="eastAsia" w:ascii="方正宋黑简体" w:hAnsi="宋体" w:eastAsia="方正宋黑简体" w:cs="黑体"/>
          <w:b/>
          <w:bCs/>
          <w:sz w:val="32"/>
          <w:szCs w:val="32"/>
          <w:lang w:eastAsia="zh-CN"/>
        </w:rPr>
      </w:pPr>
    </w:p>
    <w:p w14:paraId="5BE1AF3F">
      <w:pPr>
        <w:rPr>
          <w:rFonts w:hint="eastAsia" w:ascii="方正宋黑简体" w:hAnsi="宋体" w:eastAsia="方正宋黑简体" w:cs="黑体"/>
          <w:b/>
          <w:bCs/>
          <w:sz w:val="32"/>
          <w:szCs w:val="32"/>
          <w:lang w:eastAsia="zh-CN"/>
        </w:rPr>
      </w:pPr>
    </w:p>
    <w:p w14:paraId="1743C4BF">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11627"/>
      <w:r>
        <w:rPr>
          <w:rFonts w:hint="eastAsia" w:ascii="方正宋黑简体" w:hAnsi="宋体" w:eastAsia="方正宋黑简体" w:cs="黑体"/>
          <w:b/>
          <w:bCs/>
          <w:sz w:val="32"/>
          <w:szCs w:val="32"/>
        </w:rPr>
        <w:t>采购需求</w:t>
      </w:r>
      <w:bookmarkEnd w:id="22"/>
      <w:bookmarkEnd w:id="23"/>
      <w:bookmarkStart w:id="24" w:name="_Toc466549691"/>
    </w:p>
    <w:p w14:paraId="232ACC35">
      <w:pPr>
        <w:pStyle w:val="19"/>
        <w:shd w:val="clear" w:color="auto" w:fill="FFFFFF"/>
        <w:spacing w:before="0" w:beforeAutospacing="0" w:after="0" w:afterAutospacing="0" w:line="560" w:lineRule="exact"/>
        <w:jc w:val="both"/>
        <w:rPr>
          <w:rFonts w:hint="eastAsia" w:ascii="仿宋" w:hAnsi="仿宋" w:eastAsia="仿宋" w:cs="宋体"/>
          <w:b/>
          <w:bCs/>
          <w:color w:val="auto"/>
          <w:sz w:val="24"/>
          <w:szCs w:val="24"/>
          <w:lang w:eastAsia="zh-CN"/>
        </w:rPr>
      </w:pPr>
      <w:bookmarkStart w:id="25" w:name="heading_0"/>
      <w:bookmarkStart w:id="26" w:name="heading_3"/>
      <w:r>
        <w:rPr>
          <w:rFonts w:hint="eastAsia" w:ascii="仿宋" w:hAnsi="仿宋" w:eastAsia="仿宋" w:cs="宋体"/>
          <w:b/>
          <w:bCs/>
          <w:color w:val="auto"/>
          <w:sz w:val="24"/>
          <w:szCs w:val="24"/>
          <w:lang w:eastAsia="zh-CN"/>
        </w:rPr>
        <w:t>一、采购项目概况</w:t>
      </w:r>
      <w:bookmarkEnd w:id="25"/>
    </w:p>
    <w:p w14:paraId="268C9D95">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bookmarkStart w:id="27" w:name="heading_1"/>
      <w:r>
        <w:rPr>
          <w:rFonts w:hint="eastAsia" w:ascii="仿宋" w:hAnsi="仿宋" w:eastAsia="仿宋" w:cs="宋体"/>
          <w:color w:val="auto"/>
          <w:sz w:val="24"/>
          <w:szCs w:val="24"/>
          <w:lang w:eastAsia="zh-CN"/>
        </w:rPr>
        <w:t>（一）项目背景</w:t>
      </w:r>
      <w:bookmarkEnd w:id="27"/>
    </w:p>
    <w:p w14:paraId="0E1D7D07">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val="en-US" w:eastAsia="zh-CN"/>
        </w:rPr>
        <w:t xml:space="preserve">  </w:t>
      </w:r>
      <w:r>
        <w:rPr>
          <w:rFonts w:hint="eastAsia" w:ascii="仿宋" w:hAnsi="仿宋" w:eastAsia="仿宋" w:cs="宋体"/>
          <w:color w:val="auto"/>
          <w:sz w:val="24"/>
          <w:szCs w:val="24"/>
          <w:lang w:eastAsia="zh-CN"/>
        </w:rPr>
        <w:t>为有效盘活军民融合二期存量建设用地，补齐区域新材料产业发展载体短板，推动本市新材料及高新技术产业集聚提质发展，强化园区产业承载配套能力，安徽融城高新技术产业发展集团有限公司（以下简称“采购人”）拟实施</w:t>
      </w:r>
      <w:r>
        <w:rPr>
          <w:rFonts w:hint="eastAsia" w:ascii="仿宋" w:hAnsi="仿宋" w:eastAsia="仿宋" w:cs="宋体"/>
          <w:color w:val="auto"/>
          <w:sz w:val="24"/>
          <w:szCs w:val="24"/>
          <w:lang w:val="en-US" w:eastAsia="zh-CN"/>
        </w:rPr>
        <w:t>界首市东城科技园新材料产业园建设项目可行性研究报告编制服务项目</w:t>
      </w:r>
      <w:r>
        <w:rPr>
          <w:rFonts w:hint="eastAsia" w:ascii="仿宋" w:hAnsi="仿宋" w:eastAsia="仿宋" w:cs="宋体"/>
          <w:color w:val="auto"/>
          <w:sz w:val="24"/>
          <w:szCs w:val="24"/>
          <w:lang w:eastAsia="zh-CN"/>
        </w:rPr>
        <w:t>。本次采购可行性研究报告编制服务，主要用于项目发改部门立项备案、固定资产投资审批、合作银行项目融资评审及后续前期手续办理等工作，保障项目前期合规推进及银行贷款审批工作有序落地。</w:t>
      </w:r>
    </w:p>
    <w:p w14:paraId="20E83500">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bookmarkStart w:id="28" w:name="heading_2"/>
      <w:r>
        <w:rPr>
          <w:rFonts w:hint="eastAsia" w:ascii="仿宋" w:hAnsi="仿宋" w:eastAsia="仿宋" w:cs="宋体"/>
          <w:color w:val="auto"/>
          <w:sz w:val="24"/>
          <w:szCs w:val="24"/>
          <w:lang w:eastAsia="zh-CN"/>
        </w:rPr>
        <w:t>（二）项目基本信息</w:t>
      </w:r>
      <w:bookmarkEnd w:id="28"/>
    </w:p>
    <w:p w14:paraId="3D2C5050">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项目名称：</w:t>
      </w:r>
      <w:r>
        <w:rPr>
          <w:rFonts w:hint="eastAsia" w:ascii="仿宋" w:hAnsi="仿宋" w:eastAsia="仿宋" w:cs="宋体"/>
          <w:color w:val="auto"/>
          <w:sz w:val="24"/>
          <w:szCs w:val="24"/>
          <w:lang w:val="en-US" w:eastAsia="zh-CN"/>
        </w:rPr>
        <w:t>界首市东城科技园新材料产业园建设项目可行性研究报告编制服务项目</w:t>
      </w:r>
    </w:p>
    <w:p w14:paraId="474B98BE">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建设地点：界首市东城科技园复兴路北侧、东旭路东侧</w:t>
      </w:r>
    </w:p>
    <w:p w14:paraId="4D289B14">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主要建设内容：本项目建设内容涵盖建筑工程、园区配套市政工程、分布式光伏工程及污水处理专项环保工程四大板块，具体内容如下：</w:t>
      </w:r>
    </w:p>
    <w:p w14:paraId="1B160716">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建筑工程：新建原料库房、标准化生产厂房、园区配套附属用房，满足入园新材料企业生产加工、原料仓储、园区办公等基础功能需求；</w:t>
      </w:r>
    </w:p>
    <w:p w14:paraId="13CAE3C0">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园区市政配套工程：建设园区内部车行及人行道路、货物专用装卸场地、公共停车场、园区全域绿化景观工程，完善园区基础市政配套体系；</w:t>
      </w:r>
    </w:p>
    <w:p w14:paraId="645CE320">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分布式光伏工程：实施园区屋面及场地分布式光伏安装工程，落实固定资产投资项目节能降碳相关管控要求，降低园区后期运营能耗成本；</w:t>
      </w:r>
    </w:p>
    <w:p w14:paraId="6F3E75C1">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污水处理专项工程：新建一座日处理能力0.5万吨的工业园区污水处理厂，配套建设污水处理工艺构筑物、厂区生产及附属用房、电气自控系统、配套管网、污泥处置设施等全套附属工程，满足园区生产废水及生活污水达标处理排放要求。</w:t>
      </w:r>
    </w:p>
    <w:p w14:paraId="1A9A9268">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项目投资及资金筹措方案：项目批复总投资48900万元（人民币4.89亿元）；资金来源分为银行融资及企业自筹两部分，其中拟向徽商银行、中国工商银行、中国银行三家金融机构申请固定资产项目贷款39000万元（人民币3.9亿元）；剩余建设资金9900万元（人民币0.99亿元）由采购人自筹。</w:t>
      </w:r>
    </w:p>
    <w:p w14:paraId="19E14EB7">
      <w:pPr>
        <w:pStyle w:val="19"/>
        <w:shd w:val="clear" w:color="auto" w:fill="FFFFFF"/>
        <w:spacing w:before="0" w:beforeAutospacing="0" w:after="0" w:afterAutospacing="0" w:line="560" w:lineRule="exact"/>
        <w:ind w:firstLine="480" w:firstLineChars="200"/>
        <w:jc w:val="both"/>
        <w:rPr>
          <w:rFonts w:hint="eastAsia" w:ascii="仿宋" w:hAnsi="仿宋" w:eastAsia="仿宋" w:cs="宋体"/>
          <w:b/>
          <w:bCs/>
          <w:color w:val="auto"/>
          <w:sz w:val="24"/>
          <w:szCs w:val="24"/>
          <w:lang w:val="en-US" w:eastAsia="zh-CN"/>
        </w:rPr>
      </w:pPr>
      <w:r>
        <w:rPr>
          <w:rFonts w:hint="eastAsia" w:ascii="仿宋" w:hAnsi="仿宋" w:eastAsia="仿宋" w:cs="宋体"/>
          <w:color w:val="auto"/>
          <w:sz w:val="24"/>
          <w:szCs w:val="24"/>
          <w:lang w:eastAsia="zh-CN"/>
        </w:rPr>
        <w:t>采购服务内容：本项目可行性研究报告编制、多轮文稿修订、专家评审、行政审批资料报送配合、银行融资专项资料优化及全过程技术咨询配套服务。</w:t>
      </w:r>
    </w:p>
    <w:p w14:paraId="70BD0911">
      <w:pPr>
        <w:pStyle w:val="19"/>
        <w:shd w:val="clear" w:color="auto" w:fill="FFFFFF"/>
        <w:spacing w:before="0" w:beforeAutospacing="0" w:after="0" w:afterAutospacing="0" w:line="560" w:lineRule="exact"/>
        <w:jc w:val="both"/>
        <w:rPr>
          <w:rFonts w:hint="eastAsia" w:ascii="仿宋" w:hAnsi="仿宋" w:eastAsia="仿宋" w:cs="宋体"/>
          <w:b/>
          <w:bCs/>
          <w:color w:val="auto"/>
          <w:sz w:val="24"/>
          <w:szCs w:val="24"/>
          <w:lang w:eastAsia="zh-CN"/>
        </w:rPr>
      </w:pPr>
      <w:r>
        <w:rPr>
          <w:rFonts w:hint="eastAsia" w:ascii="仿宋" w:hAnsi="仿宋" w:eastAsia="仿宋" w:cs="宋体"/>
          <w:b/>
          <w:bCs/>
          <w:color w:val="auto"/>
          <w:sz w:val="24"/>
          <w:szCs w:val="24"/>
          <w:lang w:val="en-US" w:eastAsia="zh-CN"/>
        </w:rPr>
        <w:t>二</w:t>
      </w:r>
      <w:r>
        <w:rPr>
          <w:rFonts w:hint="eastAsia" w:ascii="仿宋" w:hAnsi="仿宋" w:eastAsia="仿宋" w:cs="宋体"/>
          <w:b/>
          <w:bCs/>
          <w:color w:val="auto"/>
          <w:sz w:val="24"/>
          <w:szCs w:val="24"/>
          <w:lang w:eastAsia="zh-CN"/>
        </w:rPr>
        <w:t>、服务范围及工作内容</w:t>
      </w:r>
      <w:bookmarkEnd w:id="26"/>
    </w:p>
    <w:p w14:paraId="761EDD31">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供应商须严格遵照国家、安徽省、阜阳市现行固定资产投资项目管理、工程咨询、产业园区建设、城镇污水处理、分布式光伏建设等相关规范标准、编制大纲及行业政策，结合本项目地块盘活定位、建设实施方案及银行融资评审专项要求，全面完成本次可研编制全过程技术服务，具体工作内容如下：</w:t>
      </w:r>
    </w:p>
    <w:p w14:paraId="77B859A3">
      <w:pPr>
        <w:pStyle w:val="19"/>
        <w:shd w:val="clear" w:color="auto" w:fill="FFFFFF"/>
        <w:spacing w:before="0" w:beforeAutospacing="0" w:after="0" w:afterAutospacing="0" w:line="560" w:lineRule="exact"/>
        <w:jc w:val="both"/>
        <w:rPr>
          <w:rFonts w:hint="eastAsia" w:ascii="仿宋" w:hAnsi="仿宋" w:eastAsia="仿宋" w:cs="宋体"/>
          <w:color w:val="auto"/>
          <w:sz w:val="24"/>
          <w:szCs w:val="24"/>
          <w:lang w:eastAsia="zh-CN"/>
        </w:rPr>
      </w:pPr>
      <w:bookmarkStart w:id="29" w:name="heading_4"/>
      <w:r>
        <w:rPr>
          <w:rFonts w:hint="eastAsia" w:ascii="仿宋" w:hAnsi="仿宋" w:eastAsia="仿宋" w:cs="宋体"/>
          <w:color w:val="auto"/>
          <w:sz w:val="24"/>
          <w:szCs w:val="24"/>
          <w:lang w:eastAsia="zh-CN"/>
        </w:rPr>
        <w:t>（一）现场踏勘及基础资料调研</w:t>
      </w:r>
      <w:bookmarkEnd w:id="29"/>
    </w:p>
    <w:p w14:paraId="01C04E69">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委派专职技术人员开展项目现场实地踏勘，核实项目地块现状、周边市政配套管网、区域水文地质条件、周边产业布局及外部建设制约因素；</w:t>
      </w:r>
    </w:p>
    <w:p w14:paraId="77942A3C">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系统收集区域国土空间规划、产业发展规划、生态环保准入要求、能耗双控管控政策、地方投融资管理政策等上位支撑资料；</w:t>
      </w:r>
    </w:p>
    <w:p w14:paraId="57C3EC57">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对接采购人厘清项目建设方案、投资构成、资金筹措计划、后期运营模式及收益测算依据，确保可研报告内容贴合项目实际建设及融资需求。</w:t>
      </w:r>
    </w:p>
    <w:p w14:paraId="04621A98">
      <w:pPr>
        <w:pStyle w:val="19"/>
        <w:shd w:val="clear" w:color="auto" w:fill="FFFFFF"/>
        <w:spacing w:before="0" w:beforeAutospacing="0" w:after="0" w:afterAutospacing="0" w:line="560" w:lineRule="exact"/>
        <w:jc w:val="both"/>
        <w:rPr>
          <w:rFonts w:hint="eastAsia" w:ascii="仿宋" w:hAnsi="仿宋" w:eastAsia="仿宋" w:cs="宋体"/>
          <w:color w:val="auto"/>
          <w:sz w:val="24"/>
          <w:szCs w:val="24"/>
          <w:lang w:eastAsia="zh-CN"/>
        </w:rPr>
      </w:pPr>
      <w:bookmarkStart w:id="30" w:name="heading_5"/>
      <w:r>
        <w:rPr>
          <w:rFonts w:hint="eastAsia" w:ascii="仿宋" w:hAnsi="仿宋" w:eastAsia="仿宋" w:cs="宋体"/>
          <w:color w:val="auto"/>
          <w:sz w:val="24"/>
          <w:szCs w:val="24"/>
          <w:lang w:eastAsia="zh-CN"/>
        </w:rPr>
        <w:t>（二）可行性研究报告编制</w:t>
      </w:r>
      <w:bookmarkEnd w:id="30"/>
    </w:p>
    <w:p w14:paraId="06EE69D3">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报告编制须严格执行《固定资产投资项目可行性研究报告编制大纲》，同时契合商业银行固定资产贷款评审规范要求，重点强化项目投资测算、财务清偿能力分析、投融资风险研判等核心章节内容，报告须完整包含以下全部编制模块：</w:t>
      </w:r>
    </w:p>
    <w:p w14:paraId="6B2654CE">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项目总论、项目建设背景及必要性论证、区域新材料产业发展现状及园区产业定位分析；</w:t>
      </w:r>
    </w:p>
    <w:p w14:paraId="67585ED0">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项目选址合规性分析、建设条件研判、军民融合二期地块盘活政策符合性分析；</w:t>
      </w:r>
    </w:p>
    <w:p w14:paraId="3B6EA576">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项目总体建设方案、总平面规划方案、建筑工程设计方案、污水处理工艺选型方案、分布式光伏建设实施方案；</w:t>
      </w:r>
    </w:p>
    <w:p w14:paraId="1B5EFF1C">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公用工程配套方案、节能评估、节水方案、环境保护、水土保持、安全生产、消防设计、职业卫生专项评价内容；</w:t>
      </w:r>
    </w:p>
    <w:p w14:paraId="7F71C8A4">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项目实施进度计划、工程招标方案、项目组织机构及运营人员配置方案；</w:t>
      </w:r>
    </w:p>
    <w:p w14:paraId="3E4CDEC2">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投资估算与资金筹措：精准完成项目4.89亿元总投资分项测算，细化工程费用、工程建设其他费用、预备费、建设期利息等各项投资构成；完整列明3.9亿元银行贷款及0.99亿元企业自筹资金筹措路径，内容需满足三家合作银行贷款评审硬性要求；</w:t>
      </w:r>
    </w:p>
    <w:p w14:paraId="610CB0F1">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财务效益评价：完成项目营业收入、运营总成本、税金及附加、利润、全周期现金流测算，开展偿债能力分析、盈亏平衡分析及敏感性分析，科学论证项目还本付息能力，保障融资审批顺利通过；</w:t>
      </w:r>
    </w:p>
    <w:p w14:paraId="6EF608E5">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项目经济效益、社会效益、产业带动效益综合分析，项目全周期风险识别及防控措施；</w:t>
      </w:r>
    </w:p>
    <w:p w14:paraId="134EF933">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项目综合研究结论及合理化建设建议。</w:t>
      </w:r>
    </w:p>
    <w:p w14:paraId="2D4CAC33">
      <w:pPr>
        <w:pStyle w:val="19"/>
        <w:shd w:val="clear" w:color="auto" w:fill="FFFFFF"/>
        <w:spacing w:before="0" w:beforeAutospacing="0" w:after="0" w:afterAutospacing="0" w:line="560" w:lineRule="exact"/>
        <w:jc w:val="both"/>
        <w:rPr>
          <w:rFonts w:hint="eastAsia" w:ascii="仿宋" w:hAnsi="仿宋" w:eastAsia="仿宋" w:cs="宋体"/>
          <w:color w:val="auto"/>
          <w:sz w:val="24"/>
          <w:szCs w:val="24"/>
          <w:lang w:eastAsia="zh-CN"/>
        </w:rPr>
      </w:pPr>
      <w:bookmarkStart w:id="31" w:name="heading_6"/>
      <w:r>
        <w:rPr>
          <w:rFonts w:hint="eastAsia" w:ascii="仿宋" w:hAnsi="仿宋" w:eastAsia="仿宋" w:cs="宋体"/>
          <w:color w:val="auto"/>
          <w:sz w:val="24"/>
          <w:szCs w:val="24"/>
          <w:lang w:eastAsia="zh-CN"/>
        </w:rPr>
        <w:t>（三）评审、审批及融资全过程配合服务</w:t>
      </w:r>
      <w:bookmarkEnd w:id="31"/>
    </w:p>
    <w:p w14:paraId="520AC324">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依据采购人、行业主管部门及第三方评审专家出具的评审意见，完成报告多轮修订、数据校核及内容完善工作，直至报告顺利通过专家评审并出具正式评审意见；</w:t>
      </w:r>
    </w:p>
    <w:p w14:paraId="60C1E5E3">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配合采购人完成项目立项备案、投资审批等前期行政手续办理，按需提供全套报批电子版及纸质版支撑资料；</w:t>
      </w:r>
    </w:p>
    <w:p w14:paraId="461B8745">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银行融资专项配套服务：针对徽商银行、工商银行、中国银行三家合作金融机构评审标准，针对性优化财务测算、资金平衡方案、还款来源分析等核心内容，无偿配合银行现场尽调、专项答疑、补充说明文件编制等工作；</w:t>
      </w:r>
    </w:p>
    <w:p w14:paraId="1540B87B">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服务周期内，须及时响应采购人提出的数据核对、内容答疑、资料补充等合理工作需求，不得另行收取额外服务费用。</w:t>
      </w:r>
    </w:p>
    <w:p w14:paraId="27791F01">
      <w:pPr>
        <w:pStyle w:val="19"/>
        <w:shd w:val="clear" w:color="auto" w:fill="FFFFFF"/>
        <w:spacing w:before="0" w:beforeAutospacing="0" w:after="0" w:afterAutospacing="0" w:line="560" w:lineRule="exact"/>
        <w:jc w:val="both"/>
        <w:rPr>
          <w:rFonts w:hint="eastAsia" w:ascii="仿宋" w:hAnsi="仿宋" w:eastAsia="仿宋" w:cs="宋体"/>
          <w:color w:val="auto"/>
          <w:sz w:val="24"/>
          <w:szCs w:val="24"/>
          <w:lang w:eastAsia="zh-CN"/>
        </w:rPr>
      </w:pPr>
      <w:bookmarkStart w:id="32" w:name="heading_7"/>
      <w:r>
        <w:rPr>
          <w:rFonts w:hint="eastAsia" w:ascii="仿宋" w:hAnsi="仿宋" w:eastAsia="仿宋" w:cs="宋体"/>
          <w:color w:val="auto"/>
          <w:sz w:val="24"/>
          <w:szCs w:val="24"/>
          <w:lang w:eastAsia="zh-CN"/>
        </w:rPr>
        <w:t>（四）成果文件交付标准</w:t>
      </w:r>
      <w:bookmarkEnd w:id="32"/>
    </w:p>
    <w:p w14:paraId="37D3A3A0">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纸质版文件：可研报告初审版（含全套附图、附表、附件）8份，评审定稿正式版可研报告6份；</w:t>
      </w:r>
    </w:p>
    <w:p w14:paraId="48E9B612">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电子版文件：提供可编辑Word源文件、加盖公章PDF定稿文件、全套CAD附图、财务测算Excel原始模型，以上资料封装U盘一式2套；</w:t>
      </w:r>
    </w:p>
    <w:p w14:paraId="5AEBFF0D">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配套专项资料：项目投资估算明细清单、全周期财务测算模型、银行融资专项说明文件各一套。</w:t>
      </w:r>
    </w:p>
    <w:p w14:paraId="76CFA0EE">
      <w:pPr>
        <w:pStyle w:val="19"/>
        <w:shd w:val="clear" w:color="auto" w:fill="FFFFFF"/>
        <w:spacing w:before="0" w:beforeAutospacing="0" w:after="0" w:afterAutospacing="0" w:line="560" w:lineRule="exact"/>
        <w:jc w:val="both"/>
        <w:rPr>
          <w:rFonts w:hint="eastAsia" w:ascii="仿宋" w:hAnsi="仿宋" w:eastAsia="仿宋" w:cs="宋体"/>
          <w:b/>
          <w:bCs/>
          <w:color w:val="auto"/>
          <w:sz w:val="24"/>
          <w:szCs w:val="24"/>
          <w:lang w:eastAsia="zh-CN"/>
        </w:rPr>
      </w:pPr>
      <w:bookmarkStart w:id="33" w:name="heading_8"/>
      <w:r>
        <w:rPr>
          <w:rFonts w:hint="eastAsia" w:ascii="仿宋" w:hAnsi="仿宋" w:eastAsia="仿宋" w:cs="宋体"/>
          <w:b/>
          <w:bCs/>
          <w:color w:val="auto"/>
          <w:sz w:val="24"/>
          <w:szCs w:val="24"/>
          <w:lang w:val="en-US" w:eastAsia="zh-CN"/>
        </w:rPr>
        <w:t>三</w:t>
      </w:r>
      <w:r>
        <w:rPr>
          <w:rFonts w:hint="eastAsia" w:ascii="仿宋" w:hAnsi="仿宋" w:eastAsia="仿宋" w:cs="宋体"/>
          <w:b/>
          <w:bCs/>
          <w:color w:val="auto"/>
          <w:sz w:val="24"/>
          <w:szCs w:val="24"/>
          <w:lang w:eastAsia="zh-CN"/>
        </w:rPr>
        <w:t>、服务周期要求</w:t>
      </w:r>
      <w:bookmarkEnd w:id="33"/>
    </w:p>
    <w:p w14:paraId="40BC45B8">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合同签订且采购人完整移交全部基础资料后，</w:t>
      </w:r>
      <w:r>
        <w:rPr>
          <w:rFonts w:hint="eastAsia" w:ascii="仿宋" w:hAnsi="仿宋" w:eastAsia="仿宋" w:cs="宋体"/>
          <w:color w:val="auto"/>
          <w:sz w:val="24"/>
          <w:szCs w:val="24"/>
          <w:lang w:val="en-US" w:eastAsia="zh-CN"/>
        </w:rPr>
        <w:t>15</w:t>
      </w:r>
      <w:r>
        <w:rPr>
          <w:rFonts w:hint="eastAsia" w:ascii="仿宋" w:hAnsi="仿宋" w:eastAsia="仿宋" w:cs="宋体"/>
          <w:color w:val="auto"/>
          <w:sz w:val="24"/>
          <w:szCs w:val="24"/>
          <w:lang w:eastAsia="zh-CN"/>
        </w:rPr>
        <w:t>个日历天内提交可研报告完整初稿；</w:t>
      </w:r>
    </w:p>
    <w:p w14:paraId="1C195AA2">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收到采购人修改意见后，</w:t>
      </w:r>
      <w:r>
        <w:rPr>
          <w:rFonts w:hint="eastAsia" w:ascii="仿宋" w:hAnsi="仿宋" w:eastAsia="仿宋" w:cs="宋体"/>
          <w:color w:val="auto"/>
          <w:sz w:val="24"/>
          <w:szCs w:val="24"/>
          <w:lang w:val="en-US" w:eastAsia="zh-CN"/>
        </w:rPr>
        <w:t>5</w:t>
      </w:r>
      <w:r>
        <w:rPr>
          <w:rFonts w:hint="eastAsia" w:ascii="仿宋" w:hAnsi="仿宋" w:eastAsia="仿宋" w:cs="宋体"/>
          <w:color w:val="auto"/>
          <w:sz w:val="24"/>
          <w:szCs w:val="24"/>
          <w:lang w:eastAsia="zh-CN"/>
        </w:rPr>
        <w:t>个日历天内完成文稿修订并报送修订版文件；</w:t>
      </w:r>
    </w:p>
    <w:p w14:paraId="0FE206BE">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自合同签订之日起</w:t>
      </w:r>
      <w:r>
        <w:rPr>
          <w:rFonts w:hint="eastAsia" w:ascii="仿宋" w:hAnsi="仿宋" w:eastAsia="仿宋" w:cs="宋体"/>
          <w:color w:val="auto"/>
          <w:sz w:val="24"/>
          <w:szCs w:val="24"/>
          <w:lang w:val="en-US" w:eastAsia="zh-CN"/>
        </w:rPr>
        <w:t>60</w:t>
      </w:r>
      <w:r>
        <w:rPr>
          <w:rFonts w:hint="eastAsia" w:ascii="仿宋" w:hAnsi="仿宋" w:eastAsia="仿宋" w:cs="宋体"/>
          <w:color w:val="auto"/>
          <w:sz w:val="24"/>
          <w:szCs w:val="24"/>
          <w:lang w:eastAsia="zh-CN"/>
        </w:rPr>
        <w:t>个日历天内，完成报告评审配合、融资资料优化及全部成果文件定稿交付工作；</w:t>
      </w:r>
    </w:p>
    <w:p w14:paraId="27A52868">
      <w:pPr>
        <w:pStyle w:val="19"/>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在本项目立项备案办结、银行贷款审批完成前，供应商须持续提供售后技术配合服务，无额外服务费用。</w:t>
      </w:r>
    </w:p>
    <w:p w14:paraId="3AF0EE0E">
      <w:pPr>
        <w:pStyle w:val="19"/>
        <w:shd w:val="clear" w:color="auto" w:fill="FFFFFF"/>
        <w:spacing w:before="0" w:beforeAutospacing="0" w:after="0" w:afterAutospacing="0" w:line="560" w:lineRule="exact"/>
        <w:jc w:val="both"/>
        <w:rPr>
          <w:rFonts w:hint="eastAsia" w:ascii="仿宋" w:hAnsi="仿宋" w:eastAsia="仿宋" w:cs="宋体"/>
          <w:color w:val="auto"/>
          <w:sz w:val="24"/>
          <w:szCs w:val="24"/>
          <w:lang w:val="en-US" w:eastAsia="zh-CN"/>
        </w:rPr>
      </w:pPr>
      <w:r>
        <w:rPr>
          <w:rFonts w:hint="eastAsia" w:ascii="仿宋" w:hAnsi="仿宋" w:eastAsia="仿宋" w:cs="宋体"/>
          <w:b/>
          <w:bCs/>
          <w:color w:val="auto"/>
          <w:sz w:val="24"/>
          <w:szCs w:val="24"/>
          <w:lang w:val="en-US" w:eastAsia="zh-CN"/>
        </w:rPr>
        <w:t>四、报价要求：</w:t>
      </w:r>
      <w:r>
        <w:rPr>
          <w:rFonts w:hint="eastAsia" w:ascii="仿宋" w:hAnsi="仿宋" w:eastAsia="仿宋" w:cs="宋体"/>
          <w:color w:val="auto"/>
          <w:sz w:val="24"/>
          <w:szCs w:val="24"/>
          <w:lang w:val="en-US" w:eastAsia="zh-CN"/>
        </w:rPr>
        <w:t>本项目固定总价报价，报价包含完成本项目所产生的一切费用，采购人后期不再追加任何费用，供应商报价时应综合考虑报价风险。</w:t>
      </w:r>
    </w:p>
    <w:bookmarkEnd w:id="24"/>
    <w:p w14:paraId="5088CC8A">
      <w:pPr>
        <w:rPr>
          <w:rFonts w:hint="eastAsia"/>
        </w:rPr>
      </w:pPr>
      <w:bookmarkStart w:id="34" w:name="_Toc466549692"/>
    </w:p>
    <w:p w14:paraId="7AB7466A">
      <w:pPr>
        <w:pStyle w:val="8"/>
        <w:rPr>
          <w:rFonts w:hint="eastAsia"/>
        </w:rPr>
      </w:pPr>
    </w:p>
    <w:p w14:paraId="6AC2C5A8">
      <w:pPr>
        <w:rPr>
          <w:rFonts w:hint="eastAsia"/>
        </w:rPr>
      </w:pPr>
    </w:p>
    <w:p w14:paraId="18E71C00">
      <w:pPr>
        <w:rPr>
          <w:rFonts w:hint="eastAsia"/>
        </w:rPr>
      </w:pPr>
    </w:p>
    <w:p w14:paraId="75C67775">
      <w:pPr>
        <w:rPr>
          <w:rFonts w:hint="eastAsia"/>
        </w:rPr>
      </w:pPr>
    </w:p>
    <w:p w14:paraId="5C58FA7E">
      <w:pPr>
        <w:rPr>
          <w:rFonts w:hint="eastAsia"/>
        </w:rPr>
      </w:pPr>
    </w:p>
    <w:p w14:paraId="6443C134">
      <w:pPr>
        <w:rPr>
          <w:rFonts w:hint="eastAsia"/>
        </w:rPr>
      </w:pPr>
    </w:p>
    <w:p w14:paraId="40D282DB">
      <w:pPr>
        <w:rPr>
          <w:rFonts w:hint="eastAsia"/>
        </w:rPr>
      </w:pPr>
    </w:p>
    <w:p w14:paraId="02E9E44B">
      <w:pPr>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35" w:name="_Toc9773"/>
      <w:r>
        <w:rPr>
          <w:rFonts w:hint="eastAsia" w:ascii="方正宋黑简体" w:hAnsi="宋体" w:eastAsia="方正宋黑简体" w:cs="黑体"/>
          <w:b/>
          <w:bCs/>
          <w:color w:val="auto"/>
          <w:sz w:val="32"/>
          <w:szCs w:val="32"/>
        </w:rPr>
        <w:t>八、合同格式</w:t>
      </w:r>
      <w:bookmarkEnd w:id="35"/>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bookmarkStart w:id="36" w:name="_Toc32103"/>
      <w:r>
        <w:t>第一部分 合同书</w:t>
      </w:r>
      <w:bookmarkEnd w:id="36"/>
    </w:p>
    <w:p w14:paraId="7CB234BD">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8" w:type="default"/>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2"/>
        </w:numPr>
        <w:tabs>
          <w:tab w:val="left" w:pos="1110"/>
        </w:tabs>
        <w:spacing w:before="2" w:line="360" w:lineRule="auto"/>
        <w:rPr>
          <w:sz w:val="21"/>
          <w:szCs w:val="21"/>
        </w:rPr>
      </w:pPr>
      <w:bookmarkStart w:id="37" w:name="_Toc27817"/>
      <w:r>
        <w:rPr>
          <w:sz w:val="21"/>
          <w:szCs w:val="21"/>
        </w:rPr>
        <w:t>合同组成部分</w:t>
      </w:r>
      <w:bookmarkEnd w:id="37"/>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5"/>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5"/>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5"/>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5"/>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5"/>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2"/>
        </w:numPr>
        <w:tabs>
          <w:tab w:val="left" w:pos="1110"/>
        </w:tabs>
        <w:spacing w:before="161" w:line="360" w:lineRule="auto"/>
        <w:rPr>
          <w:sz w:val="21"/>
          <w:szCs w:val="21"/>
        </w:rPr>
      </w:pPr>
      <w:bookmarkStart w:id="38" w:name="_Toc21439"/>
      <w:r>
        <w:rPr>
          <w:sz w:val="21"/>
          <w:szCs w:val="21"/>
        </w:rPr>
        <w:t>服务</w:t>
      </w:r>
      <w:bookmarkEnd w:id="38"/>
    </w:p>
    <w:p w14:paraId="129A0541">
      <w:pPr>
        <w:pStyle w:val="45"/>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5"/>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5"/>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2"/>
        </w:numPr>
        <w:tabs>
          <w:tab w:val="left" w:pos="1110"/>
        </w:tabs>
        <w:spacing w:before="161" w:line="360" w:lineRule="auto"/>
        <w:rPr>
          <w:sz w:val="21"/>
          <w:szCs w:val="21"/>
        </w:rPr>
      </w:pPr>
      <w:bookmarkStart w:id="39" w:name="_Toc1240"/>
      <w:r>
        <w:rPr>
          <w:sz w:val="21"/>
          <w:szCs w:val="21"/>
        </w:rPr>
        <w:t>价款</w:t>
      </w:r>
      <w:bookmarkEnd w:id="39"/>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2"/>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2"/>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2"/>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2"/>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2"/>
              <w:rPr>
                <w:rFonts w:ascii="Times New Roman"/>
                <w:lang w:eastAsia="en-US"/>
              </w:rPr>
            </w:pPr>
          </w:p>
        </w:tc>
        <w:tc>
          <w:tcPr>
            <w:tcW w:w="3490" w:type="dxa"/>
            <w:shd w:val="clear" w:color="auto" w:fill="auto"/>
            <w:noWrap w:val="0"/>
            <w:vAlign w:val="top"/>
          </w:tcPr>
          <w:p w14:paraId="3060808C">
            <w:pPr>
              <w:pStyle w:val="52"/>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2"/>
              <w:ind w:left="19"/>
              <w:jc w:val="center"/>
              <w:rPr>
                <w:sz w:val="24"/>
                <w:lang w:eastAsia="en-US"/>
              </w:rPr>
            </w:pPr>
            <w:r>
              <w:rPr>
                <w:sz w:val="24"/>
                <w:lang w:eastAsia="en-US"/>
              </w:rPr>
              <w:t>2</w:t>
            </w:r>
          </w:p>
        </w:tc>
        <w:tc>
          <w:tcPr>
            <w:tcW w:w="4657" w:type="dxa"/>
            <w:shd w:val="clear" w:color="auto" w:fill="auto"/>
            <w:noWrap w:val="0"/>
            <w:vAlign w:val="top"/>
          </w:tcPr>
          <w:p w14:paraId="2AB70EBC">
            <w:pPr>
              <w:pStyle w:val="52"/>
              <w:rPr>
                <w:rFonts w:ascii="Times New Roman"/>
                <w:lang w:eastAsia="en-US"/>
              </w:rPr>
            </w:pPr>
          </w:p>
        </w:tc>
        <w:tc>
          <w:tcPr>
            <w:tcW w:w="3490" w:type="dxa"/>
            <w:shd w:val="clear" w:color="auto" w:fill="auto"/>
            <w:noWrap w:val="0"/>
            <w:vAlign w:val="top"/>
          </w:tcPr>
          <w:p w14:paraId="4C8CD17A">
            <w:pPr>
              <w:pStyle w:val="52"/>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2"/>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2"/>
              <w:rPr>
                <w:rFonts w:ascii="Times New Roman"/>
                <w:lang w:eastAsia="en-US"/>
              </w:rPr>
            </w:pPr>
          </w:p>
        </w:tc>
        <w:tc>
          <w:tcPr>
            <w:tcW w:w="3490" w:type="dxa"/>
            <w:shd w:val="clear" w:color="auto" w:fill="auto"/>
            <w:noWrap w:val="0"/>
            <w:vAlign w:val="top"/>
          </w:tcPr>
          <w:p w14:paraId="780D1E57">
            <w:pPr>
              <w:pStyle w:val="52"/>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2"/>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2"/>
              <w:rPr>
                <w:rFonts w:ascii="Times New Roman"/>
                <w:lang w:eastAsia="en-US"/>
              </w:rPr>
            </w:pPr>
          </w:p>
        </w:tc>
        <w:tc>
          <w:tcPr>
            <w:tcW w:w="3490" w:type="dxa"/>
            <w:shd w:val="clear" w:color="auto" w:fill="auto"/>
            <w:noWrap w:val="0"/>
            <w:vAlign w:val="top"/>
          </w:tcPr>
          <w:p w14:paraId="24C57236">
            <w:pPr>
              <w:pStyle w:val="52"/>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2"/>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2"/>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4"/>
        <w:numPr>
          <w:ilvl w:val="1"/>
          <w:numId w:val="2"/>
        </w:numPr>
        <w:tabs>
          <w:tab w:val="left" w:pos="1110"/>
        </w:tabs>
        <w:spacing w:line="360" w:lineRule="auto"/>
        <w:rPr>
          <w:sz w:val="21"/>
          <w:szCs w:val="21"/>
        </w:rPr>
      </w:pPr>
      <w:bookmarkStart w:id="40" w:name="_Toc28590"/>
      <w:r>
        <w:rPr>
          <w:sz w:val="21"/>
          <w:szCs w:val="21"/>
        </w:rPr>
        <w:t>付款方式和发票开具方式</w:t>
      </w:r>
      <w:bookmarkEnd w:id="40"/>
    </w:p>
    <w:p w14:paraId="66792B47">
      <w:pPr>
        <w:spacing w:line="360" w:lineRule="auto"/>
        <w:ind w:firstLine="420" w:firstLineChars="200"/>
        <w:jc w:val="left"/>
        <w:rPr>
          <w:color w:val="auto"/>
          <w:sz w:val="21"/>
          <w:szCs w:val="21"/>
        </w:rPr>
      </w:pPr>
      <w:r>
        <w:rPr>
          <w:color w:val="auto"/>
          <w:sz w:val="21"/>
          <w:szCs w:val="21"/>
        </w:rPr>
        <w:t>付款方式</w:t>
      </w:r>
      <w:r>
        <w:rPr>
          <w:rFonts w:ascii="宋体" w:hAnsi="宋体" w:eastAsia="宋体" w:cs="宋体"/>
          <w:color w:val="auto"/>
          <w:sz w:val="21"/>
          <w:szCs w:val="21"/>
          <w:lang w:val="zh-CN" w:eastAsia="zh-CN" w:bidi="zh-CN"/>
        </w:rPr>
        <w:t>：</w:t>
      </w:r>
      <w:r>
        <w:rPr>
          <w:rFonts w:hint="eastAsia" w:ascii="宋体" w:hAnsi="宋体" w:eastAsia="宋体" w:cs="宋体"/>
          <w:color w:val="auto"/>
          <w:sz w:val="22"/>
          <w:szCs w:val="22"/>
          <w:u w:val="single" w:color="auto"/>
          <w:lang w:val="en-US" w:eastAsia="zh-CN" w:bidi="ar-SA"/>
        </w:rPr>
        <w:t>提供最终纸质成果经采购人验收合格后，一次性付清</w:t>
      </w:r>
      <w:r>
        <w:rPr>
          <w:rFonts w:hint="eastAsia" w:ascii="宋体" w:hAnsi="宋体" w:eastAsia="宋体" w:cs="宋体"/>
          <w:b w:val="0"/>
          <w:color w:val="auto"/>
          <w:sz w:val="24"/>
          <w:szCs w:val="24"/>
          <w:highlight w:val="none"/>
        </w:rPr>
        <w:t>。</w:t>
      </w:r>
    </w:p>
    <w:p w14:paraId="77C13E51">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发票开具方式：</w:t>
      </w:r>
      <w:r>
        <w:rPr>
          <w:color w:val="auto"/>
          <w:sz w:val="21"/>
          <w:szCs w:val="21"/>
          <w:u w:val="single"/>
        </w:rPr>
        <w:t xml:space="preserve"> </w:t>
      </w:r>
      <w:r>
        <w:rPr>
          <w:color w:val="auto"/>
          <w:sz w:val="21"/>
          <w:szCs w:val="21"/>
          <w:u w:val="single"/>
        </w:rPr>
        <w:tab/>
      </w:r>
      <w:r>
        <w:rPr>
          <w:color w:val="auto"/>
          <w:sz w:val="21"/>
          <w:szCs w:val="21"/>
        </w:rPr>
        <w:t>。</w:t>
      </w:r>
    </w:p>
    <w:p w14:paraId="54D1075A">
      <w:pPr>
        <w:pStyle w:val="4"/>
        <w:numPr>
          <w:ilvl w:val="1"/>
          <w:numId w:val="2"/>
        </w:numPr>
        <w:tabs>
          <w:tab w:val="left" w:pos="1110"/>
        </w:tabs>
        <w:spacing w:before="104" w:line="360" w:lineRule="auto"/>
        <w:rPr>
          <w:color w:val="auto"/>
          <w:sz w:val="21"/>
          <w:szCs w:val="21"/>
        </w:rPr>
      </w:pPr>
      <w:bookmarkStart w:id="41" w:name="_Toc24892"/>
      <w:r>
        <w:rPr>
          <w:color w:val="auto"/>
          <w:sz w:val="21"/>
          <w:szCs w:val="21"/>
        </w:rPr>
        <w:t>服务期限、地点和方式</w:t>
      </w:r>
      <w:bookmarkEnd w:id="41"/>
    </w:p>
    <w:p w14:paraId="2DB73264">
      <w:pPr>
        <w:pStyle w:val="45"/>
        <w:numPr>
          <w:ilvl w:val="0"/>
          <w:numId w:val="0"/>
        </w:numPr>
        <w:tabs>
          <w:tab w:val="left" w:pos="1269"/>
          <w:tab w:val="left" w:pos="7622"/>
        </w:tabs>
        <w:spacing w:before="160" w:line="360" w:lineRule="auto"/>
        <w:ind w:leftChars="200"/>
        <w:rPr>
          <w:color w:val="auto"/>
          <w:sz w:val="21"/>
          <w:szCs w:val="21"/>
        </w:rPr>
      </w:pPr>
      <w:r>
        <w:rPr>
          <w:rFonts w:hint="eastAsia"/>
          <w:color w:val="auto"/>
          <w:sz w:val="21"/>
          <w:szCs w:val="21"/>
          <w:lang w:val="en-US" w:eastAsia="zh-CN"/>
        </w:rPr>
        <w:t>服务期限</w:t>
      </w:r>
      <w:r>
        <w:rPr>
          <w:color w:val="auto"/>
          <w:sz w:val="21"/>
          <w:szCs w:val="21"/>
        </w:rPr>
        <w:t>：</w:t>
      </w:r>
      <w:r>
        <w:rPr>
          <w:rFonts w:hint="eastAsia" w:ascii="宋体" w:hAnsi="宋体" w:eastAsia="宋体" w:cs="宋体"/>
          <w:color w:val="auto"/>
          <w:sz w:val="22"/>
          <w:szCs w:val="22"/>
          <w:u w:val="single" w:color="auto"/>
          <w:lang w:val="en-US" w:eastAsia="zh-CN" w:bidi="ar-SA"/>
        </w:rPr>
        <w:t>自合同签订之日起60日历天内完成全部服务并提交正式成果文件</w:t>
      </w:r>
      <w:r>
        <w:rPr>
          <w:color w:val="auto"/>
          <w:sz w:val="21"/>
          <w:szCs w:val="21"/>
        </w:rPr>
        <w:t>；</w:t>
      </w:r>
    </w:p>
    <w:p w14:paraId="7515E475">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服务地点：</w:t>
      </w:r>
      <w:r>
        <w:rPr>
          <w:rFonts w:hint="eastAsia" w:ascii="宋体" w:hAnsi="宋体" w:eastAsia="宋体" w:cs="宋体"/>
          <w:color w:val="auto"/>
          <w:sz w:val="22"/>
          <w:szCs w:val="22"/>
          <w:u w:val="single" w:color="auto"/>
          <w:lang w:val="en-US" w:eastAsia="zh-CN" w:bidi="ar-SA"/>
        </w:rPr>
        <w:t>采购人指定地点；</w:t>
      </w:r>
    </w:p>
    <w:p w14:paraId="49778CF1">
      <w:pPr>
        <w:pStyle w:val="45"/>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2"/>
        </w:numPr>
        <w:tabs>
          <w:tab w:val="left" w:pos="1110"/>
        </w:tabs>
        <w:spacing w:before="161" w:line="360" w:lineRule="auto"/>
        <w:jc w:val="both"/>
        <w:rPr>
          <w:sz w:val="21"/>
          <w:szCs w:val="21"/>
        </w:rPr>
      </w:pPr>
      <w:bookmarkStart w:id="42" w:name="_Toc12564"/>
      <w:r>
        <w:rPr>
          <w:sz w:val="21"/>
          <w:szCs w:val="21"/>
        </w:rPr>
        <w:t>违约责任</w:t>
      </w:r>
      <w:bookmarkEnd w:id="42"/>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2"/>
        </w:numPr>
        <w:tabs>
          <w:tab w:val="left" w:pos="1110"/>
        </w:tabs>
        <w:spacing w:before="160" w:line="360" w:lineRule="auto"/>
        <w:rPr>
          <w:sz w:val="21"/>
          <w:szCs w:val="21"/>
        </w:rPr>
      </w:pPr>
      <w:bookmarkStart w:id="43" w:name="_Toc25587"/>
      <w:r>
        <w:rPr>
          <w:sz w:val="21"/>
          <w:szCs w:val="21"/>
        </w:rPr>
        <w:t>合同争议的解决</w:t>
      </w:r>
      <w:bookmarkEnd w:id="43"/>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2"/>
        </w:numPr>
        <w:tabs>
          <w:tab w:val="left" w:pos="1110"/>
        </w:tabs>
        <w:spacing w:before="160" w:line="360" w:lineRule="auto"/>
        <w:rPr>
          <w:sz w:val="21"/>
          <w:szCs w:val="21"/>
        </w:rPr>
      </w:pPr>
      <w:bookmarkStart w:id="44" w:name="_Toc29780"/>
      <w:r>
        <w:rPr>
          <w:sz w:val="21"/>
          <w:szCs w:val="21"/>
        </w:rPr>
        <w:t>合同生效</w:t>
      </w:r>
      <w:bookmarkEnd w:id="44"/>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45" w:name="_Toc22440"/>
      <w:r>
        <w:rPr>
          <w:rFonts w:hint="eastAsia" w:ascii="方正宋黑简体" w:hAnsi="宋体" w:eastAsia="方正宋黑简体" w:cs="黑体"/>
          <w:b/>
          <w:bCs/>
          <w:sz w:val="48"/>
          <w:szCs w:val="48"/>
        </w:rPr>
        <w:t>第二章  报价文件</w:t>
      </w:r>
      <w:bookmarkEnd w:id="34"/>
      <w:bookmarkEnd w:id="45"/>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46" w:name="_Toc466549693"/>
    </w:p>
    <w:p w14:paraId="79ECE926">
      <w:pPr>
        <w:spacing w:line="420" w:lineRule="exact"/>
        <w:jc w:val="center"/>
        <w:outlineLvl w:val="1"/>
        <w:rPr>
          <w:rFonts w:ascii="方正宋黑简体" w:hAnsi="宋体" w:eastAsia="方正宋黑简体" w:cs="黑体"/>
          <w:b/>
          <w:bCs/>
          <w:sz w:val="32"/>
          <w:szCs w:val="32"/>
        </w:rPr>
      </w:pPr>
      <w:bookmarkStart w:id="47" w:name="_Toc498"/>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46"/>
      <w:bookmarkEnd w:id="47"/>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48" w:name="_Toc4402"/>
      <w:bookmarkStart w:id="49" w:name="_Toc466549694"/>
      <w:r>
        <w:rPr>
          <w:rFonts w:hint="eastAsia" w:ascii="方正宋黑简体" w:hAnsi="宋体" w:eastAsia="方正宋黑简体" w:cs="黑体"/>
          <w:b/>
          <w:bCs/>
          <w:sz w:val="32"/>
          <w:szCs w:val="32"/>
        </w:rPr>
        <w:t>二、报价函格式</w:t>
      </w:r>
      <w:bookmarkEnd w:id="48"/>
      <w:bookmarkEnd w:id="49"/>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u w:val="none"/>
          <w:lang w:val="en-US" w:eastAsia="zh-CN"/>
        </w:rPr>
        <w:t>项目负责人：</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 xml:space="preserve">               </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50" w:name="_Toc22600"/>
      <w:bookmarkStart w:id="51"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50"/>
      <w:bookmarkEnd w:id="51"/>
    </w:p>
    <w:p w14:paraId="2B7D9F27">
      <w:pPr>
        <w:spacing w:line="360" w:lineRule="auto"/>
        <w:ind w:firstLine="560" w:firstLineChars="200"/>
        <w:rPr>
          <w:rFonts w:hint="eastAsia" w:ascii="仿宋" w:hAnsi="仿宋" w:eastAsia="仿宋" w:cs="Arial"/>
          <w:sz w:val="28"/>
          <w:szCs w:val="28"/>
        </w:rPr>
      </w:pPr>
      <w:bookmarkStart w:id="52"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52"/>
    </w:p>
    <w:p w14:paraId="4F259EFB">
      <w:pPr>
        <w:pStyle w:val="8"/>
        <w:numPr>
          <w:ilvl w:val="0"/>
          <w:numId w:val="0"/>
        </w:numPr>
        <w:rPr>
          <w:rFonts w:hint="default"/>
          <w:lang w:val="en-US" w:eastAsia="zh-CN"/>
        </w:rPr>
      </w:pPr>
    </w:p>
    <w:p w14:paraId="34A48CF9">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53" w:name="_Toc1782"/>
      <w:r>
        <w:rPr>
          <w:rFonts w:hint="eastAsia" w:ascii="宋体" w:hAnsi="宋体" w:eastAsia="宋体" w:cs="宋体"/>
          <w:sz w:val="32"/>
          <w:szCs w:val="32"/>
          <w:lang w:val="en-US" w:eastAsia="zh-CN"/>
        </w:rPr>
        <w:t>人员配置</w:t>
      </w:r>
      <w:bookmarkEnd w:id="53"/>
    </w:p>
    <w:p w14:paraId="715C4285">
      <w:pPr>
        <w:pStyle w:val="8"/>
        <w:numPr>
          <w:ilvl w:val="0"/>
          <w:numId w:val="0"/>
        </w:numPr>
        <w:rPr>
          <w:rFonts w:hint="default"/>
          <w:lang w:val="en-US" w:eastAsia="zh-CN"/>
        </w:rPr>
      </w:pPr>
    </w:p>
    <w:p w14:paraId="42D0C997">
      <w:pPr>
        <w:pStyle w:val="8"/>
        <w:numPr>
          <w:ilvl w:val="0"/>
          <w:numId w:val="0"/>
        </w:numPr>
        <w:rPr>
          <w:rFonts w:hint="default"/>
          <w:lang w:val="en-US" w:eastAsia="zh-CN"/>
        </w:rPr>
      </w:pPr>
      <w:r>
        <w:rPr>
          <w:rFonts w:hint="eastAsia"/>
          <w:lang w:val="en-US" w:eastAsia="zh-CN"/>
        </w:rPr>
        <w:t>（供应商格式自拟）</w:t>
      </w:r>
    </w:p>
    <w:p w14:paraId="44C48DD2">
      <w:pPr>
        <w:pStyle w:val="8"/>
        <w:numPr>
          <w:ilvl w:val="0"/>
          <w:numId w:val="0"/>
        </w:numPr>
        <w:rPr>
          <w:rFonts w:hint="default"/>
          <w:lang w:val="en-US" w:eastAsia="zh-CN"/>
        </w:rPr>
      </w:pPr>
    </w:p>
    <w:p w14:paraId="05B9476A">
      <w:pPr>
        <w:pStyle w:val="8"/>
        <w:numPr>
          <w:ilvl w:val="0"/>
          <w:numId w:val="0"/>
        </w:numPr>
        <w:rPr>
          <w:rFonts w:hint="default"/>
          <w:lang w:val="en-US" w:eastAsia="zh-CN"/>
        </w:rPr>
      </w:pPr>
    </w:p>
    <w:p w14:paraId="3A114513">
      <w:pPr>
        <w:pStyle w:val="8"/>
        <w:numPr>
          <w:ilvl w:val="0"/>
          <w:numId w:val="0"/>
        </w:numPr>
        <w:rPr>
          <w:rFonts w:hint="default"/>
          <w:lang w:val="en-US" w:eastAsia="zh-CN"/>
        </w:rPr>
      </w:pPr>
    </w:p>
    <w:p w14:paraId="74C25424">
      <w:pPr>
        <w:pStyle w:val="8"/>
        <w:numPr>
          <w:ilvl w:val="0"/>
          <w:numId w:val="0"/>
        </w:numPr>
        <w:rPr>
          <w:rFonts w:hint="default"/>
          <w:lang w:val="en-US" w:eastAsia="zh-CN"/>
        </w:rPr>
      </w:pPr>
    </w:p>
    <w:p w14:paraId="2662B1FD">
      <w:pPr>
        <w:pStyle w:val="8"/>
        <w:numPr>
          <w:ilvl w:val="0"/>
          <w:numId w:val="0"/>
        </w:numPr>
        <w:rPr>
          <w:rFonts w:hint="default"/>
          <w:lang w:val="en-US" w:eastAsia="zh-CN"/>
        </w:rPr>
      </w:pPr>
    </w:p>
    <w:p w14:paraId="1AA7EB6B">
      <w:pPr>
        <w:pStyle w:val="8"/>
        <w:numPr>
          <w:ilvl w:val="0"/>
          <w:numId w:val="0"/>
        </w:numPr>
        <w:rPr>
          <w:rFonts w:hint="default"/>
          <w:lang w:val="en-US" w:eastAsia="zh-CN"/>
        </w:rPr>
      </w:pPr>
    </w:p>
    <w:p w14:paraId="5492C365">
      <w:pPr>
        <w:pStyle w:val="8"/>
        <w:numPr>
          <w:ilvl w:val="0"/>
          <w:numId w:val="0"/>
        </w:numPr>
        <w:rPr>
          <w:rFonts w:hint="default"/>
          <w:lang w:val="en-US" w:eastAsia="zh-CN"/>
        </w:rPr>
      </w:pPr>
    </w:p>
    <w:p w14:paraId="2BDDB2AE">
      <w:pPr>
        <w:pStyle w:val="8"/>
        <w:numPr>
          <w:ilvl w:val="0"/>
          <w:numId w:val="0"/>
        </w:numPr>
        <w:rPr>
          <w:rFonts w:hint="default"/>
          <w:lang w:val="en-US" w:eastAsia="zh-CN"/>
        </w:rPr>
      </w:pPr>
    </w:p>
    <w:p w14:paraId="0998C475">
      <w:pPr>
        <w:pStyle w:val="8"/>
        <w:numPr>
          <w:ilvl w:val="0"/>
          <w:numId w:val="0"/>
        </w:numPr>
        <w:rPr>
          <w:rFonts w:hint="default"/>
          <w:lang w:val="en-US" w:eastAsia="zh-CN"/>
        </w:rPr>
      </w:pPr>
    </w:p>
    <w:p w14:paraId="130B9DB6">
      <w:pPr>
        <w:pStyle w:val="8"/>
        <w:numPr>
          <w:ilvl w:val="0"/>
          <w:numId w:val="0"/>
        </w:numPr>
        <w:rPr>
          <w:rFonts w:hint="default"/>
          <w:lang w:val="en-US" w:eastAsia="zh-CN"/>
        </w:rPr>
      </w:pPr>
    </w:p>
    <w:p w14:paraId="6D93A0A3">
      <w:pPr>
        <w:pStyle w:val="8"/>
        <w:numPr>
          <w:ilvl w:val="0"/>
          <w:numId w:val="0"/>
        </w:numPr>
        <w:rPr>
          <w:rFonts w:hint="default"/>
          <w:lang w:val="en-US" w:eastAsia="zh-CN"/>
        </w:rPr>
      </w:pPr>
    </w:p>
    <w:p w14:paraId="2D90889A">
      <w:pPr>
        <w:pStyle w:val="8"/>
        <w:numPr>
          <w:ilvl w:val="0"/>
          <w:numId w:val="0"/>
        </w:numPr>
        <w:rPr>
          <w:rFonts w:hint="default"/>
          <w:lang w:val="en-US" w:eastAsia="zh-CN"/>
        </w:rPr>
      </w:pPr>
    </w:p>
    <w:p w14:paraId="166C7297">
      <w:pPr>
        <w:pStyle w:val="8"/>
        <w:numPr>
          <w:ilvl w:val="0"/>
          <w:numId w:val="0"/>
        </w:numPr>
        <w:rPr>
          <w:rFonts w:hint="default"/>
          <w:lang w:val="en-US" w:eastAsia="zh-CN"/>
        </w:rPr>
      </w:pPr>
    </w:p>
    <w:p w14:paraId="2B433534">
      <w:pPr>
        <w:pStyle w:val="8"/>
        <w:numPr>
          <w:ilvl w:val="0"/>
          <w:numId w:val="0"/>
        </w:numPr>
        <w:rPr>
          <w:rFonts w:hint="default"/>
          <w:lang w:val="en-US" w:eastAsia="zh-CN"/>
        </w:rPr>
      </w:pPr>
    </w:p>
    <w:p w14:paraId="26A59382">
      <w:pPr>
        <w:pStyle w:val="8"/>
        <w:numPr>
          <w:ilvl w:val="0"/>
          <w:numId w:val="0"/>
        </w:numPr>
        <w:rPr>
          <w:rFonts w:hint="default"/>
          <w:lang w:val="en-US" w:eastAsia="zh-CN"/>
        </w:rPr>
      </w:pPr>
    </w:p>
    <w:p w14:paraId="306059AC">
      <w:pPr>
        <w:pStyle w:val="8"/>
        <w:numPr>
          <w:ilvl w:val="0"/>
          <w:numId w:val="0"/>
        </w:numPr>
        <w:rPr>
          <w:rFonts w:hint="default"/>
          <w:lang w:val="en-US" w:eastAsia="zh-CN"/>
        </w:rPr>
      </w:pPr>
    </w:p>
    <w:p w14:paraId="0D9E3500">
      <w:pPr>
        <w:pStyle w:val="8"/>
        <w:numPr>
          <w:ilvl w:val="0"/>
          <w:numId w:val="0"/>
        </w:numPr>
        <w:rPr>
          <w:rFonts w:hint="default"/>
          <w:lang w:val="en-US" w:eastAsia="zh-CN"/>
        </w:rPr>
      </w:pPr>
    </w:p>
    <w:p w14:paraId="211EEA9A">
      <w:pPr>
        <w:pStyle w:val="8"/>
        <w:numPr>
          <w:ilvl w:val="0"/>
          <w:numId w:val="0"/>
        </w:numPr>
        <w:rPr>
          <w:rFonts w:hint="default"/>
          <w:lang w:val="en-US" w:eastAsia="zh-CN"/>
        </w:rPr>
      </w:pPr>
    </w:p>
    <w:p w14:paraId="17BDA9AE">
      <w:pPr>
        <w:pStyle w:val="8"/>
        <w:numPr>
          <w:ilvl w:val="0"/>
          <w:numId w:val="0"/>
        </w:numPr>
        <w:rPr>
          <w:rFonts w:hint="default"/>
          <w:lang w:val="en-US" w:eastAsia="zh-CN"/>
        </w:rPr>
      </w:pPr>
    </w:p>
    <w:p w14:paraId="5F52231A">
      <w:pPr>
        <w:pStyle w:val="8"/>
        <w:numPr>
          <w:ilvl w:val="0"/>
          <w:numId w:val="0"/>
        </w:numPr>
        <w:rPr>
          <w:rFonts w:hint="default"/>
          <w:lang w:val="en-US" w:eastAsia="zh-CN"/>
        </w:rPr>
      </w:pPr>
    </w:p>
    <w:p w14:paraId="6EEFC39A">
      <w:pPr>
        <w:pStyle w:val="8"/>
        <w:numPr>
          <w:ilvl w:val="0"/>
          <w:numId w:val="0"/>
        </w:numPr>
        <w:rPr>
          <w:rFonts w:hint="default"/>
          <w:lang w:val="en-US" w:eastAsia="zh-CN"/>
        </w:rPr>
      </w:pPr>
    </w:p>
    <w:p w14:paraId="73B3AC2B">
      <w:pPr>
        <w:pStyle w:val="8"/>
        <w:numPr>
          <w:ilvl w:val="0"/>
          <w:numId w:val="0"/>
        </w:numPr>
        <w:rPr>
          <w:rFonts w:hint="default"/>
          <w:lang w:val="en-US" w:eastAsia="zh-CN"/>
        </w:rPr>
      </w:pPr>
    </w:p>
    <w:p w14:paraId="09B5B453">
      <w:pPr>
        <w:pStyle w:val="8"/>
        <w:numPr>
          <w:ilvl w:val="0"/>
          <w:numId w:val="0"/>
        </w:numPr>
        <w:rPr>
          <w:rFonts w:hint="default"/>
          <w:lang w:val="en-US" w:eastAsia="zh-CN"/>
        </w:rPr>
      </w:pPr>
    </w:p>
    <w:p w14:paraId="3539D5A4">
      <w:pPr>
        <w:pStyle w:val="8"/>
        <w:numPr>
          <w:ilvl w:val="0"/>
          <w:numId w:val="0"/>
        </w:numPr>
        <w:rPr>
          <w:rFonts w:hint="default"/>
          <w:lang w:val="en-US" w:eastAsia="zh-CN"/>
        </w:rPr>
      </w:pPr>
    </w:p>
    <w:p w14:paraId="75CB27B3">
      <w:pPr>
        <w:pStyle w:val="8"/>
        <w:numPr>
          <w:ilvl w:val="0"/>
          <w:numId w:val="0"/>
        </w:numPr>
        <w:rPr>
          <w:rFonts w:hint="default"/>
          <w:lang w:val="en-US" w:eastAsia="zh-CN"/>
        </w:rPr>
      </w:pPr>
    </w:p>
    <w:p w14:paraId="3686B32D">
      <w:pPr>
        <w:pStyle w:val="8"/>
        <w:numPr>
          <w:ilvl w:val="0"/>
          <w:numId w:val="0"/>
        </w:numPr>
        <w:rPr>
          <w:rFonts w:hint="default"/>
          <w:lang w:val="en-US" w:eastAsia="zh-CN"/>
        </w:rPr>
      </w:pPr>
    </w:p>
    <w:p w14:paraId="03D82E8D">
      <w:pPr>
        <w:pStyle w:val="8"/>
        <w:numPr>
          <w:ilvl w:val="0"/>
          <w:numId w:val="0"/>
        </w:numPr>
        <w:rPr>
          <w:rFonts w:hint="default"/>
          <w:lang w:val="en-US" w:eastAsia="zh-CN"/>
        </w:rPr>
      </w:pPr>
    </w:p>
    <w:p w14:paraId="13103A52">
      <w:pPr>
        <w:pStyle w:val="8"/>
        <w:numPr>
          <w:ilvl w:val="0"/>
          <w:numId w:val="0"/>
        </w:numPr>
        <w:rPr>
          <w:rFonts w:hint="default"/>
          <w:lang w:val="en-US" w:eastAsia="zh-CN"/>
        </w:rPr>
      </w:pPr>
    </w:p>
    <w:p w14:paraId="2265C735">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54" w:name="_Toc2000"/>
      <w:r>
        <w:rPr>
          <w:rFonts w:hint="eastAsia" w:ascii="宋体" w:hAnsi="宋体" w:eastAsia="宋体" w:cs="宋体"/>
          <w:sz w:val="32"/>
          <w:szCs w:val="32"/>
          <w:lang w:val="en-US" w:eastAsia="zh-CN"/>
        </w:rPr>
        <w:t>服务方案</w:t>
      </w:r>
      <w:bookmarkEnd w:id="54"/>
    </w:p>
    <w:p w14:paraId="49926633">
      <w:pPr>
        <w:pStyle w:val="8"/>
        <w:numPr>
          <w:ilvl w:val="0"/>
          <w:numId w:val="0"/>
        </w:numPr>
        <w:rPr>
          <w:rFonts w:hint="default"/>
          <w:lang w:val="en-US" w:eastAsia="zh-CN"/>
        </w:rPr>
      </w:pPr>
      <w:r>
        <w:rPr>
          <w:rFonts w:hint="eastAsia"/>
          <w:lang w:val="en-US" w:eastAsia="zh-CN"/>
        </w:rPr>
        <w:t>（供应商格式自拟）</w:t>
      </w:r>
    </w:p>
    <w:p w14:paraId="464D09AD">
      <w:pPr>
        <w:pStyle w:val="8"/>
        <w:numPr>
          <w:ilvl w:val="0"/>
          <w:numId w:val="0"/>
        </w:numPr>
        <w:rPr>
          <w:rFonts w:hint="default"/>
          <w:lang w:val="en-US" w:eastAsia="zh-CN"/>
        </w:rPr>
      </w:pPr>
    </w:p>
    <w:p w14:paraId="1F479D74">
      <w:pPr>
        <w:pStyle w:val="8"/>
        <w:numPr>
          <w:ilvl w:val="0"/>
          <w:numId w:val="0"/>
        </w:numPr>
        <w:rPr>
          <w:rFonts w:hint="default"/>
          <w:lang w:val="en-US" w:eastAsia="zh-CN"/>
        </w:rPr>
      </w:pPr>
    </w:p>
    <w:p w14:paraId="325FE52B">
      <w:pPr>
        <w:pStyle w:val="8"/>
        <w:numPr>
          <w:ilvl w:val="0"/>
          <w:numId w:val="0"/>
        </w:numPr>
        <w:rPr>
          <w:rFonts w:hint="default"/>
          <w:lang w:val="en-US" w:eastAsia="zh-CN"/>
        </w:rPr>
      </w:pPr>
    </w:p>
    <w:p w14:paraId="6B820D3B">
      <w:pPr>
        <w:pStyle w:val="8"/>
        <w:numPr>
          <w:ilvl w:val="0"/>
          <w:numId w:val="0"/>
        </w:numPr>
        <w:rPr>
          <w:rFonts w:hint="default"/>
          <w:lang w:val="en-US" w:eastAsia="zh-CN"/>
        </w:rPr>
      </w:pPr>
    </w:p>
    <w:p w14:paraId="1879F33D">
      <w:pPr>
        <w:pStyle w:val="8"/>
        <w:numPr>
          <w:ilvl w:val="0"/>
          <w:numId w:val="0"/>
        </w:numPr>
        <w:rPr>
          <w:rFonts w:hint="default"/>
          <w:lang w:val="en-US" w:eastAsia="zh-CN"/>
        </w:rPr>
      </w:pPr>
    </w:p>
    <w:p w14:paraId="70F4DC7E">
      <w:pPr>
        <w:pStyle w:val="8"/>
        <w:numPr>
          <w:ilvl w:val="0"/>
          <w:numId w:val="0"/>
        </w:numPr>
        <w:rPr>
          <w:rFonts w:hint="default"/>
          <w:lang w:val="en-US" w:eastAsia="zh-CN"/>
        </w:rPr>
      </w:pPr>
    </w:p>
    <w:p w14:paraId="22FF068B">
      <w:pPr>
        <w:pStyle w:val="8"/>
        <w:numPr>
          <w:ilvl w:val="0"/>
          <w:numId w:val="0"/>
        </w:numPr>
        <w:rPr>
          <w:rFonts w:hint="default"/>
          <w:lang w:val="en-US" w:eastAsia="zh-CN"/>
        </w:rPr>
      </w:pPr>
    </w:p>
    <w:p w14:paraId="10C4DCF0">
      <w:pPr>
        <w:pStyle w:val="8"/>
        <w:numPr>
          <w:ilvl w:val="0"/>
          <w:numId w:val="0"/>
        </w:numPr>
        <w:rPr>
          <w:rFonts w:hint="default"/>
          <w:lang w:val="en-US" w:eastAsia="zh-CN"/>
        </w:rPr>
      </w:pPr>
    </w:p>
    <w:p w14:paraId="00E8461D">
      <w:pPr>
        <w:pStyle w:val="8"/>
        <w:numPr>
          <w:ilvl w:val="0"/>
          <w:numId w:val="0"/>
        </w:numPr>
        <w:rPr>
          <w:rFonts w:hint="default"/>
          <w:lang w:val="en-US" w:eastAsia="zh-CN"/>
        </w:rPr>
      </w:pPr>
    </w:p>
    <w:p w14:paraId="4667EDFF">
      <w:pPr>
        <w:pStyle w:val="8"/>
        <w:numPr>
          <w:ilvl w:val="0"/>
          <w:numId w:val="0"/>
        </w:numPr>
        <w:rPr>
          <w:rFonts w:hint="default"/>
          <w:lang w:val="en-US" w:eastAsia="zh-CN"/>
        </w:rPr>
      </w:pPr>
    </w:p>
    <w:p w14:paraId="0D4B1BAA">
      <w:pPr>
        <w:pStyle w:val="8"/>
        <w:numPr>
          <w:ilvl w:val="0"/>
          <w:numId w:val="0"/>
        </w:numPr>
        <w:rPr>
          <w:rFonts w:hint="default"/>
          <w:lang w:val="en-US" w:eastAsia="zh-CN"/>
        </w:rPr>
      </w:pPr>
    </w:p>
    <w:p w14:paraId="4F02D534">
      <w:pPr>
        <w:pStyle w:val="8"/>
        <w:numPr>
          <w:ilvl w:val="0"/>
          <w:numId w:val="0"/>
        </w:numPr>
        <w:rPr>
          <w:rFonts w:hint="default"/>
          <w:lang w:val="en-US" w:eastAsia="zh-CN"/>
        </w:rPr>
      </w:pPr>
    </w:p>
    <w:p w14:paraId="5B73D30C">
      <w:pPr>
        <w:pStyle w:val="8"/>
        <w:numPr>
          <w:ilvl w:val="0"/>
          <w:numId w:val="0"/>
        </w:numPr>
        <w:rPr>
          <w:rFonts w:hint="default"/>
          <w:lang w:val="en-US" w:eastAsia="zh-CN"/>
        </w:rPr>
      </w:pPr>
    </w:p>
    <w:p w14:paraId="36DE18A4">
      <w:pPr>
        <w:pStyle w:val="8"/>
        <w:numPr>
          <w:ilvl w:val="0"/>
          <w:numId w:val="0"/>
        </w:numPr>
        <w:rPr>
          <w:rFonts w:hint="default"/>
          <w:lang w:val="en-US" w:eastAsia="zh-CN"/>
        </w:rPr>
      </w:pPr>
    </w:p>
    <w:p w14:paraId="5C9F4A52">
      <w:pPr>
        <w:pStyle w:val="8"/>
        <w:numPr>
          <w:ilvl w:val="0"/>
          <w:numId w:val="0"/>
        </w:numPr>
        <w:rPr>
          <w:rFonts w:hint="default"/>
          <w:lang w:val="en-US" w:eastAsia="zh-CN"/>
        </w:rPr>
      </w:pPr>
    </w:p>
    <w:p w14:paraId="1CB218D9">
      <w:pPr>
        <w:pStyle w:val="8"/>
        <w:numPr>
          <w:ilvl w:val="0"/>
          <w:numId w:val="0"/>
        </w:numPr>
        <w:rPr>
          <w:rFonts w:hint="default"/>
          <w:lang w:val="en-US" w:eastAsia="zh-CN"/>
        </w:rPr>
      </w:pPr>
    </w:p>
    <w:p w14:paraId="193916DD">
      <w:pPr>
        <w:pStyle w:val="8"/>
        <w:numPr>
          <w:ilvl w:val="0"/>
          <w:numId w:val="0"/>
        </w:numPr>
        <w:rPr>
          <w:rFonts w:hint="default"/>
          <w:lang w:val="en-US" w:eastAsia="zh-CN"/>
        </w:rPr>
      </w:pPr>
    </w:p>
    <w:p w14:paraId="511E953A">
      <w:pPr>
        <w:pStyle w:val="8"/>
        <w:numPr>
          <w:ilvl w:val="0"/>
          <w:numId w:val="0"/>
        </w:numPr>
        <w:rPr>
          <w:rFonts w:hint="default"/>
          <w:lang w:val="en-US" w:eastAsia="zh-CN"/>
        </w:rPr>
      </w:pPr>
    </w:p>
    <w:p w14:paraId="29CED102">
      <w:pPr>
        <w:pStyle w:val="8"/>
        <w:numPr>
          <w:ilvl w:val="0"/>
          <w:numId w:val="0"/>
        </w:numPr>
        <w:rPr>
          <w:rFonts w:hint="default"/>
          <w:lang w:val="en-US" w:eastAsia="zh-CN"/>
        </w:rPr>
      </w:pPr>
    </w:p>
    <w:p w14:paraId="645E593D">
      <w:pPr>
        <w:pStyle w:val="8"/>
        <w:numPr>
          <w:ilvl w:val="0"/>
          <w:numId w:val="0"/>
        </w:numPr>
        <w:rPr>
          <w:rFonts w:hint="default"/>
          <w:lang w:val="en-US" w:eastAsia="zh-CN"/>
        </w:rPr>
      </w:pPr>
    </w:p>
    <w:p w14:paraId="702D290A">
      <w:pPr>
        <w:pStyle w:val="8"/>
        <w:numPr>
          <w:ilvl w:val="0"/>
          <w:numId w:val="0"/>
        </w:numPr>
        <w:rPr>
          <w:rFonts w:hint="default"/>
          <w:lang w:val="en-US" w:eastAsia="zh-CN"/>
        </w:rPr>
      </w:pPr>
    </w:p>
    <w:p w14:paraId="5DE63FA2">
      <w:pPr>
        <w:pStyle w:val="8"/>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55"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56" w:name="_Toc21635"/>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55"/>
      <w:bookmarkEnd w:id="56"/>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21"/>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安徽融城高新技术产业发展集团有限公司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赵先生</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电  话：</w:t>
            </w:r>
            <w:r>
              <w:rPr>
                <w:rFonts w:hint="eastAsia" w:ascii="宋体" w:hAnsi="宋体" w:cs="Arial"/>
                <w:sz w:val="24"/>
                <w:szCs w:val="24"/>
                <w:lang w:eastAsia="zh-CN"/>
              </w:rPr>
              <w:t>19965898070</w:t>
            </w:r>
            <w:r>
              <w:rPr>
                <w:rFonts w:hint="eastAsia" w:ascii="宋体" w:hAnsi="宋体" w:cs="Arial"/>
                <w:sz w:val="24"/>
                <w:szCs w:val="24"/>
                <w:lang w:val="en-US" w:eastAsia="zh-CN"/>
              </w:rPr>
              <w:t xml:space="preserve">  </w:t>
            </w:r>
            <w:r>
              <w:rPr>
                <w:rFonts w:hint="eastAsia" w:ascii="宋体" w:hAnsi="宋体" w:cs="Arial"/>
                <w:sz w:val="24"/>
                <w:szCs w:val="24"/>
              </w:rPr>
              <w:t xml:space="preserve">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26</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1</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14</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KSOF98BADBC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8463">
    <w:pPr>
      <w:pStyle w:val="15"/>
      <w:jc w:val="both"/>
    </w:pP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BB1B">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8DC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D8DC7D">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安徽宛鸣工程管理有限公司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A832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49D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2C49D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6F4C3">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06F4C3">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1B28B3"/>
    <w:rsid w:val="01565F5E"/>
    <w:rsid w:val="0159126E"/>
    <w:rsid w:val="01A9205E"/>
    <w:rsid w:val="02647ECA"/>
    <w:rsid w:val="02EB125D"/>
    <w:rsid w:val="04243DD2"/>
    <w:rsid w:val="04A86794"/>
    <w:rsid w:val="04C41D81"/>
    <w:rsid w:val="060E0879"/>
    <w:rsid w:val="069B779E"/>
    <w:rsid w:val="06D21D6E"/>
    <w:rsid w:val="073521A4"/>
    <w:rsid w:val="0775005F"/>
    <w:rsid w:val="07D94961"/>
    <w:rsid w:val="07FA3DBD"/>
    <w:rsid w:val="08A977A9"/>
    <w:rsid w:val="09532D47"/>
    <w:rsid w:val="09853B96"/>
    <w:rsid w:val="09B25DA3"/>
    <w:rsid w:val="09BD560E"/>
    <w:rsid w:val="09D63B14"/>
    <w:rsid w:val="0B110C11"/>
    <w:rsid w:val="0B455196"/>
    <w:rsid w:val="0BCC649F"/>
    <w:rsid w:val="0CEC0866"/>
    <w:rsid w:val="0D2412B6"/>
    <w:rsid w:val="0DAE2941"/>
    <w:rsid w:val="0E4D2A06"/>
    <w:rsid w:val="0EDE08AA"/>
    <w:rsid w:val="0EF6634E"/>
    <w:rsid w:val="0F0E2956"/>
    <w:rsid w:val="10F20D97"/>
    <w:rsid w:val="110C1288"/>
    <w:rsid w:val="111E0FFE"/>
    <w:rsid w:val="11E15093"/>
    <w:rsid w:val="120848A5"/>
    <w:rsid w:val="127137AB"/>
    <w:rsid w:val="12907B30"/>
    <w:rsid w:val="135B5893"/>
    <w:rsid w:val="1361501A"/>
    <w:rsid w:val="13B16CE7"/>
    <w:rsid w:val="13BF09F4"/>
    <w:rsid w:val="146819AE"/>
    <w:rsid w:val="147F6DE6"/>
    <w:rsid w:val="15A5046C"/>
    <w:rsid w:val="15C75210"/>
    <w:rsid w:val="168E325B"/>
    <w:rsid w:val="170F26A3"/>
    <w:rsid w:val="173C07D6"/>
    <w:rsid w:val="17CD6433"/>
    <w:rsid w:val="17CE60BA"/>
    <w:rsid w:val="17D73DBB"/>
    <w:rsid w:val="17E5547C"/>
    <w:rsid w:val="182F1EB5"/>
    <w:rsid w:val="184D685F"/>
    <w:rsid w:val="18A673D2"/>
    <w:rsid w:val="18AC27F1"/>
    <w:rsid w:val="19B62313"/>
    <w:rsid w:val="19B968F6"/>
    <w:rsid w:val="19EE47F1"/>
    <w:rsid w:val="1A0617E9"/>
    <w:rsid w:val="1A3D3083"/>
    <w:rsid w:val="1A4E26D4"/>
    <w:rsid w:val="1BC7026D"/>
    <w:rsid w:val="1BFE285A"/>
    <w:rsid w:val="1C0143F1"/>
    <w:rsid w:val="1C4C3F34"/>
    <w:rsid w:val="1C8E664A"/>
    <w:rsid w:val="1CB87339"/>
    <w:rsid w:val="1D9957C6"/>
    <w:rsid w:val="1DBD6DF4"/>
    <w:rsid w:val="1E023943"/>
    <w:rsid w:val="1E2E2B21"/>
    <w:rsid w:val="1F477960"/>
    <w:rsid w:val="1FA65DD9"/>
    <w:rsid w:val="1FAC7F3E"/>
    <w:rsid w:val="206A13ED"/>
    <w:rsid w:val="20BB5506"/>
    <w:rsid w:val="21EA15A1"/>
    <w:rsid w:val="21F91F85"/>
    <w:rsid w:val="22B94012"/>
    <w:rsid w:val="23217FEA"/>
    <w:rsid w:val="23226109"/>
    <w:rsid w:val="23802DCF"/>
    <w:rsid w:val="23B754F8"/>
    <w:rsid w:val="23EA0E2A"/>
    <w:rsid w:val="24253C3D"/>
    <w:rsid w:val="24AA08DA"/>
    <w:rsid w:val="24F230AC"/>
    <w:rsid w:val="25BD5D03"/>
    <w:rsid w:val="265B1230"/>
    <w:rsid w:val="27551185"/>
    <w:rsid w:val="27A331B3"/>
    <w:rsid w:val="281239A8"/>
    <w:rsid w:val="289935D0"/>
    <w:rsid w:val="296F5C2E"/>
    <w:rsid w:val="297F116D"/>
    <w:rsid w:val="29F15C38"/>
    <w:rsid w:val="2AF11DC3"/>
    <w:rsid w:val="2B7D568A"/>
    <w:rsid w:val="2B9F0AFA"/>
    <w:rsid w:val="2BD77336"/>
    <w:rsid w:val="2C137AB2"/>
    <w:rsid w:val="2C6C3710"/>
    <w:rsid w:val="2D4A661B"/>
    <w:rsid w:val="2D6271B8"/>
    <w:rsid w:val="2E1D6FFC"/>
    <w:rsid w:val="2E4028D1"/>
    <w:rsid w:val="2E6D742C"/>
    <w:rsid w:val="30417BED"/>
    <w:rsid w:val="30AE13C0"/>
    <w:rsid w:val="30C3522A"/>
    <w:rsid w:val="326E219C"/>
    <w:rsid w:val="32FB03C8"/>
    <w:rsid w:val="334A24A5"/>
    <w:rsid w:val="341B77F9"/>
    <w:rsid w:val="34E5618B"/>
    <w:rsid w:val="35B93AAE"/>
    <w:rsid w:val="35E03756"/>
    <w:rsid w:val="35E87731"/>
    <w:rsid w:val="35E90367"/>
    <w:rsid w:val="363B7238"/>
    <w:rsid w:val="36697C0F"/>
    <w:rsid w:val="383A5121"/>
    <w:rsid w:val="391E1E7A"/>
    <w:rsid w:val="3A17031A"/>
    <w:rsid w:val="3A612DEC"/>
    <w:rsid w:val="3A663082"/>
    <w:rsid w:val="3ABE0410"/>
    <w:rsid w:val="3B7F1661"/>
    <w:rsid w:val="3C251366"/>
    <w:rsid w:val="3C6D55F2"/>
    <w:rsid w:val="3CDE526C"/>
    <w:rsid w:val="3D3C29A9"/>
    <w:rsid w:val="3DBA42C7"/>
    <w:rsid w:val="3DC94AAA"/>
    <w:rsid w:val="3DCE38F3"/>
    <w:rsid w:val="3E3A37F9"/>
    <w:rsid w:val="3E566F56"/>
    <w:rsid w:val="3E580E80"/>
    <w:rsid w:val="3EA2253E"/>
    <w:rsid w:val="3EC73711"/>
    <w:rsid w:val="3EF91A2E"/>
    <w:rsid w:val="3F065BE0"/>
    <w:rsid w:val="3F0A2B27"/>
    <w:rsid w:val="3F1061F2"/>
    <w:rsid w:val="3FF269A3"/>
    <w:rsid w:val="41144C6D"/>
    <w:rsid w:val="412A1C1A"/>
    <w:rsid w:val="416606A4"/>
    <w:rsid w:val="42195D90"/>
    <w:rsid w:val="4233496A"/>
    <w:rsid w:val="424031B4"/>
    <w:rsid w:val="428F4D97"/>
    <w:rsid w:val="432033BE"/>
    <w:rsid w:val="436040FA"/>
    <w:rsid w:val="43FB1195"/>
    <w:rsid w:val="44103694"/>
    <w:rsid w:val="444F1B53"/>
    <w:rsid w:val="45190A56"/>
    <w:rsid w:val="45950554"/>
    <w:rsid w:val="45AB33AE"/>
    <w:rsid w:val="45BA7E1A"/>
    <w:rsid w:val="45CA0891"/>
    <w:rsid w:val="46696E2A"/>
    <w:rsid w:val="46767799"/>
    <w:rsid w:val="46A768C1"/>
    <w:rsid w:val="46B1432D"/>
    <w:rsid w:val="46C82140"/>
    <w:rsid w:val="47835CCA"/>
    <w:rsid w:val="47B23092"/>
    <w:rsid w:val="47EC23EB"/>
    <w:rsid w:val="47F23A8F"/>
    <w:rsid w:val="482F04E2"/>
    <w:rsid w:val="48894AC7"/>
    <w:rsid w:val="48D30E6C"/>
    <w:rsid w:val="48D60B9D"/>
    <w:rsid w:val="4A0A6CE0"/>
    <w:rsid w:val="4A745010"/>
    <w:rsid w:val="4AB03597"/>
    <w:rsid w:val="4B3C6DDC"/>
    <w:rsid w:val="4BA27F7B"/>
    <w:rsid w:val="4C3419F8"/>
    <w:rsid w:val="4C832FBC"/>
    <w:rsid w:val="4D6E74E2"/>
    <w:rsid w:val="4D9B4A06"/>
    <w:rsid w:val="4E2D35B2"/>
    <w:rsid w:val="4EBD2914"/>
    <w:rsid w:val="4F487B55"/>
    <w:rsid w:val="4FB93955"/>
    <w:rsid w:val="4FE775D6"/>
    <w:rsid w:val="50203B81"/>
    <w:rsid w:val="50550E6A"/>
    <w:rsid w:val="512B716F"/>
    <w:rsid w:val="512D35D3"/>
    <w:rsid w:val="51501CA0"/>
    <w:rsid w:val="51541F2B"/>
    <w:rsid w:val="518A40F8"/>
    <w:rsid w:val="518F5D7E"/>
    <w:rsid w:val="526130AB"/>
    <w:rsid w:val="528A2602"/>
    <w:rsid w:val="534B434D"/>
    <w:rsid w:val="53C953AC"/>
    <w:rsid w:val="542E2CF2"/>
    <w:rsid w:val="54A32188"/>
    <w:rsid w:val="54E65AEA"/>
    <w:rsid w:val="54F2623D"/>
    <w:rsid w:val="550F21D8"/>
    <w:rsid w:val="55C227D4"/>
    <w:rsid w:val="55E3481E"/>
    <w:rsid w:val="55EC6C28"/>
    <w:rsid w:val="55ED5D4E"/>
    <w:rsid w:val="55F90049"/>
    <w:rsid w:val="562C1C22"/>
    <w:rsid w:val="56FF2E93"/>
    <w:rsid w:val="579015AD"/>
    <w:rsid w:val="58032FB6"/>
    <w:rsid w:val="58C566EC"/>
    <w:rsid w:val="594352B9"/>
    <w:rsid w:val="59CD6226"/>
    <w:rsid w:val="5A1A1729"/>
    <w:rsid w:val="5B31622B"/>
    <w:rsid w:val="5B321CD2"/>
    <w:rsid w:val="5C8A2CB5"/>
    <w:rsid w:val="5CA27DA8"/>
    <w:rsid w:val="5CD31049"/>
    <w:rsid w:val="5D535CE6"/>
    <w:rsid w:val="5DF64FF0"/>
    <w:rsid w:val="5E084D23"/>
    <w:rsid w:val="5E7720E9"/>
    <w:rsid w:val="5E80006A"/>
    <w:rsid w:val="5F0B6879"/>
    <w:rsid w:val="5F40071A"/>
    <w:rsid w:val="5F633D3B"/>
    <w:rsid w:val="5F6856A8"/>
    <w:rsid w:val="5FEB47C4"/>
    <w:rsid w:val="61747837"/>
    <w:rsid w:val="61764154"/>
    <w:rsid w:val="619721D7"/>
    <w:rsid w:val="627F664C"/>
    <w:rsid w:val="62970A1B"/>
    <w:rsid w:val="630F0F84"/>
    <w:rsid w:val="63352DDF"/>
    <w:rsid w:val="636D754C"/>
    <w:rsid w:val="63C82F59"/>
    <w:rsid w:val="64202124"/>
    <w:rsid w:val="64A25A86"/>
    <w:rsid w:val="65504BAC"/>
    <w:rsid w:val="65901216"/>
    <w:rsid w:val="65961925"/>
    <w:rsid w:val="65E9543A"/>
    <w:rsid w:val="6698278F"/>
    <w:rsid w:val="675537F1"/>
    <w:rsid w:val="676621DD"/>
    <w:rsid w:val="69004F74"/>
    <w:rsid w:val="69624656"/>
    <w:rsid w:val="69C73CE4"/>
    <w:rsid w:val="6AFD758E"/>
    <w:rsid w:val="6B9B5702"/>
    <w:rsid w:val="6BB9765C"/>
    <w:rsid w:val="6C467142"/>
    <w:rsid w:val="6C8639E2"/>
    <w:rsid w:val="6CA964B9"/>
    <w:rsid w:val="6D277756"/>
    <w:rsid w:val="6DAA1953"/>
    <w:rsid w:val="6E1454E9"/>
    <w:rsid w:val="6EF150E7"/>
    <w:rsid w:val="6F220DD6"/>
    <w:rsid w:val="6F9A3937"/>
    <w:rsid w:val="6FF46EB5"/>
    <w:rsid w:val="6FF7700F"/>
    <w:rsid w:val="703E2CC3"/>
    <w:rsid w:val="706F04D8"/>
    <w:rsid w:val="71211F2C"/>
    <w:rsid w:val="714A6D0C"/>
    <w:rsid w:val="71A17830"/>
    <w:rsid w:val="71CD778A"/>
    <w:rsid w:val="72F03A9F"/>
    <w:rsid w:val="73334198"/>
    <w:rsid w:val="7406514C"/>
    <w:rsid w:val="747B5C09"/>
    <w:rsid w:val="74911482"/>
    <w:rsid w:val="7510616E"/>
    <w:rsid w:val="752009CB"/>
    <w:rsid w:val="752516D6"/>
    <w:rsid w:val="75640639"/>
    <w:rsid w:val="762C6F42"/>
    <w:rsid w:val="76901094"/>
    <w:rsid w:val="77212C85"/>
    <w:rsid w:val="7739300E"/>
    <w:rsid w:val="77604A69"/>
    <w:rsid w:val="776668EA"/>
    <w:rsid w:val="77A94215"/>
    <w:rsid w:val="77F42DAE"/>
    <w:rsid w:val="793B0B95"/>
    <w:rsid w:val="79425135"/>
    <w:rsid w:val="79BB7542"/>
    <w:rsid w:val="79DA536E"/>
    <w:rsid w:val="7AF92A18"/>
    <w:rsid w:val="7B4B3736"/>
    <w:rsid w:val="7B9B52A6"/>
    <w:rsid w:val="7BDC51A4"/>
    <w:rsid w:val="7C964089"/>
    <w:rsid w:val="7CEC5E62"/>
    <w:rsid w:val="7D62500D"/>
    <w:rsid w:val="7E81101A"/>
    <w:rsid w:val="7E8645F2"/>
    <w:rsid w:val="7EC26BD4"/>
    <w:rsid w:val="7ED4682F"/>
    <w:rsid w:val="7EEF71C5"/>
    <w:rsid w:val="7F335F3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sz w:val="28"/>
      <w:szCs w:val="28"/>
    </w:rPr>
  </w:style>
  <w:style w:type="paragraph" w:styleId="8">
    <w:name w:val="Body Text First Indent 2"/>
    <w:basedOn w:val="9"/>
    <w:next w:val="1"/>
    <w:link w:val="43"/>
    <w:qFormat/>
    <w:uiPriority w:val="0"/>
    <w:pPr>
      <w:spacing w:after="120"/>
      <w:ind w:left="420" w:leftChars="200" w:firstLine="420" w:firstLineChars="200"/>
    </w:pPr>
    <w:rPr>
      <w:rFonts w:eastAsia="宋体"/>
      <w:sz w:val="21"/>
      <w:szCs w:val="24"/>
    </w:rPr>
  </w:style>
  <w:style w:type="paragraph" w:styleId="9">
    <w:name w:val="Body Text Indent"/>
    <w:basedOn w:val="1"/>
    <w:next w:val="10"/>
    <w:link w:val="4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0">
    <w:name w:val="envelope return"/>
    <w:basedOn w:val="1"/>
    <w:qFormat/>
    <w:uiPriority w:val="99"/>
    <w:pPr>
      <w:snapToGrid w:val="0"/>
    </w:pPr>
    <w:rPr>
      <w:rFonts w:ascii="Arial" w:hAnsi="Arial"/>
    </w:rPr>
  </w:style>
  <w:style w:type="paragraph" w:styleId="11">
    <w:name w:val="Body Text"/>
    <w:basedOn w:val="1"/>
    <w:next w:val="1"/>
    <w:qFormat/>
    <w:uiPriority w:val="1"/>
    <w:rPr>
      <w:rFonts w:ascii="宋体" w:hAnsi="宋体" w:eastAsia="宋体" w:cs="宋体"/>
      <w:sz w:val="24"/>
      <w:szCs w:val="24"/>
      <w:lang w:val="zh-CN" w:eastAsia="zh-CN" w:bidi="zh-CN"/>
    </w:r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0"/>
    <w:rPr>
      <w:rFonts w:ascii="宋体" w:hAnsi="Courier New" w:eastAsia="宋体" w:cs="Times New Roman"/>
    </w:rPr>
  </w:style>
  <w:style w:type="paragraph" w:styleId="14">
    <w:name w:val="Body Text Indent 2"/>
    <w:basedOn w:val="1"/>
    <w:link w:val="4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5">
    <w:name w:val="footer"/>
    <w:basedOn w:val="1"/>
    <w:link w:val="39"/>
    <w:unhideWhenUsed/>
    <w:qFormat/>
    <w:uiPriority w:val="0"/>
    <w:pPr>
      <w:tabs>
        <w:tab w:val="center" w:pos="4153"/>
        <w:tab w:val="right" w:pos="8306"/>
      </w:tabs>
    </w:pPr>
    <w:rPr>
      <w:sz w:val="18"/>
      <w:szCs w:val="18"/>
    </w:rPr>
  </w:style>
  <w:style w:type="paragraph" w:styleId="16">
    <w:name w:val="header"/>
    <w:basedOn w:val="1"/>
    <w:link w:val="38"/>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semiHidden/>
    <w:unhideWhenUsed/>
    <w:qFormat/>
    <w:uiPriority w:val="39"/>
  </w:style>
  <w:style w:type="paragraph" w:styleId="18">
    <w:name w:val="toc 2"/>
    <w:basedOn w:val="1"/>
    <w:next w:val="1"/>
    <w:semiHidden/>
    <w:unhideWhenUsed/>
    <w:qFormat/>
    <w:uiPriority w:val="39"/>
    <w:pPr>
      <w:ind w:left="420" w:leftChars="200"/>
    </w:pPr>
  </w:style>
  <w:style w:type="paragraph" w:styleId="19">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20">
    <w:name w:val="Body Text First Indent"/>
    <w:basedOn w:val="11"/>
    <w:next w:val="1"/>
    <w:qFormat/>
    <w:uiPriority w:val="0"/>
    <w:pPr>
      <w:spacing w:after="120" w:afterLines="0"/>
      <w:ind w:firstLine="420" w:firstLineChars="100"/>
    </w:pPr>
    <w:rPr>
      <w:rFonts w:ascii="Times New Roman" w:hAnsi="Times New Roman"/>
      <w:kern w:val="0"/>
      <w:sz w:val="32"/>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style>
  <w:style w:type="character" w:styleId="25">
    <w:name w:val="page number"/>
    <w:unhideWhenUsed/>
    <w:qFormat/>
    <w:uiPriority w:val="99"/>
  </w:style>
  <w:style w:type="character" w:styleId="26">
    <w:name w:val="FollowedHyperlink"/>
    <w:basedOn w:val="23"/>
    <w:semiHidden/>
    <w:unhideWhenUsed/>
    <w:qFormat/>
    <w:uiPriority w:val="99"/>
    <w:rPr>
      <w:color w:val="800080"/>
      <w:u w:val="none"/>
    </w:rPr>
  </w:style>
  <w:style w:type="character" w:styleId="27">
    <w:name w:val="Emphasis"/>
    <w:basedOn w:val="23"/>
    <w:qFormat/>
    <w:uiPriority w:val="20"/>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semiHidden/>
    <w:unhideWhenUsed/>
    <w:qFormat/>
    <w:uiPriority w:val="99"/>
    <w:rPr>
      <w:color w:val="0000FF"/>
      <w:u w:val="none"/>
    </w:rPr>
  </w:style>
  <w:style w:type="character" w:styleId="33">
    <w:name w:val="HTML Code"/>
    <w:basedOn w:val="23"/>
    <w:semiHidden/>
    <w:unhideWhenUsed/>
    <w:qFormat/>
    <w:uiPriority w:val="99"/>
    <w:rPr>
      <w:rFonts w:hint="default" w:ascii="monospace" w:hAnsi="monospace" w:eastAsia="monospace" w:cs="monospace"/>
      <w:sz w:val="20"/>
    </w:rPr>
  </w:style>
  <w:style w:type="character" w:styleId="34">
    <w:name w:val="HTML Cite"/>
    <w:basedOn w:val="23"/>
    <w:semiHidden/>
    <w:unhideWhenUsed/>
    <w:qFormat/>
    <w:uiPriority w:val="99"/>
  </w:style>
  <w:style w:type="character" w:styleId="35">
    <w:name w:val="HTML Keyboard"/>
    <w:basedOn w:val="23"/>
    <w:semiHidden/>
    <w:unhideWhenUsed/>
    <w:qFormat/>
    <w:uiPriority w:val="99"/>
    <w:rPr>
      <w:rFonts w:ascii="monospace" w:hAnsi="monospace" w:eastAsia="monospace" w:cs="monospace"/>
      <w:sz w:val="20"/>
    </w:rPr>
  </w:style>
  <w:style w:type="character" w:styleId="36">
    <w:name w:val="HTML Sample"/>
    <w:basedOn w:val="23"/>
    <w:semiHidden/>
    <w:unhideWhenUsed/>
    <w:qFormat/>
    <w:uiPriority w:val="99"/>
    <w:rPr>
      <w:rFonts w:hint="default" w:ascii="monospace" w:hAnsi="monospace" w:eastAsia="monospace" w:cs="monospace"/>
    </w:rPr>
  </w:style>
  <w:style w:type="paragraph" w:customStyle="1" w:styleId="37">
    <w:name w:val="Table Text"/>
    <w:basedOn w:val="1"/>
    <w:semiHidden/>
    <w:qFormat/>
    <w:uiPriority w:val="0"/>
    <w:rPr>
      <w:rFonts w:ascii="宋体" w:hAnsi="宋体" w:eastAsia="宋体" w:cs="宋体"/>
      <w:sz w:val="21"/>
      <w:szCs w:val="21"/>
      <w:lang w:val="en-US" w:eastAsia="en-US" w:bidi="ar-SA"/>
    </w:rPr>
  </w:style>
  <w:style w:type="character" w:customStyle="1" w:styleId="38">
    <w:name w:val="页眉 Char"/>
    <w:basedOn w:val="23"/>
    <w:link w:val="16"/>
    <w:qFormat/>
    <w:uiPriority w:val="0"/>
    <w:rPr>
      <w:rFonts w:ascii="Tahoma" w:hAnsi="Tahoma"/>
      <w:sz w:val="18"/>
      <w:szCs w:val="18"/>
    </w:rPr>
  </w:style>
  <w:style w:type="character" w:customStyle="1" w:styleId="39">
    <w:name w:val="页脚 Char"/>
    <w:basedOn w:val="23"/>
    <w:link w:val="15"/>
    <w:semiHidden/>
    <w:qFormat/>
    <w:uiPriority w:val="99"/>
    <w:rPr>
      <w:rFonts w:ascii="Tahoma" w:hAnsi="Tahoma"/>
      <w:sz w:val="18"/>
      <w:szCs w:val="18"/>
    </w:rPr>
  </w:style>
  <w:style w:type="character" w:customStyle="1" w:styleId="40">
    <w:name w:val="正文文本缩进 2 Char"/>
    <w:basedOn w:val="23"/>
    <w:link w:val="14"/>
    <w:qFormat/>
    <w:uiPriority w:val="99"/>
    <w:rPr>
      <w:rFonts w:ascii="Times New Roman" w:hAnsi="Times New Roman" w:eastAsia="宋体" w:cs="Times New Roman"/>
      <w:kern w:val="2"/>
      <w:sz w:val="21"/>
      <w:szCs w:val="20"/>
    </w:rPr>
  </w:style>
  <w:style w:type="paragraph" w:customStyle="1" w:styleId="4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2">
    <w:name w:val="正文文本缩进 Char"/>
    <w:basedOn w:val="23"/>
    <w:link w:val="9"/>
    <w:qFormat/>
    <w:uiPriority w:val="99"/>
    <w:rPr>
      <w:rFonts w:ascii="Times New Roman" w:hAnsi="Times New Roman" w:eastAsia="仿宋_GB2312" w:cs="Times New Roman"/>
      <w:kern w:val="2"/>
      <w:sz w:val="28"/>
      <w:szCs w:val="20"/>
    </w:rPr>
  </w:style>
  <w:style w:type="character" w:customStyle="1" w:styleId="43">
    <w:name w:val="正文首行缩进 2 Char"/>
    <w:basedOn w:val="42"/>
    <w:link w:val="8"/>
    <w:qFormat/>
    <w:uiPriority w:val="0"/>
    <w:rPr>
      <w:rFonts w:eastAsia="宋体"/>
      <w:sz w:val="21"/>
      <w:szCs w:val="24"/>
    </w:rPr>
  </w:style>
  <w:style w:type="paragraph" w:customStyle="1" w:styleId="4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5">
    <w:name w:val="List Paragraph"/>
    <w:basedOn w:val="1"/>
    <w:qFormat/>
    <w:uiPriority w:val="34"/>
    <w:pPr>
      <w:ind w:firstLine="420" w:firstLineChars="200"/>
    </w:pPr>
  </w:style>
  <w:style w:type="character" w:customStyle="1" w:styleId="46">
    <w:name w:val="font71"/>
    <w:basedOn w:val="23"/>
    <w:qFormat/>
    <w:uiPriority w:val="0"/>
    <w:rPr>
      <w:rFonts w:hint="eastAsia" w:ascii="宋体" w:hAnsi="宋体" w:eastAsia="宋体" w:cs="宋体"/>
      <w:color w:val="000000"/>
      <w:sz w:val="20"/>
      <w:szCs w:val="20"/>
      <w:u w:val="none"/>
    </w:rPr>
  </w:style>
  <w:style w:type="character" w:customStyle="1" w:styleId="47">
    <w:name w:val="font51"/>
    <w:basedOn w:val="23"/>
    <w:qFormat/>
    <w:uiPriority w:val="0"/>
    <w:rPr>
      <w:rFonts w:hint="eastAsia" w:ascii="宋体" w:hAnsi="宋体" w:eastAsia="宋体" w:cs="宋体"/>
      <w:color w:val="000000"/>
      <w:sz w:val="22"/>
      <w:szCs w:val="22"/>
      <w:u w:val="none"/>
    </w:rPr>
  </w:style>
  <w:style w:type="character" w:customStyle="1" w:styleId="48">
    <w:name w:val="font61"/>
    <w:basedOn w:val="23"/>
    <w:qFormat/>
    <w:uiPriority w:val="0"/>
    <w:rPr>
      <w:rFonts w:hint="eastAsia" w:ascii="宋体" w:hAnsi="宋体" w:eastAsia="宋体" w:cs="宋体"/>
      <w:color w:val="000000"/>
      <w:sz w:val="20"/>
      <w:szCs w:val="20"/>
      <w:u w:val="none"/>
    </w:rPr>
  </w:style>
  <w:style w:type="character" w:customStyle="1" w:styleId="49">
    <w:name w:val="font41"/>
    <w:basedOn w:val="23"/>
    <w:qFormat/>
    <w:uiPriority w:val="0"/>
    <w:rPr>
      <w:rFonts w:hint="eastAsia" w:ascii="宋体" w:hAnsi="宋体" w:eastAsia="宋体" w:cs="宋体"/>
      <w:color w:val="000000"/>
      <w:sz w:val="22"/>
      <w:szCs w:val="22"/>
      <w:u w:val="none"/>
    </w:rPr>
  </w:style>
  <w:style w:type="character" w:customStyle="1" w:styleId="50">
    <w:name w:val="font11"/>
    <w:basedOn w:val="23"/>
    <w:qFormat/>
    <w:uiPriority w:val="0"/>
    <w:rPr>
      <w:rFonts w:hint="eastAsia" w:ascii="宋体" w:hAnsi="宋体" w:eastAsia="宋体" w:cs="宋体"/>
      <w:color w:val="000000"/>
      <w:sz w:val="28"/>
      <w:szCs w:val="28"/>
      <w:u w:val="none"/>
    </w:rPr>
  </w:style>
  <w:style w:type="paragraph" w:customStyle="1" w:styleId="51">
    <w:name w:val="p0"/>
    <w:basedOn w:val="1"/>
    <w:qFormat/>
    <w:uiPriority w:val="99"/>
    <w:pPr>
      <w:widowControl/>
    </w:pPr>
    <w:rPr>
      <w:kern w:val="0"/>
    </w:rPr>
  </w:style>
  <w:style w:type="paragraph" w:customStyle="1" w:styleId="52">
    <w:name w:val="Table Paragraph"/>
    <w:basedOn w:val="1"/>
    <w:qFormat/>
    <w:uiPriority w:val="1"/>
    <w:rPr>
      <w:rFonts w:ascii="宋体" w:hAnsi="宋体" w:eastAsia="宋体" w:cs="宋体"/>
      <w:lang w:val="zh-CN" w:eastAsia="zh-CN" w:bidi="zh-CN"/>
    </w:rPr>
  </w:style>
  <w:style w:type="paragraph" w:customStyle="1" w:styleId="53">
    <w:name w:val="列表段落1"/>
    <w:basedOn w:val="1"/>
    <w:qFormat/>
    <w:uiPriority w:val="99"/>
    <w:pPr>
      <w:ind w:firstLine="420" w:firstLineChars="200"/>
    </w:pPr>
  </w:style>
  <w:style w:type="character" w:customStyle="1" w:styleId="54">
    <w:name w:val="style3"/>
    <w:qFormat/>
    <w:uiPriority w:val="0"/>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WPSOffice手动目录 2"/>
    <w:qFormat/>
    <w:uiPriority w:val="0"/>
    <w:pPr>
      <w:ind w:leftChars="200"/>
    </w:pPr>
    <w:rPr>
      <w:rFonts w:ascii="Times New Roman" w:hAnsi="Times New Roman" w:eastAsia="宋体" w:cs="Times New Roman"/>
      <w:sz w:val="20"/>
      <w:szCs w:val="20"/>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28</Pages>
  <Words>8347</Words>
  <Characters>8599</Characters>
  <Lines>87</Lines>
  <Paragraphs>24</Paragraphs>
  <TotalTime>15</TotalTime>
  <ScaleCrop>false</ScaleCrop>
  <LinksUpToDate>false</LinksUpToDate>
  <CharactersWithSpaces>9512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2026-06-02T01:45:59Z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1F0836943D4B49EFA44149A561789FD6</vt:lpwstr>
  </property>
  <property fmtid="{D5CDD505-2E9C-101B-9397-08002B2CF9AE}" pid="4" name="KSOTemplateDocerSaveRecord">
    <vt:lpwstr>eyJoZGlkIjoiNjM1MzMwOTZjNjY4NzMyNDgwZDkyYTEzZTEzNTllZWYiLCJ1c2VySWQiOiI0MzI1NTYyMzEifQ==</vt:lpwstr>
  </property>
</Properties>
</file>