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bCs/>
          <w:sz w:val="44"/>
        </w:rPr>
      </w:pPr>
      <w:r>
        <w:rPr>
          <w:rFonts w:hint="eastAsia"/>
          <w:b/>
          <w:bCs/>
          <w:sz w:val="36"/>
          <w:szCs w:val="36"/>
        </w:rPr>
        <w:t>工程量清单总说明</w:t>
      </w:r>
    </w:p>
    <w:p>
      <w:pPr>
        <w:spacing w:line="540" w:lineRule="exact"/>
        <w:jc w:val="both"/>
        <w:rPr>
          <w:rFonts w:hint="default" w:ascii="宋体" w:hAnsi="宋体" w:eastAsia="宋体" w:cs="宋体"/>
          <w:color w:val="000000"/>
          <w:sz w:val="28"/>
          <w:szCs w:val="28"/>
          <w:lang w:val="en-US" w:eastAsia="zh-CN"/>
        </w:rPr>
      </w:pPr>
      <w:r>
        <w:rPr>
          <w:rFonts w:hint="eastAsia" w:ascii="宋体" w:hAnsi="宋体"/>
          <w:sz w:val="28"/>
        </w:rPr>
        <w:t>工程名称：</w:t>
      </w:r>
      <w:r>
        <w:rPr>
          <w:rFonts w:hint="eastAsia" w:ascii="宋体" w:hAnsi="宋体" w:cs="宋体"/>
          <w:color w:val="000000"/>
          <w:sz w:val="28"/>
          <w:szCs w:val="28"/>
          <w:lang w:eastAsia="zh-CN"/>
        </w:rPr>
        <w:t>界首市田营循环经济教育示范基地6-8层办公室隔断及门前铺装改造</w:t>
      </w:r>
      <w:r>
        <w:rPr>
          <w:rFonts w:hint="eastAsia" w:ascii="宋体" w:hAnsi="宋体" w:cs="宋体"/>
          <w:color w:val="000000"/>
          <w:sz w:val="28"/>
          <w:szCs w:val="28"/>
          <w:lang w:val="en-US" w:eastAsia="zh-CN"/>
        </w:rPr>
        <w:t>项目</w:t>
      </w:r>
    </w:p>
    <w:tbl>
      <w:tblPr>
        <w:tblStyle w:val="14"/>
        <w:tblW w:w="91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32" w:hRule="atLeast"/>
        </w:trPr>
        <w:tc>
          <w:tcPr>
            <w:tcW w:w="9116" w:type="dxa"/>
          </w:tcPr>
          <w:p>
            <w:pPr>
              <w:numPr>
                <w:ilvl w:val="0"/>
                <w:numId w:val="1"/>
              </w:numPr>
              <w:spacing w:line="480" w:lineRule="exact"/>
              <w:ind w:firstLine="562" w:firstLineChars="200"/>
              <w:rPr>
                <w:rFonts w:ascii="宋体" w:hAnsi="宋体"/>
                <w:b/>
                <w:bCs/>
                <w:sz w:val="28"/>
              </w:rPr>
            </w:pPr>
            <w:r>
              <w:rPr>
                <w:rFonts w:hint="eastAsia" w:ascii="宋体" w:hAnsi="宋体"/>
                <w:b/>
                <w:bCs/>
                <w:sz w:val="28"/>
              </w:rPr>
              <w:t>工程概况：</w:t>
            </w:r>
          </w:p>
          <w:p>
            <w:pPr>
              <w:spacing w:line="540" w:lineRule="exact"/>
              <w:ind w:firstLine="560" w:firstLineChars="200"/>
              <w:jc w:val="both"/>
              <w:rPr>
                <w:rFonts w:hint="eastAsia" w:ascii="宋体" w:hAnsi="宋体" w:eastAsia="宋体" w:cs="Times New Roman"/>
                <w:sz w:val="28"/>
              </w:rPr>
            </w:pPr>
            <w:r>
              <w:rPr>
                <w:rFonts w:hint="eastAsia" w:ascii="宋体" w:hAnsi="宋体" w:cs="宋体"/>
                <w:color w:val="000000"/>
                <w:sz w:val="28"/>
                <w:szCs w:val="28"/>
                <w:lang w:eastAsia="zh-CN"/>
              </w:rPr>
              <w:t>界首市田营循环经济教育示范基地6-8层办公室隔断及门前铺装改造</w:t>
            </w:r>
            <w:r>
              <w:rPr>
                <w:rFonts w:hint="eastAsia" w:ascii="宋体" w:hAnsi="宋体" w:cs="宋体"/>
                <w:color w:val="000000"/>
                <w:sz w:val="28"/>
                <w:szCs w:val="28"/>
                <w:lang w:val="en-US" w:eastAsia="zh-CN"/>
              </w:rPr>
              <w:t>项目</w:t>
            </w:r>
            <w:r>
              <w:rPr>
                <w:rFonts w:hint="eastAsia" w:ascii="宋体" w:hAnsi="宋体" w:cs="宋体"/>
                <w:color w:val="000000"/>
                <w:sz w:val="28"/>
                <w:szCs w:val="28"/>
                <w:lang w:eastAsia="zh-CN"/>
              </w:rPr>
              <w:t>，</w:t>
            </w:r>
            <w:r>
              <w:rPr>
                <w:rFonts w:hint="eastAsia" w:ascii="宋体" w:hAnsi="宋体" w:cs="Times New Roman"/>
                <w:sz w:val="28"/>
                <w:lang w:val="en-US" w:eastAsia="zh-CN"/>
              </w:rPr>
              <w:t>包含科技研发中心6-8层部分室内增加玻璃隔断及空调吊顶改造、室外办公出入口铺贴石材及三座门岗室装修改造</w:t>
            </w:r>
            <w:r>
              <w:rPr>
                <w:rFonts w:hint="eastAsia" w:ascii="宋体" w:hAnsi="宋体" w:eastAsia="宋体" w:cs="Times New Roman"/>
                <w:sz w:val="28"/>
                <w:lang w:val="en-US" w:eastAsia="zh-CN"/>
              </w:rPr>
              <w:t>具体内容详见施工图及工程量清单</w:t>
            </w:r>
            <w:r>
              <w:rPr>
                <w:rFonts w:hint="eastAsia" w:ascii="宋体" w:hAnsi="宋体" w:eastAsia="宋体" w:cs="Times New Roman"/>
                <w:sz w:val="28"/>
              </w:rPr>
              <w:t>。</w:t>
            </w:r>
          </w:p>
          <w:p>
            <w:pPr>
              <w:numPr>
                <w:ilvl w:val="0"/>
                <w:numId w:val="0"/>
              </w:numPr>
              <w:spacing w:line="480" w:lineRule="exact"/>
              <w:ind w:firstLine="560" w:firstLineChars="200"/>
              <w:rPr>
                <w:rFonts w:ascii="宋体" w:hAnsi="宋体"/>
                <w:b/>
                <w:bCs/>
                <w:sz w:val="28"/>
              </w:rPr>
            </w:pPr>
            <w:r>
              <w:rPr>
                <w:rFonts w:hint="eastAsia" w:ascii="宋体" w:hAnsi="宋体" w:cs="Times New Roman"/>
                <w:sz w:val="28"/>
                <w:lang w:val="en-US" w:eastAsia="zh-CN"/>
              </w:rPr>
              <w:t>二、</w:t>
            </w:r>
            <w:r>
              <w:rPr>
                <w:rFonts w:hint="eastAsia" w:ascii="宋体" w:hAnsi="宋体"/>
                <w:b/>
                <w:bCs/>
                <w:sz w:val="28"/>
              </w:rPr>
              <w:t>工程招标范围：</w:t>
            </w:r>
          </w:p>
          <w:p>
            <w:pPr>
              <w:spacing w:line="500" w:lineRule="exact"/>
              <w:ind w:firstLine="560" w:firstLineChars="200"/>
              <w:rPr>
                <w:rFonts w:ascii="宋体" w:hAnsi="宋体" w:cs="宋体"/>
                <w:sz w:val="28"/>
                <w:szCs w:val="28"/>
              </w:rPr>
            </w:pPr>
            <w:r>
              <w:rPr>
                <w:rFonts w:hint="eastAsia" w:ascii="宋体" w:hAnsi="宋体"/>
                <w:sz w:val="28"/>
              </w:rPr>
              <w:t>设计图纸范围内的</w:t>
            </w:r>
            <w:r>
              <w:rPr>
                <w:rFonts w:hint="eastAsia" w:ascii="宋体" w:hAnsi="宋体"/>
                <w:sz w:val="28"/>
                <w:lang w:val="en-US" w:eastAsia="zh-CN"/>
              </w:rPr>
              <w:t>装饰</w:t>
            </w:r>
            <w:r>
              <w:rPr>
                <w:rFonts w:hint="eastAsia" w:ascii="宋体" w:hAnsi="宋体"/>
                <w:sz w:val="28"/>
              </w:rPr>
              <w:t>及安装工程，具体详见招标文件、设计图纸及招标工程量清单。</w:t>
            </w:r>
          </w:p>
          <w:p>
            <w:pPr>
              <w:spacing w:line="480" w:lineRule="exact"/>
              <w:ind w:firstLine="560" w:firstLineChars="200"/>
              <w:rPr>
                <w:rFonts w:ascii="宋体" w:hAnsi="宋体"/>
                <w:sz w:val="28"/>
              </w:rPr>
            </w:pPr>
            <w:r>
              <w:rPr>
                <w:rFonts w:hint="eastAsia" w:ascii="宋体" w:hAnsi="宋体"/>
                <w:sz w:val="28"/>
              </w:rPr>
              <w:t>三</w:t>
            </w:r>
            <w:r>
              <w:rPr>
                <w:rFonts w:hint="eastAsia" w:ascii="宋体" w:hAnsi="宋体"/>
                <w:b/>
                <w:bCs/>
                <w:sz w:val="28"/>
              </w:rPr>
              <w:t>、工程量清单编制依据</w:t>
            </w:r>
          </w:p>
          <w:p>
            <w:pPr>
              <w:spacing w:line="540" w:lineRule="exact"/>
              <w:ind w:firstLine="560" w:firstLineChars="200"/>
              <w:jc w:val="both"/>
              <w:rPr>
                <w:rFonts w:hint="eastAsia" w:ascii="宋体" w:hAnsi="宋体" w:cs="宋体"/>
                <w:sz w:val="28"/>
                <w:szCs w:val="28"/>
              </w:rPr>
            </w:pPr>
            <w:r>
              <w:rPr>
                <w:rFonts w:hint="eastAsia" w:ascii="宋体" w:hAnsi="宋体"/>
                <w:sz w:val="28"/>
              </w:rPr>
              <w:t>1、</w:t>
            </w:r>
            <w:r>
              <w:rPr>
                <w:rFonts w:hint="eastAsia" w:ascii="宋体" w:hAnsi="宋体" w:cs="宋体"/>
                <w:color w:val="000000"/>
                <w:sz w:val="28"/>
                <w:szCs w:val="28"/>
                <w:lang w:eastAsia="zh-CN"/>
              </w:rPr>
              <w:t>界首市田营循环经济教育示范基地6-8层办公室隔断及门前铺装改造</w:t>
            </w:r>
            <w:r>
              <w:rPr>
                <w:rFonts w:hint="eastAsia" w:ascii="宋体" w:hAnsi="宋体" w:cs="宋体"/>
                <w:color w:val="000000"/>
                <w:sz w:val="28"/>
                <w:szCs w:val="28"/>
                <w:lang w:val="en-US" w:eastAsia="zh-CN"/>
              </w:rPr>
              <w:t>项目</w:t>
            </w:r>
            <w:r>
              <w:rPr>
                <w:rFonts w:hint="eastAsia" w:ascii="宋体" w:hAnsi="宋体" w:cs="宋体"/>
                <w:sz w:val="28"/>
                <w:szCs w:val="28"/>
              </w:rPr>
              <w:t>招标文件；</w:t>
            </w:r>
          </w:p>
          <w:p>
            <w:pPr>
              <w:spacing w:line="540" w:lineRule="exact"/>
              <w:ind w:firstLine="560" w:firstLineChars="200"/>
              <w:jc w:val="both"/>
              <w:rPr>
                <w:sz w:val="28"/>
              </w:rPr>
            </w:pPr>
            <w:r>
              <w:rPr>
                <w:rFonts w:hint="eastAsia"/>
                <w:sz w:val="28"/>
              </w:rPr>
              <w:t>2、</w:t>
            </w:r>
            <w:r>
              <w:rPr>
                <w:rFonts w:hint="eastAsia" w:ascii="宋体" w:hAnsi="宋体" w:cs="宋体"/>
                <w:color w:val="000000"/>
                <w:sz w:val="28"/>
                <w:szCs w:val="28"/>
                <w:lang w:eastAsia="zh-CN"/>
              </w:rPr>
              <w:t>界首市田营循环经济教育示范基地6-8层办公室隔断及门前铺装改造</w:t>
            </w:r>
            <w:r>
              <w:rPr>
                <w:rFonts w:hint="eastAsia" w:ascii="宋体" w:hAnsi="宋体" w:cs="宋体"/>
                <w:color w:val="000000"/>
                <w:sz w:val="28"/>
                <w:szCs w:val="28"/>
                <w:lang w:val="en-US" w:eastAsia="zh-CN"/>
              </w:rPr>
              <w:t>项目</w:t>
            </w:r>
            <w:r>
              <w:rPr>
                <w:rFonts w:hint="eastAsia" w:ascii="宋体" w:hAnsi="宋体" w:cs="宋体"/>
                <w:sz w:val="28"/>
                <w:szCs w:val="28"/>
              </w:rPr>
              <w:t>施工图设计文件；</w:t>
            </w:r>
          </w:p>
          <w:p>
            <w:pPr>
              <w:spacing w:line="480" w:lineRule="exact"/>
              <w:ind w:firstLine="560" w:firstLineChars="200"/>
              <w:rPr>
                <w:sz w:val="28"/>
              </w:rPr>
            </w:pPr>
            <w:r>
              <w:rPr>
                <w:rFonts w:hint="eastAsia"/>
                <w:sz w:val="28"/>
                <w:lang w:val="en-US" w:eastAsia="zh-CN"/>
              </w:rPr>
              <w:t>3</w:t>
            </w:r>
            <w:r>
              <w:rPr>
                <w:rFonts w:hint="eastAsia"/>
                <w:sz w:val="28"/>
              </w:rPr>
              <w:t>、2018版安徽省建设工程计价依据（含修编版）及其部分修编内容。</w:t>
            </w:r>
          </w:p>
          <w:p>
            <w:pPr>
              <w:spacing w:line="480" w:lineRule="exact"/>
              <w:ind w:firstLine="560" w:firstLineChars="200"/>
              <w:rPr>
                <w:sz w:val="28"/>
              </w:rPr>
            </w:pPr>
            <w:r>
              <w:rPr>
                <w:rFonts w:hint="eastAsia"/>
                <w:sz w:val="28"/>
                <w:lang w:val="en-US" w:eastAsia="zh-CN"/>
              </w:rPr>
              <w:t>4</w:t>
            </w:r>
            <w:r>
              <w:rPr>
                <w:rFonts w:hint="eastAsia"/>
                <w:sz w:val="28"/>
              </w:rPr>
              <w:t>、《安徽省建筑工程计价定额》、《安徽省装饰装修工程计价定额》、《安徽省市政工程计价定额》、《安徽省园林绿化工程计价定额》；</w:t>
            </w:r>
          </w:p>
          <w:p>
            <w:pPr>
              <w:spacing w:line="480" w:lineRule="exact"/>
              <w:ind w:firstLine="560" w:firstLineChars="200"/>
              <w:rPr>
                <w:sz w:val="28"/>
              </w:rPr>
            </w:pPr>
            <w:r>
              <w:rPr>
                <w:rFonts w:hint="eastAsia"/>
                <w:sz w:val="28"/>
                <w:lang w:val="en-US" w:eastAsia="zh-CN"/>
              </w:rPr>
              <w:t>5</w:t>
            </w:r>
            <w:r>
              <w:rPr>
                <w:rFonts w:hint="eastAsia"/>
                <w:sz w:val="28"/>
              </w:rPr>
              <w:t>、《关于调整安徽省建设工程不可竞争费构成及计费标准的通知》（建标【</w:t>
            </w:r>
            <w:r>
              <w:rPr>
                <w:sz w:val="28"/>
              </w:rPr>
              <w:t>2021</w:t>
            </w:r>
            <w:r>
              <w:rPr>
                <w:rFonts w:hint="eastAsia"/>
                <w:sz w:val="28"/>
              </w:rPr>
              <w:t>】42号）。</w:t>
            </w:r>
          </w:p>
          <w:p>
            <w:pPr>
              <w:spacing w:line="480" w:lineRule="exact"/>
              <w:ind w:firstLine="560" w:firstLineChars="200"/>
              <w:rPr>
                <w:rFonts w:ascii="宋体" w:hAnsi="宋体"/>
                <w:sz w:val="28"/>
              </w:rPr>
            </w:pPr>
            <w:r>
              <w:rPr>
                <w:rFonts w:hint="eastAsia" w:ascii="宋体" w:hAnsi="宋体"/>
                <w:sz w:val="28"/>
              </w:rPr>
              <w:t>四、</w:t>
            </w:r>
            <w:r>
              <w:rPr>
                <w:rFonts w:hint="eastAsia" w:ascii="宋体" w:hAnsi="宋体"/>
                <w:b/>
                <w:bCs/>
                <w:sz w:val="28"/>
              </w:rPr>
              <w:t>工程量清单编制及报价要求</w:t>
            </w:r>
          </w:p>
          <w:p>
            <w:pPr>
              <w:spacing w:line="480" w:lineRule="exact"/>
              <w:ind w:firstLine="560" w:firstLineChars="200"/>
              <w:rPr>
                <w:rFonts w:ascii="宋体" w:hAnsi="宋体"/>
                <w:sz w:val="28"/>
              </w:rPr>
            </w:pPr>
            <w:r>
              <w:rPr>
                <w:rFonts w:hint="eastAsia" w:ascii="宋体" w:hAnsi="宋体"/>
                <w:sz w:val="28"/>
              </w:rPr>
              <w:t>1、工程量清单列出的每个细目已包含涉及到与该细目有关的全部工程内容，投标人应将工程量清单与投标人须知、合同通用条款、专用条款以及技术规范和图纸一起对照阅读。</w:t>
            </w:r>
          </w:p>
          <w:p>
            <w:pPr>
              <w:spacing w:line="480" w:lineRule="exact"/>
              <w:ind w:firstLine="560" w:firstLineChars="200"/>
              <w:rPr>
                <w:rFonts w:ascii="宋体" w:hAnsi="宋体"/>
                <w:sz w:val="28"/>
              </w:rPr>
            </w:pPr>
            <w:r>
              <w:rPr>
                <w:rFonts w:hint="eastAsia" w:ascii="宋体" w:hAnsi="宋体"/>
                <w:sz w:val="28"/>
              </w:rPr>
              <w:t>2、除非合同另有规定，分部分项工程量清单中每一项综合单价均已包括完成一个规定计量单位项目所需的人工费、材料费、机械费和综合费。</w:t>
            </w:r>
          </w:p>
          <w:p>
            <w:pPr>
              <w:spacing w:line="480" w:lineRule="exact"/>
              <w:ind w:firstLine="560" w:firstLineChars="200"/>
              <w:rPr>
                <w:rFonts w:ascii="宋体" w:hAnsi="宋体"/>
                <w:sz w:val="28"/>
              </w:rPr>
            </w:pPr>
            <w:r>
              <w:rPr>
                <w:rFonts w:hint="eastAsia" w:ascii="宋体" w:hAnsi="宋体"/>
                <w:sz w:val="28"/>
              </w:rPr>
              <w:t>3、本工程量清单依据</w:t>
            </w:r>
            <w:r>
              <w:rPr>
                <w:sz w:val="28"/>
              </w:rPr>
              <w:t>2018</w:t>
            </w:r>
            <w:r>
              <w:rPr>
                <w:rFonts w:hint="eastAsia"/>
                <w:sz w:val="28"/>
              </w:rPr>
              <w:t>版安徽省建设工程计价依据（含修编版）及其部分修编内容、《安徽省装配式建筑工程计价定额》、《安徽省房屋修缮工程计价定额》规定</w:t>
            </w:r>
            <w:r>
              <w:rPr>
                <w:rFonts w:hint="eastAsia" w:ascii="宋体" w:hAnsi="宋体"/>
                <w:sz w:val="28"/>
              </w:rPr>
              <w:t>的编码列项；项目特征只描述</w:t>
            </w:r>
            <w:r>
              <w:rPr>
                <w:rFonts w:hint="eastAsia" w:ascii="宋体" w:hAnsi="宋体"/>
                <w:bCs/>
                <w:sz w:val="28"/>
              </w:rPr>
              <w:t>主要、关键特征</w:t>
            </w:r>
            <w:r>
              <w:rPr>
                <w:rFonts w:hint="eastAsia" w:ascii="宋体" w:hAnsi="宋体"/>
                <w:sz w:val="28"/>
              </w:rPr>
              <w:t>，未描述或不完整之处，详见图纸、施工规范及相关说明要求。投标人必须注意，投标报价中的综合单价须包含完成分部分项工程的所有内容（含所需采取的技术措施、施工方案等费用）的报价。</w:t>
            </w:r>
          </w:p>
          <w:p>
            <w:pPr>
              <w:spacing w:line="480" w:lineRule="exact"/>
              <w:ind w:firstLine="560" w:firstLineChars="200"/>
              <w:rPr>
                <w:rFonts w:ascii="宋体" w:hAnsi="宋体"/>
                <w:sz w:val="28"/>
              </w:rPr>
            </w:pPr>
            <w:r>
              <w:rPr>
                <w:rFonts w:hint="eastAsia" w:ascii="宋体" w:hAnsi="宋体"/>
                <w:sz w:val="28"/>
              </w:rPr>
              <w:t>4、投标人须认真阅读与项目有关的招标文件、设计图纸、地勘报告等，并通过现场勘查，考虑周边环境及施工期间可能出现的事宜，确定其各项可能产生的费用，且已包含在投标报价中，工程结算时不再调整该部分的费用。</w:t>
            </w:r>
          </w:p>
          <w:p>
            <w:pPr>
              <w:spacing w:line="480" w:lineRule="exact"/>
              <w:ind w:firstLine="560" w:firstLineChars="200"/>
              <w:rPr>
                <w:rFonts w:ascii="宋体" w:hAnsi="宋体"/>
                <w:sz w:val="28"/>
              </w:rPr>
            </w:pPr>
            <w:r>
              <w:rPr>
                <w:rFonts w:hint="eastAsia" w:ascii="宋体" w:hAnsi="宋体"/>
                <w:sz w:val="28"/>
              </w:rPr>
              <w:t>5、措施项目费指为完成建设工程施工，发生于该工程施工前和施工过程中的技术、生活等方面的费用。本项目工程量清单中未列明的其他措施项目费，投标人可根据各专业特点、地区和工程特点，考虑所需要的措施费用。</w:t>
            </w:r>
          </w:p>
          <w:p>
            <w:pPr>
              <w:spacing w:line="480" w:lineRule="exact"/>
              <w:ind w:firstLine="562" w:firstLineChars="200"/>
              <w:rPr>
                <w:rFonts w:hint="eastAsia" w:ascii="宋体" w:hAnsi="宋体"/>
                <w:sz w:val="28"/>
              </w:rPr>
            </w:pPr>
            <w:r>
              <w:rPr>
                <w:rFonts w:hint="eastAsia" w:ascii="宋体" w:hAnsi="宋体"/>
                <w:b/>
                <w:bCs/>
                <w:sz w:val="28"/>
              </w:rPr>
              <w:t>五、其他需要说明的问题：</w:t>
            </w:r>
            <w:r>
              <w:rPr>
                <w:rFonts w:hint="eastAsia" w:ascii="宋体" w:hAnsi="宋体"/>
                <w:sz w:val="28"/>
              </w:rPr>
              <w:t xml:space="preserve"> </w:t>
            </w:r>
          </w:p>
          <w:p>
            <w:pPr>
              <w:spacing w:line="480" w:lineRule="exact"/>
              <w:ind w:firstLine="560" w:firstLineChars="200"/>
              <w:rPr>
                <w:rFonts w:ascii="宋体" w:hAnsi="宋体"/>
                <w:sz w:val="28"/>
              </w:rPr>
            </w:pPr>
            <w:r>
              <w:rPr>
                <w:rFonts w:hint="eastAsia" w:ascii="宋体" w:hAnsi="宋体"/>
                <w:sz w:val="28"/>
                <w:lang w:val="en-US" w:eastAsia="zh-CN"/>
              </w:rPr>
              <w:t>1、</w:t>
            </w:r>
            <w:r>
              <w:rPr>
                <w:rFonts w:hint="eastAsia" w:ascii="宋体" w:hAnsi="宋体"/>
                <w:sz w:val="28"/>
              </w:rPr>
              <w:t>工程量清单及其计价格式中所有要求签字、盖章的地方，必须由规定的单位和人员签字、盖章。</w:t>
            </w:r>
          </w:p>
          <w:p>
            <w:pPr>
              <w:spacing w:line="480" w:lineRule="exact"/>
              <w:ind w:firstLine="560" w:firstLineChars="200"/>
              <w:rPr>
                <w:rFonts w:ascii="宋体" w:hAnsi="宋体"/>
                <w:sz w:val="28"/>
              </w:rPr>
            </w:pPr>
            <w:r>
              <w:rPr>
                <w:rFonts w:hint="eastAsia" w:ascii="宋体" w:hAnsi="宋体"/>
                <w:sz w:val="28"/>
                <w:lang w:val="en-US" w:eastAsia="zh-CN"/>
              </w:rPr>
              <w:t>2</w:t>
            </w:r>
            <w:r>
              <w:rPr>
                <w:rFonts w:hint="eastAsia" w:ascii="宋体" w:hAnsi="宋体"/>
                <w:sz w:val="28"/>
              </w:rPr>
              <w:t>、工程量清单及其计价格式中的任何内容不得随意删除或涂改。</w:t>
            </w:r>
          </w:p>
          <w:p>
            <w:pPr>
              <w:spacing w:line="480" w:lineRule="exact"/>
              <w:ind w:firstLine="560" w:firstLineChars="200"/>
              <w:rPr>
                <w:rFonts w:hint="eastAsia" w:ascii="宋体" w:hAnsi="宋体"/>
                <w:sz w:val="28"/>
              </w:rPr>
            </w:pPr>
            <w:r>
              <w:rPr>
                <w:rFonts w:hint="eastAsia" w:ascii="宋体" w:hAnsi="宋体"/>
                <w:sz w:val="28"/>
                <w:lang w:val="en-US" w:eastAsia="zh-CN"/>
              </w:rPr>
              <w:t>3</w:t>
            </w:r>
            <w:r>
              <w:rPr>
                <w:rFonts w:hint="eastAsia" w:ascii="宋体" w:hAnsi="宋体"/>
                <w:sz w:val="28"/>
              </w:rPr>
              <w:t>、金额（价格）均应以</w:t>
            </w:r>
            <w:r>
              <w:rPr>
                <w:rFonts w:hint="eastAsia" w:ascii="宋体" w:hAnsi="宋体"/>
                <w:b/>
                <w:bCs/>
                <w:sz w:val="28"/>
              </w:rPr>
              <w:t xml:space="preserve"> </w:t>
            </w:r>
            <w:r>
              <w:rPr>
                <w:rFonts w:hint="eastAsia" w:ascii="宋体" w:hAnsi="宋体"/>
                <w:sz w:val="28"/>
                <w:u w:val="single"/>
              </w:rPr>
              <w:t>人民币</w:t>
            </w:r>
            <w:r>
              <w:rPr>
                <w:rFonts w:hint="eastAsia" w:ascii="宋体" w:hAnsi="宋体"/>
                <w:sz w:val="28"/>
              </w:rPr>
              <w:t xml:space="preserve"> 表示。</w:t>
            </w:r>
          </w:p>
          <w:p>
            <w:pPr>
              <w:spacing w:line="480" w:lineRule="exact"/>
              <w:ind w:firstLine="560" w:firstLineChars="200"/>
              <w:rPr>
                <w:rFonts w:hint="default" w:ascii="宋体" w:hAnsi="宋体" w:eastAsia="宋体"/>
                <w:sz w:val="28"/>
                <w:lang w:val="en-US" w:eastAsia="zh-CN"/>
              </w:rPr>
            </w:pPr>
            <w:bookmarkStart w:id="0" w:name="_GoBack"/>
            <w:bookmarkEnd w:id="0"/>
          </w:p>
        </w:tc>
      </w:tr>
    </w:tbl>
    <w:p>
      <w:pPr>
        <w:spacing w:line="400" w:lineRule="exact"/>
        <w:rPr>
          <w:rFonts w:ascii="宋体" w:hAnsi="宋体"/>
          <w:bCs/>
          <w:sz w:val="24"/>
        </w:rPr>
      </w:pPr>
    </w:p>
    <w:p>
      <w:pPr>
        <w:jc w:val="left"/>
        <w:rPr>
          <w:sz w:val="28"/>
        </w:rPr>
      </w:pPr>
    </w:p>
    <w:sectPr>
      <w:headerReference r:id="rId3" w:type="default"/>
      <w:footerReference r:id="rId5" w:type="default"/>
      <w:headerReference r:id="rId4" w:type="even"/>
      <w:pgSz w:w="11906" w:h="16838"/>
      <w:pgMar w:top="1871" w:right="1503" w:bottom="1871" w:left="1503"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right"/>
    </w:pPr>
    <w:r>
      <w:fldChar w:fldCharType="begin"/>
    </w:r>
    <w:r>
      <w:instrText xml:space="preserve"> PAGE   \* MERGEFORMAT </w:instrText>
    </w:r>
    <w:r>
      <w:fldChar w:fldCharType="separate"/>
    </w:r>
    <w:r>
      <w:rPr>
        <w:lang w:val="zh-CN"/>
      </w:rPr>
      <w:t>4</w:t>
    </w:r>
    <w: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7CE1A4A"/>
    <w:multiLevelType w:val="singleLevel"/>
    <w:tmpl w:val="67CE1A4A"/>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A4MzFhNzk1NzY2NjExMTQ5NzFhZDJjMGY2YWZmOTcifQ=="/>
  </w:docVars>
  <w:rsids>
    <w:rsidRoot w:val="00172A27"/>
    <w:rsid w:val="00002FFC"/>
    <w:rsid w:val="00015B46"/>
    <w:rsid w:val="00032486"/>
    <w:rsid w:val="00055868"/>
    <w:rsid w:val="000A4DBE"/>
    <w:rsid w:val="000A60B1"/>
    <w:rsid w:val="000C6DB0"/>
    <w:rsid w:val="000D033E"/>
    <w:rsid w:val="000D195F"/>
    <w:rsid w:val="000E0D64"/>
    <w:rsid w:val="00104F64"/>
    <w:rsid w:val="0010736E"/>
    <w:rsid w:val="00111C61"/>
    <w:rsid w:val="00130A0E"/>
    <w:rsid w:val="00131DC4"/>
    <w:rsid w:val="0014006B"/>
    <w:rsid w:val="0015316A"/>
    <w:rsid w:val="0015661B"/>
    <w:rsid w:val="0017173B"/>
    <w:rsid w:val="00172A27"/>
    <w:rsid w:val="00183435"/>
    <w:rsid w:val="001A0624"/>
    <w:rsid w:val="001B7910"/>
    <w:rsid w:val="001E65AB"/>
    <w:rsid w:val="001E7B42"/>
    <w:rsid w:val="00202C77"/>
    <w:rsid w:val="00203B28"/>
    <w:rsid w:val="002059E0"/>
    <w:rsid w:val="00221D62"/>
    <w:rsid w:val="00225E04"/>
    <w:rsid w:val="00234C64"/>
    <w:rsid w:val="00240820"/>
    <w:rsid w:val="00262403"/>
    <w:rsid w:val="00281A19"/>
    <w:rsid w:val="00282DCE"/>
    <w:rsid w:val="002956D4"/>
    <w:rsid w:val="002B7661"/>
    <w:rsid w:val="002C3E74"/>
    <w:rsid w:val="002D16BB"/>
    <w:rsid w:val="002D1992"/>
    <w:rsid w:val="002D6FEA"/>
    <w:rsid w:val="002F14C9"/>
    <w:rsid w:val="003010AC"/>
    <w:rsid w:val="003018FB"/>
    <w:rsid w:val="00304A72"/>
    <w:rsid w:val="00316ED0"/>
    <w:rsid w:val="003171A1"/>
    <w:rsid w:val="0031783B"/>
    <w:rsid w:val="00326CDB"/>
    <w:rsid w:val="0034212C"/>
    <w:rsid w:val="00342B09"/>
    <w:rsid w:val="00345465"/>
    <w:rsid w:val="00372E66"/>
    <w:rsid w:val="00377588"/>
    <w:rsid w:val="00383624"/>
    <w:rsid w:val="003965FE"/>
    <w:rsid w:val="003A2634"/>
    <w:rsid w:val="003A3BAB"/>
    <w:rsid w:val="003A3C83"/>
    <w:rsid w:val="003A6448"/>
    <w:rsid w:val="003C4D18"/>
    <w:rsid w:val="003C6F31"/>
    <w:rsid w:val="003E418D"/>
    <w:rsid w:val="003F2FD6"/>
    <w:rsid w:val="00410D4D"/>
    <w:rsid w:val="0041140D"/>
    <w:rsid w:val="00423948"/>
    <w:rsid w:val="00444C95"/>
    <w:rsid w:val="004532E6"/>
    <w:rsid w:val="004536A5"/>
    <w:rsid w:val="004643B6"/>
    <w:rsid w:val="0048726E"/>
    <w:rsid w:val="004A202F"/>
    <w:rsid w:val="004B23C6"/>
    <w:rsid w:val="004C0F84"/>
    <w:rsid w:val="004C1477"/>
    <w:rsid w:val="004C4A89"/>
    <w:rsid w:val="004C72A9"/>
    <w:rsid w:val="004D25B4"/>
    <w:rsid w:val="004F766B"/>
    <w:rsid w:val="00506394"/>
    <w:rsid w:val="00516981"/>
    <w:rsid w:val="0052364A"/>
    <w:rsid w:val="005238D9"/>
    <w:rsid w:val="00551C51"/>
    <w:rsid w:val="00562124"/>
    <w:rsid w:val="005761AE"/>
    <w:rsid w:val="005900E3"/>
    <w:rsid w:val="005945C8"/>
    <w:rsid w:val="005974D3"/>
    <w:rsid w:val="005B0658"/>
    <w:rsid w:val="005B1206"/>
    <w:rsid w:val="005B69C7"/>
    <w:rsid w:val="005D706E"/>
    <w:rsid w:val="005E1D76"/>
    <w:rsid w:val="005E2608"/>
    <w:rsid w:val="005E3C8D"/>
    <w:rsid w:val="005E724A"/>
    <w:rsid w:val="005F1657"/>
    <w:rsid w:val="006150BA"/>
    <w:rsid w:val="0061741B"/>
    <w:rsid w:val="00623601"/>
    <w:rsid w:val="0062371E"/>
    <w:rsid w:val="00624BB2"/>
    <w:rsid w:val="006351E6"/>
    <w:rsid w:val="0064395C"/>
    <w:rsid w:val="00664DB2"/>
    <w:rsid w:val="00693B58"/>
    <w:rsid w:val="006C2DF2"/>
    <w:rsid w:val="006D516C"/>
    <w:rsid w:val="00712885"/>
    <w:rsid w:val="00712D82"/>
    <w:rsid w:val="00715F40"/>
    <w:rsid w:val="00722DFB"/>
    <w:rsid w:val="00724B56"/>
    <w:rsid w:val="00725EC7"/>
    <w:rsid w:val="00736FE0"/>
    <w:rsid w:val="007400DA"/>
    <w:rsid w:val="00743BC9"/>
    <w:rsid w:val="00756242"/>
    <w:rsid w:val="00764050"/>
    <w:rsid w:val="0078083D"/>
    <w:rsid w:val="00784FD9"/>
    <w:rsid w:val="00790F00"/>
    <w:rsid w:val="007925EB"/>
    <w:rsid w:val="007A7183"/>
    <w:rsid w:val="007B7FA7"/>
    <w:rsid w:val="007C7B61"/>
    <w:rsid w:val="007E04A6"/>
    <w:rsid w:val="007F49E4"/>
    <w:rsid w:val="00806D0C"/>
    <w:rsid w:val="0081557C"/>
    <w:rsid w:val="0081789D"/>
    <w:rsid w:val="008476AA"/>
    <w:rsid w:val="008501ED"/>
    <w:rsid w:val="008708EC"/>
    <w:rsid w:val="008711D2"/>
    <w:rsid w:val="008735F3"/>
    <w:rsid w:val="008775FA"/>
    <w:rsid w:val="00877DB3"/>
    <w:rsid w:val="00880AC7"/>
    <w:rsid w:val="00880B28"/>
    <w:rsid w:val="00883C65"/>
    <w:rsid w:val="00895701"/>
    <w:rsid w:val="008A779F"/>
    <w:rsid w:val="008B423D"/>
    <w:rsid w:val="008D3D9E"/>
    <w:rsid w:val="008E50ED"/>
    <w:rsid w:val="008F1D53"/>
    <w:rsid w:val="009019C5"/>
    <w:rsid w:val="00907A73"/>
    <w:rsid w:val="00907DA1"/>
    <w:rsid w:val="00922450"/>
    <w:rsid w:val="0093763A"/>
    <w:rsid w:val="00940C18"/>
    <w:rsid w:val="0096048C"/>
    <w:rsid w:val="009718A6"/>
    <w:rsid w:val="0097393F"/>
    <w:rsid w:val="009831F6"/>
    <w:rsid w:val="009A034F"/>
    <w:rsid w:val="009B0F6F"/>
    <w:rsid w:val="009C1A09"/>
    <w:rsid w:val="009D0EC6"/>
    <w:rsid w:val="009E4E6C"/>
    <w:rsid w:val="009F2E60"/>
    <w:rsid w:val="00A147C5"/>
    <w:rsid w:val="00A24D7E"/>
    <w:rsid w:val="00A3580E"/>
    <w:rsid w:val="00A46D8C"/>
    <w:rsid w:val="00A679B2"/>
    <w:rsid w:val="00A72015"/>
    <w:rsid w:val="00A747F1"/>
    <w:rsid w:val="00AA0FE0"/>
    <w:rsid w:val="00AC6E47"/>
    <w:rsid w:val="00AE0B73"/>
    <w:rsid w:val="00AE65D6"/>
    <w:rsid w:val="00B17FB1"/>
    <w:rsid w:val="00B2408E"/>
    <w:rsid w:val="00B33CA2"/>
    <w:rsid w:val="00B35C80"/>
    <w:rsid w:val="00B37023"/>
    <w:rsid w:val="00B40064"/>
    <w:rsid w:val="00B53F7E"/>
    <w:rsid w:val="00B57514"/>
    <w:rsid w:val="00B77720"/>
    <w:rsid w:val="00B835D6"/>
    <w:rsid w:val="00BB3C11"/>
    <w:rsid w:val="00BB5A3A"/>
    <w:rsid w:val="00BB77BF"/>
    <w:rsid w:val="00BD42FC"/>
    <w:rsid w:val="00BD6838"/>
    <w:rsid w:val="00BE4BD9"/>
    <w:rsid w:val="00BF189D"/>
    <w:rsid w:val="00C026FD"/>
    <w:rsid w:val="00C02B91"/>
    <w:rsid w:val="00C0487C"/>
    <w:rsid w:val="00C059BA"/>
    <w:rsid w:val="00C3038D"/>
    <w:rsid w:val="00C37FE9"/>
    <w:rsid w:val="00C41341"/>
    <w:rsid w:val="00C457B0"/>
    <w:rsid w:val="00C508EF"/>
    <w:rsid w:val="00C515D3"/>
    <w:rsid w:val="00C552CC"/>
    <w:rsid w:val="00C65AE2"/>
    <w:rsid w:val="00C77FE8"/>
    <w:rsid w:val="00C9107C"/>
    <w:rsid w:val="00C9685C"/>
    <w:rsid w:val="00CB54AE"/>
    <w:rsid w:val="00CC3368"/>
    <w:rsid w:val="00CD297F"/>
    <w:rsid w:val="00CE4E0F"/>
    <w:rsid w:val="00CF1F60"/>
    <w:rsid w:val="00CF2A72"/>
    <w:rsid w:val="00D139C5"/>
    <w:rsid w:val="00D163CF"/>
    <w:rsid w:val="00D36C19"/>
    <w:rsid w:val="00D46C1E"/>
    <w:rsid w:val="00D66E35"/>
    <w:rsid w:val="00D80904"/>
    <w:rsid w:val="00DA1699"/>
    <w:rsid w:val="00DA2D17"/>
    <w:rsid w:val="00DB4C03"/>
    <w:rsid w:val="00DD2F60"/>
    <w:rsid w:val="00DE7105"/>
    <w:rsid w:val="00DF29BA"/>
    <w:rsid w:val="00E0218E"/>
    <w:rsid w:val="00E059D3"/>
    <w:rsid w:val="00E1602F"/>
    <w:rsid w:val="00E1624D"/>
    <w:rsid w:val="00E26AC6"/>
    <w:rsid w:val="00E30068"/>
    <w:rsid w:val="00E35FF6"/>
    <w:rsid w:val="00E455C3"/>
    <w:rsid w:val="00E47EB1"/>
    <w:rsid w:val="00E539AC"/>
    <w:rsid w:val="00E63369"/>
    <w:rsid w:val="00E717B9"/>
    <w:rsid w:val="00E77C46"/>
    <w:rsid w:val="00EA0507"/>
    <w:rsid w:val="00EB38A3"/>
    <w:rsid w:val="00EB7D44"/>
    <w:rsid w:val="00EC13F9"/>
    <w:rsid w:val="00EC3D1E"/>
    <w:rsid w:val="00ED0040"/>
    <w:rsid w:val="00ED2E8C"/>
    <w:rsid w:val="00F0256B"/>
    <w:rsid w:val="00F200BA"/>
    <w:rsid w:val="00F44DB6"/>
    <w:rsid w:val="00F45229"/>
    <w:rsid w:val="00F45638"/>
    <w:rsid w:val="00F627BD"/>
    <w:rsid w:val="00F65C80"/>
    <w:rsid w:val="00F72B95"/>
    <w:rsid w:val="00F855EF"/>
    <w:rsid w:val="00F91A1F"/>
    <w:rsid w:val="00F97042"/>
    <w:rsid w:val="00FA0A3A"/>
    <w:rsid w:val="00FB1E2D"/>
    <w:rsid w:val="00FB3AFD"/>
    <w:rsid w:val="00FF207B"/>
    <w:rsid w:val="0E2742F3"/>
    <w:rsid w:val="108E2460"/>
    <w:rsid w:val="166574B6"/>
    <w:rsid w:val="1CB00A6E"/>
    <w:rsid w:val="29425E28"/>
    <w:rsid w:val="2A1272AB"/>
    <w:rsid w:val="2D64271B"/>
    <w:rsid w:val="2EA82AE3"/>
    <w:rsid w:val="34981FA2"/>
    <w:rsid w:val="35E17C02"/>
    <w:rsid w:val="360C341F"/>
    <w:rsid w:val="527659AA"/>
    <w:rsid w:val="5FC3122E"/>
    <w:rsid w:val="778110AF"/>
    <w:rsid w:val="7FB504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9"/>
    <w:qFormat/>
    <w:uiPriority w:val="0"/>
    <w:pPr>
      <w:keepNext/>
      <w:keepLines/>
      <w:spacing w:before="72" w:after="120"/>
      <w:jc w:val="left"/>
      <w:outlineLvl w:val="0"/>
    </w:pPr>
    <w:rPr>
      <w:rFonts w:ascii="宋体" w:hAnsi="宋体" w:eastAsia="黑体"/>
      <w:sz w:val="32"/>
      <w:szCs w:val="20"/>
    </w:rPr>
  </w:style>
  <w:style w:type="paragraph" w:styleId="3">
    <w:name w:val="heading 2"/>
    <w:basedOn w:val="1"/>
    <w:next w:val="1"/>
    <w:link w:val="31"/>
    <w:qFormat/>
    <w:uiPriority w:val="9"/>
    <w:pPr>
      <w:keepNext/>
      <w:keepLines/>
      <w:outlineLvl w:val="1"/>
    </w:pPr>
    <w:rPr>
      <w:rFonts w:ascii="Cambria" w:hAnsi="Cambria"/>
      <w:bCs/>
      <w:sz w:val="32"/>
      <w:szCs w:val="32"/>
    </w:rPr>
  </w:style>
  <w:style w:type="paragraph" w:styleId="4">
    <w:name w:val="heading 3"/>
    <w:basedOn w:val="1"/>
    <w:next w:val="1"/>
    <w:link w:val="28"/>
    <w:qFormat/>
    <w:uiPriority w:val="9"/>
    <w:pPr>
      <w:keepNext/>
      <w:keepLines/>
      <w:outlineLvl w:val="2"/>
    </w:pPr>
    <w:rPr>
      <w:rFonts w:eastAsia="楷体"/>
      <w:bCs/>
      <w:sz w:val="32"/>
      <w:szCs w:val="32"/>
    </w:rPr>
  </w:style>
  <w:style w:type="character" w:default="1" w:styleId="16">
    <w:name w:val="Default Paragraph Font"/>
    <w:autoRedefine/>
    <w:semiHidden/>
    <w:unhideWhenUsed/>
    <w:qFormat/>
    <w:uiPriority w:val="1"/>
  </w:style>
  <w:style w:type="table" w:default="1" w:styleId="14">
    <w:name w:val="Normal Table"/>
    <w:autoRedefine/>
    <w:semiHidden/>
    <w:unhideWhenUsed/>
    <w:qFormat/>
    <w:uiPriority w:val="99"/>
    <w:tblPr>
      <w:tblCellMar>
        <w:top w:w="0" w:type="dxa"/>
        <w:left w:w="108" w:type="dxa"/>
        <w:bottom w:w="0" w:type="dxa"/>
        <w:right w:w="108" w:type="dxa"/>
      </w:tblCellMar>
    </w:tblPr>
  </w:style>
  <w:style w:type="paragraph" w:styleId="5">
    <w:name w:val="Document Map"/>
    <w:basedOn w:val="1"/>
    <w:link w:val="25"/>
    <w:autoRedefine/>
    <w:unhideWhenUsed/>
    <w:qFormat/>
    <w:uiPriority w:val="99"/>
    <w:rPr>
      <w:rFonts w:ascii="宋体"/>
      <w:sz w:val="18"/>
      <w:szCs w:val="18"/>
    </w:rPr>
  </w:style>
  <w:style w:type="paragraph" w:styleId="6">
    <w:name w:val="toc 3"/>
    <w:basedOn w:val="1"/>
    <w:next w:val="1"/>
    <w:autoRedefine/>
    <w:unhideWhenUsed/>
    <w:qFormat/>
    <w:uiPriority w:val="39"/>
    <w:pPr>
      <w:widowControl/>
      <w:spacing w:after="100" w:line="276" w:lineRule="auto"/>
      <w:ind w:left="440"/>
      <w:jc w:val="left"/>
    </w:pPr>
    <w:rPr>
      <w:rFonts w:ascii="Calibri" w:hAnsi="Calibri"/>
      <w:kern w:val="0"/>
      <w:sz w:val="22"/>
      <w:szCs w:val="22"/>
    </w:rPr>
  </w:style>
  <w:style w:type="paragraph" w:styleId="7">
    <w:name w:val="Date"/>
    <w:basedOn w:val="1"/>
    <w:next w:val="1"/>
    <w:link w:val="27"/>
    <w:autoRedefine/>
    <w:qFormat/>
    <w:uiPriority w:val="0"/>
    <w:pPr>
      <w:ind w:left="100" w:leftChars="2500"/>
    </w:pPr>
  </w:style>
  <w:style w:type="paragraph" w:styleId="8">
    <w:name w:val="Balloon Text"/>
    <w:basedOn w:val="1"/>
    <w:link w:val="30"/>
    <w:autoRedefine/>
    <w:unhideWhenUsed/>
    <w:qFormat/>
    <w:uiPriority w:val="99"/>
    <w:rPr>
      <w:sz w:val="18"/>
      <w:szCs w:val="18"/>
    </w:rPr>
  </w:style>
  <w:style w:type="paragraph" w:styleId="9">
    <w:name w:val="footer"/>
    <w:basedOn w:val="1"/>
    <w:link w:val="24"/>
    <w:autoRedefine/>
    <w:qFormat/>
    <w:uiPriority w:val="99"/>
    <w:pPr>
      <w:tabs>
        <w:tab w:val="center" w:pos="4153"/>
        <w:tab w:val="right" w:pos="8306"/>
      </w:tabs>
      <w:snapToGrid w:val="0"/>
      <w:jc w:val="left"/>
    </w:pPr>
    <w:rPr>
      <w:sz w:val="18"/>
      <w:szCs w:val="18"/>
    </w:rPr>
  </w:style>
  <w:style w:type="paragraph" w:styleId="10">
    <w:name w:val="header"/>
    <w:basedOn w:val="1"/>
    <w:link w:val="26"/>
    <w:autoRedefine/>
    <w:qFormat/>
    <w:uiPriority w:val="0"/>
    <w:pPr>
      <w:pBdr>
        <w:bottom w:val="single" w:color="auto" w:sz="6" w:space="1"/>
      </w:pBdr>
      <w:tabs>
        <w:tab w:val="center" w:pos="4153"/>
        <w:tab w:val="right" w:pos="8306"/>
      </w:tabs>
      <w:snapToGrid w:val="0"/>
      <w:jc w:val="center"/>
    </w:pPr>
    <w:rPr>
      <w:sz w:val="18"/>
      <w:szCs w:val="18"/>
    </w:rPr>
  </w:style>
  <w:style w:type="paragraph" w:styleId="11">
    <w:name w:val="toc 1"/>
    <w:basedOn w:val="1"/>
    <w:next w:val="1"/>
    <w:autoRedefine/>
    <w:unhideWhenUsed/>
    <w:qFormat/>
    <w:uiPriority w:val="39"/>
  </w:style>
  <w:style w:type="paragraph" w:styleId="12">
    <w:name w:val="toc 2"/>
    <w:basedOn w:val="1"/>
    <w:next w:val="1"/>
    <w:autoRedefine/>
    <w:unhideWhenUsed/>
    <w:qFormat/>
    <w:uiPriority w:val="39"/>
    <w:pPr>
      <w:widowControl/>
      <w:spacing w:after="100" w:line="276" w:lineRule="auto"/>
      <w:ind w:left="220"/>
      <w:jc w:val="left"/>
    </w:pPr>
    <w:rPr>
      <w:rFonts w:ascii="Calibri" w:hAnsi="Calibri"/>
      <w:kern w:val="0"/>
      <w:sz w:val="22"/>
      <w:szCs w:val="22"/>
    </w:rPr>
  </w:style>
  <w:style w:type="paragraph" w:styleId="13">
    <w:name w:val="Normal (Web)"/>
    <w:basedOn w:val="1"/>
    <w:autoRedefine/>
    <w:unhideWhenUsed/>
    <w:qFormat/>
    <w:uiPriority w:val="99"/>
    <w:pPr>
      <w:widowControl/>
      <w:spacing w:before="100" w:beforeAutospacing="1" w:after="100" w:afterAutospacing="1"/>
      <w:jc w:val="left"/>
    </w:pPr>
    <w:rPr>
      <w:rFonts w:ascii="宋体" w:hAnsi="宋体" w:cs="宋体"/>
      <w:kern w:val="0"/>
      <w:sz w:val="24"/>
    </w:rPr>
  </w:style>
  <w:style w:type="table" w:styleId="15">
    <w:name w:val="Table Grid"/>
    <w:basedOn w:val="14"/>
    <w:autoRedefine/>
    <w:qFormat/>
    <w:uiPriority w:val="0"/>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Hyperlink"/>
    <w:autoRedefine/>
    <w:qFormat/>
    <w:uiPriority w:val="99"/>
    <w:rPr>
      <w:color w:val="0000FF"/>
      <w:u w:val="none"/>
    </w:rPr>
  </w:style>
  <w:style w:type="paragraph" w:customStyle="1" w:styleId="18">
    <w:name w:val="paragraphindent"/>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19">
    <w:name w:val="_Style 18"/>
    <w:basedOn w:val="2"/>
    <w:next w:val="1"/>
    <w:autoRedefine/>
    <w:qFormat/>
    <w:uiPriority w:val="39"/>
    <w:pPr>
      <w:widowControl/>
      <w:spacing w:before="480" w:after="0" w:line="276" w:lineRule="auto"/>
      <w:outlineLvl w:val="9"/>
    </w:pPr>
    <w:rPr>
      <w:rFonts w:ascii="Cambria" w:hAnsi="Cambria" w:eastAsia="宋体"/>
      <w:bCs/>
      <w:color w:val="365F91"/>
      <w:kern w:val="0"/>
      <w:sz w:val="28"/>
      <w:szCs w:val="28"/>
    </w:rPr>
  </w:style>
  <w:style w:type="paragraph" w:styleId="20">
    <w:name w:val="List Paragraph"/>
    <w:basedOn w:val="1"/>
    <w:autoRedefine/>
    <w:qFormat/>
    <w:uiPriority w:val="34"/>
    <w:pPr>
      <w:ind w:firstLine="420" w:firstLineChars="200"/>
    </w:pPr>
    <w:rPr>
      <w:rFonts w:ascii="Calibri" w:hAnsi="Calibri"/>
      <w:szCs w:val="22"/>
    </w:rPr>
  </w:style>
  <w:style w:type="paragraph" w:customStyle="1" w:styleId="21">
    <w:name w:val="p0"/>
    <w:basedOn w:val="1"/>
    <w:autoRedefine/>
    <w:qFormat/>
    <w:uiPriority w:val="0"/>
    <w:pPr>
      <w:widowControl/>
      <w:jc w:val="left"/>
    </w:pPr>
    <w:rPr>
      <w:rFonts w:ascii="宋体" w:hAnsi="宋体" w:cs="宋体"/>
      <w:kern w:val="0"/>
      <w:sz w:val="24"/>
    </w:rPr>
  </w:style>
  <w:style w:type="paragraph" w:customStyle="1" w:styleId="22">
    <w:name w:val="_Style 21"/>
    <w:basedOn w:val="1"/>
    <w:next w:val="1"/>
    <w:link w:val="32"/>
    <w:autoRedefine/>
    <w:semiHidden/>
    <w:unhideWhenUsed/>
    <w:qFormat/>
    <w:uiPriority w:val="99"/>
    <w:pPr>
      <w:widowControl/>
      <w:pBdr>
        <w:bottom w:val="single" w:color="auto" w:sz="6" w:space="1"/>
      </w:pBdr>
      <w:jc w:val="center"/>
    </w:pPr>
    <w:rPr>
      <w:rFonts w:ascii="Arial" w:hAnsi="Arial" w:cs="Arial"/>
      <w:vanish/>
      <w:kern w:val="0"/>
      <w:sz w:val="16"/>
      <w:szCs w:val="16"/>
    </w:rPr>
  </w:style>
  <w:style w:type="paragraph" w:customStyle="1" w:styleId="23">
    <w:name w:val="_Style 22"/>
    <w:basedOn w:val="1"/>
    <w:next w:val="1"/>
    <w:link w:val="33"/>
    <w:autoRedefine/>
    <w:semiHidden/>
    <w:unhideWhenUsed/>
    <w:qFormat/>
    <w:uiPriority w:val="99"/>
    <w:pPr>
      <w:widowControl/>
      <w:pBdr>
        <w:top w:val="single" w:color="auto" w:sz="6" w:space="1"/>
      </w:pBdr>
      <w:jc w:val="center"/>
    </w:pPr>
    <w:rPr>
      <w:rFonts w:ascii="Arial" w:hAnsi="Arial" w:cs="Arial"/>
      <w:vanish/>
      <w:kern w:val="0"/>
      <w:sz w:val="16"/>
      <w:szCs w:val="16"/>
    </w:rPr>
  </w:style>
  <w:style w:type="character" w:customStyle="1" w:styleId="24">
    <w:name w:val="页脚 字符"/>
    <w:link w:val="9"/>
    <w:autoRedefine/>
    <w:qFormat/>
    <w:uiPriority w:val="99"/>
    <w:rPr>
      <w:rFonts w:ascii="Times New Roman" w:hAnsi="Times New Roman" w:eastAsia="宋体" w:cs="Times New Roman"/>
      <w:sz w:val="18"/>
      <w:szCs w:val="18"/>
    </w:rPr>
  </w:style>
  <w:style w:type="character" w:customStyle="1" w:styleId="25">
    <w:name w:val="文档结构图 字符"/>
    <w:link w:val="5"/>
    <w:autoRedefine/>
    <w:semiHidden/>
    <w:qFormat/>
    <w:uiPriority w:val="99"/>
    <w:rPr>
      <w:rFonts w:ascii="宋体" w:hAnsi="Times New Roman"/>
      <w:kern w:val="2"/>
      <w:sz w:val="18"/>
      <w:szCs w:val="18"/>
    </w:rPr>
  </w:style>
  <w:style w:type="character" w:customStyle="1" w:styleId="26">
    <w:name w:val="页眉 字符"/>
    <w:link w:val="10"/>
    <w:qFormat/>
    <w:uiPriority w:val="0"/>
    <w:rPr>
      <w:rFonts w:ascii="Times New Roman" w:hAnsi="Times New Roman" w:eastAsia="宋体" w:cs="Times New Roman"/>
      <w:sz w:val="18"/>
      <w:szCs w:val="18"/>
    </w:rPr>
  </w:style>
  <w:style w:type="character" w:customStyle="1" w:styleId="27">
    <w:name w:val="日期 字符"/>
    <w:link w:val="7"/>
    <w:qFormat/>
    <w:uiPriority w:val="0"/>
    <w:rPr>
      <w:rFonts w:ascii="Times New Roman" w:hAnsi="Times New Roman" w:eastAsia="宋体" w:cs="Times New Roman"/>
      <w:szCs w:val="24"/>
    </w:rPr>
  </w:style>
  <w:style w:type="character" w:customStyle="1" w:styleId="28">
    <w:name w:val="标题 3 字符"/>
    <w:link w:val="4"/>
    <w:autoRedefine/>
    <w:qFormat/>
    <w:uiPriority w:val="9"/>
    <w:rPr>
      <w:rFonts w:ascii="Times New Roman" w:hAnsi="Times New Roman" w:eastAsia="楷体"/>
      <w:bCs/>
      <w:kern w:val="2"/>
      <w:sz w:val="32"/>
      <w:szCs w:val="32"/>
    </w:rPr>
  </w:style>
  <w:style w:type="character" w:customStyle="1" w:styleId="29">
    <w:name w:val="标题 1 字符"/>
    <w:link w:val="2"/>
    <w:qFormat/>
    <w:uiPriority w:val="0"/>
    <w:rPr>
      <w:rFonts w:ascii="宋体" w:hAnsi="宋体" w:eastAsia="黑体"/>
      <w:kern w:val="2"/>
      <w:sz w:val="32"/>
    </w:rPr>
  </w:style>
  <w:style w:type="character" w:customStyle="1" w:styleId="30">
    <w:name w:val="批注框文本 字符"/>
    <w:link w:val="8"/>
    <w:semiHidden/>
    <w:qFormat/>
    <w:uiPriority w:val="99"/>
    <w:rPr>
      <w:rFonts w:ascii="Times New Roman" w:hAnsi="Times New Roman"/>
      <w:kern w:val="2"/>
      <w:sz w:val="18"/>
      <w:szCs w:val="18"/>
    </w:rPr>
  </w:style>
  <w:style w:type="character" w:customStyle="1" w:styleId="31">
    <w:name w:val="标题 2 字符"/>
    <w:link w:val="3"/>
    <w:qFormat/>
    <w:uiPriority w:val="9"/>
    <w:rPr>
      <w:rFonts w:ascii="Cambria" w:hAnsi="Cambria"/>
      <w:bCs/>
      <w:kern w:val="2"/>
      <w:sz w:val="32"/>
      <w:szCs w:val="32"/>
    </w:rPr>
  </w:style>
  <w:style w:type="character" w:customStyle="1" w:styleId="32">
    <w:name w:val="z-窗体顶端 Char"/>
    <w:link w:val="22"/>
    <w:semiHidden/>
    <w:qFormat/>
    <w:uiPriority w:val="99"/>
    <w:rPr>
      <w:rFonts w:ascii="Arial" w:hAnsi="Arial" w:cs="Arial"/>
      <w:vanish/>
      <w:sz w:val="16"/>
      <w:szCs w:val="16"/>
    </w:rPr>
  </w:style>
  <w:style w:type="character" w:customStyle="1" w:styleId="33">
    <w:name w:val="z-窗体底端 Char"/>
    <w:link w:val="23"/>
    <w:semiHidden/>
    <w:qFormat/>
    <w:uiPriority w:val="99"/>
    <w:rPr>
      <w:rFonts w:ascii="Arial" w:hAnsi="Arial" w:cs="Arial"/>
      <w:vanish/>
      <w:sz w:val="16"/>
      <w:szCs w:val="16"/>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MS</Company>
  <Pages>2</Pages>
  <Words>1056</Words>
  <Characters>1072</Characters>
  <Lines>12</Lines>
  <Paragraphs>3</Paragraphs>
  <TotalTime>0</TotalTime>
  <ScaleCrop>false</ScaleCrop>
  <LinksUpToDate>false</LinksUpToDate>
  <CharactersWithSpaces>1121</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2019-01-08T02:39:00Z</dcterms:created>
  <dc:creator>杨荣</dc:creator>
  <cp:lastModifiedBy>ahwm</cp:lastModifiedBy>
  <cp:lastPrinted>2016-05-17T02:46:00Z</cp:lastPrinted>
  <dcterms:modified xsi:type="dcterms:W3CDTF">2024-01-16T13:12:39Z</dcterms:modified>
  <dc:title>目  录</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707752ADA7E944A4BF8C6D8E711C6479</vt:lpwstr>
  </property>
</Properties>
</file>